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3" w:lineRule="exact"/>
        <w:rPr>
          <w:sz w:val="24"/>
          <w:szCs w:val="24"/>
          <w:color w:val="auto"/>
        </w:rPr>
      </w:pPr>
    </w:p>
    <w:p>
      <w:pPr>
        <w:jc w:val="center"/>
        <w:ind w:right="-1100"/>
        <w:spacing w:after="0"/>
        <w:rPr>
          <w:sz w:val="20"/>
          <w:szCs w:val="20"/>
          <w:color w:val="auto"/>
        </w:rPr>
      </w:pPr>
      <w:r>
        <w:rPr>
          <w:rFonts w:ascii="Arial" w:cs="Arial" w:eastAsia="Arial" w:hAnsi="Arial"/>
          <w:sz w:val="31"/>
          <w:szCs w:val="31"/>
          <w:b w:val="1"/>
          <w:bCs w:val="1"/>
          <w:color w:val="auto"/>
        </w:rPr>
        <w:t>UNITED STATES</w:t>
      </w:r>
    </w:p>
    <w:p>
      <w:pPr>
        <w:spacing w:after="0" w:line="40" w:lineRule="exact"/>
        <w:rPr>
          <w:sz w:val="24"/>
          <w:szCs w:val="24"/>
          <w:color w:val="auto"/>
        </w:rPr>
      </w:pPr>
    </w:p>
    <w:p>
      <w:pPr>
        <w:jc w:val="center"/>
        <w:ind w:right="-1100"/>
        <w:spacing w:after="0"/>
        <w:rPr>
          <w:sz w:val="20"/>
          <w:szCs w:val="20"/>
          <w:color w:val="auto"/>
        </w:rPr>
      </w:pPr>
      <w:r>
        <w:rPr>
          <w:rFonts w:ascii="Arial" w:cs="Arial" w:eastAsia="Arial" w:hAnsi="Arial"/>
          <w:sz w:val="30"/>
          <w:szCs w:val="30"/>
          <w:b w:val="1"/>
          <w:bCs w:val="1"/>
          <w:color w:val="auto"/>
        </w:rPr>
        <w:t>SECURITIES AND EXCHANGE COMMISSION</w:t>
      </w:r>
    </w:p>
    <w:p>
      <w:pPr>
        <w:spacing w:after="0" w:line="9" w:lineRule="exact"/>
        <w:rPr>
          <w:sz w:val="24"/>
          <w:szCs w:val="24"/>
          <w:color w:val="auto"/>
        </w:rPr>
      </w:pPr>
    </w:p>
    <w:p>
      <w:pPr>
        <w:ind w:left="44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121920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8" w:lineRule="exact"/>
        <w:rPr>
          <w:sz w:val="24"/>
          <w:szCs w:val="24"/>
          <w:color w:val="auto"/>
        </w:rPr>
      </w:pPr>
    </w:p>
    <w:p>
      <w:pPr>
        <w:jc w:val="center"/>
        <w:ind w:right="-1100"/>
        <w:spacing w:after="0"/>
        <w:rPr>
          <w:sz w:val="20"/>
          <w:szCs w:val="20"/>
          <w:color w:val="auto"/>
        </w:rPr>
      </w:pPr>
      <w:r>
        <w:rPr>
          <w:rFonts w:ascii="Arial" w:cs="Arial" w:eastAsia="Arial" w:hAnsi="Arial"/>
          <w:sz w:val="31"/>
          <w:szCs w:val="31"/>
          <w:b w:val="1"/>
          <w:bCs w:val="1"/>
          <w:color w:val="auto"/>
        </w:rPr>
        <w:t>SCHEDULE 14A</w:t>
      </w:r>
    </w:p>
    <w:p>
      <w:pPr>
        <w:spacing w:after="0" w:line="158"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(Rule 14a-101)</w:t>
      </w:r>
    </w:p>
    <w:p>
      <w:pPr>
        <w:jc w:val="center"/>
        <w:ind w:right="-1100"/>
        <w:spacing w:after="0" w:line="231" w:lineRule="auto"/>
        <w:rPr>
          <w:sz w:val="20"/>
          <w:szCs w:val="20"/>
          <w:color w:val="auto"/>
        </w:rPr>
      </w:pPr>
      <w:r>
        <w:rPr>
          <w:rFonts w:ascii="Arial" w:cs="Arial" w:eastAsia="Arial" w:hAnsi="Arial"/>
          <w:sz w:val="20"/>
          <w:szCs w:val="20"/>
          <w:b w:val="1"/>
          <w:bCs w:val="1"/>
          <w:color w:val="auto"/>
        </w:rPr>
        <w:t>SCHEDULE 14A INFORMATION</w:t>
      </w:r>
    </w:p>
    <w:p>
      <w:pPr>
        <w:jc w:val="center"/>
        <w:ind w:right="-1100"/>
        <w:spacing w:after="0" w:line="226" w:lineRule="auto"/>
        <w:rPr>
          <w:sz w:val="20"/>
          <w:szCs w:val="20"/>
          <w:color w:val="auto"/>
        </w:rPr>
      </w:pPr>
      <w:r>
        <w:rPr>
          <w:rFonts w:ascii="Arial" w:cs="Arial" w:eastAsia="Arial" w:hAnsi="Arial"/>
          <w:sz w:val="20"/>
          <w:szCs w:val="20"/>
          <w:b w:val="1"/>
          <w:bCs w:val="1"/>
          <w:color w:val="auto"/>
        </w:rPr>
        <w:t>Proxy Statement Pursuant to Section 14(a) of the</w:t>
      </w:r>
    </w:p>
    <w:p>
      <w:pPr>
        <w:jc w:val="center"/>
        <w:ind w:right="-1100"/>
        <w:spacing w:after="0"/>
        <w:rPr>
          <w:sz w:val="20"/>
          <w:szCs w:val="20"/>
          <w:color w:val="auto"/>
        </w:rPr>
      </w:pPr>
      <w:r>
        <w:rPr>
          <w:rFonts w:ascii="Arial" w:cs="Arial" w:eastAsia="Arial" w:hAnsi="Arial"/>
          <w:sz w:val="20"/>
          <w:szCs w:val="20"/>
          <w:b w:val="1"/>
          <w:bCs w:val="1"/>
          <w:color w:val="auto"/>
        </w:rPr>
        <w:t>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293370</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154"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378" w:lineRule="exact"/>
        <w:rPr>
          <w:sz w:val="24"/>
          <w:szCs w:val="24"/>
          <w:color w:val="auto"/>
        </w:rPr>
      </w:pPr>
    </w:p>
    <w:p>
      <w:pPr>
        <w:ind w:left="120"/>
        <w:spacing w:after="0"/>
        <w:rPr>
          <w:sz w:val="20"/>
          <w:szCs w:val="20"/>
          <w:color w:val="auto"/>
        </w:rPr>
      </w:pPr>
      <w:r>
        <w:rPr>
          <w:rFonts w:ascii="Arial" w:cs="Arial" w:eastAsia="Arial" w:hAnsi="Arial"/>
          <w:sz w:val="16"/>
          <w:szCs w:val="16"/>
          <w:color w:val="auto"/>
        </w:rPr>
        <w:t>Check the appropriate box:</w:t>
      </w:r>
    </w:p>
    <w:p>
      <w:pPr>
        <w:spacing w:after="0" w:line="77" w:lineRule="exact"/>
        <w:rPr>
          <w:sz w:val="24"/>
          <w:szCs w:val="24"/>
          <w:color w:val="auto"/>
        </w:rPr>
      </w:pPr>
    </w:p>
    <w:p>
      <w:pPr>
        <w:ind w:left="1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Preliminary Proxy Statement</w:t>
      </w:r>
    </w:p>
    <w:p>
      <w:pPr>
        <w:spacing w:after="0" w:line="127" w:lineRule="exact"/>
        <w:rPr>
          <w:sz w:val="24"/>
          <w:szCs w:val="24"/>
          <w:color w:val="auto"/>
        </w:rPr>
      </w:pPr>
    </w:p>
    <w:p>
      <w:pPr>
        <w:ind w:left="1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Confidential, For Use of the Commission Only (as permitted by Rule 14a-6(e)(2))</w:t>
      </w:r>
    </w:p>
    <w:p>
      <w:pPr>
        <w:spacing w:after="0" w:line="127" w:lineRule="exact"/>
        <w:rPr>
          <w:sz w:val="24"/>
          <w:szCs w:val="24"/>
          <w:color w:val="auto"/>
        </w:rPr>
      </w:pPr>
    </w:p>
    <w:p>
      <w:pPr>
        <w:ind w:left="1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Definitive Proxy Statement</w:t>
      </w:r>
    </w:p>
    <w:p>
      <w:pPr>
        <w:spacing w:after="0" w:line="127" w:lineRule="exact"/>
        <w:rPr>
          <w:sz w:val="24"/>
          <w:szCs w:val="24"/>
          <w:color w:val="auto"/>
        </w:rPr>
      </w:pPr>
    </w:p>
    <w:p>
      <w:pPr>
        <w:ind w:left="1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Definitive Additional Materials</w:t>
      </w:r>
    </w:p>
    <w:p>
      <w:pPr>
        <w:spacing w:after="0" w:line="127" w:lineRule="exact"/>
        <w:rPr>
          <w:sz w:val="24"/>
          <w:szCs w:val="24"/>
          <w:color w:val="auto"/>
        </w:rPr>
      </w:pPr>
    </w:p>
    <w:p>
      <w:pPr>
        <w:ind w:left="1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Under § 240.14a-12</w:t>
      </w:r>
    </w:p>
    <w:p>
      <w:pPr>
        <w:spacing w:after="0" w:line="215" w:lineRule="exact"/>
        <w:rPr>
          <w:sz w:val="24"/>
          <w:szCs w:val="24"/>
          <w:color w:val="auto"/>
        </w:rPr>
      </w:pPr>
    </w:p>
    <w:p>
      <w:pPr>
        <w:jc w:val="center"/>
        <w:ind w:right="-1100"/>
        <w:spacing w:after="0"/>
        <w:rPr>
          <w:sz w:val="20"/>
          <w:szCs w:val="20"/>
          <w:color w:val="auto"/>
        </w:rPr>
      </w:pPr>
      <w:r>
        <w:rPr>
          <w:rFonts w:ascii="Arial" w:cs="Arial" w:eastAsia="Arial" w:hAnsi="Arial"/>
          <w:sz w:val="38"/>
          <w:szCs w:val="38"/>
          <w:b w:val="1"/>
          <w:bCs w:val="1"/>
          <w:color w:val="auto"/>
        </w:rPr>
        <w:t>FAIR ISAAC CORPORATION</w:t>
      </w:r>
    </w:p>
    <w:p>
      <w:pPr>
        <w:spacing w:after="0" w:line="6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70"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21" w:lineRule="exact"/>
        <w:rPr>
          <w:sz w:val="24"/>
          <w:szCs w:val="24"/>
          <w:color w:val="auto"/>
        </w:rPr>
      </w:pPr>
    </w:p>
    <w:p>
      <w:pPr>
        <w:ind w:left="120"/>
        <w:spacing w:after="0"/>
        <w:rPr>
          <w:sz w:val="20"/>
          <w:szCs w:val="20"/>
          <w:color w:val="auto"/>
        </w:rPr>
      </w:pPr>
      <w:r>
        <w:rPr>
          <w:rFonts w:ascii="Arial" w:cs="Arial" w:eastAsia="Arial" w:hAnsi="Arial"/>
          <w:sz w:val="16"/>
          <w:szCs w:val="16"/>
          <w:color w:val="auto"/>
        </w:rPr>
        <w:t>Payment of Filing Fee (Check all boxes that apply):</w:t>
      </w:r>
    </w:p>
    <w:p>
      <w:pPr>
        <w:spacing w:after="0" w:line="81" w:lineRule="exact"/>
        <w:rPr>
          <w:sz w:val="24"/>
          <w:szCs w:val="24"/>
          <w:color w:val="auto"/>
        </w:rPr>
      </w:pPr>
    </w:p>
    <w:p>
      <w:pPr>
        <w:ind w:left="1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fee required.</w:t>
      </w:r>
    </w:p>
    <w:p>
      <w:pPr>
        <w:spacing w:after="0" w:line="123" w:lineRule="exact"/>
        <w:rPr>
          <w:sz w:val="24"/>
          <w:szCs w:val="24"/>
          <w:color w:val="auto"/>
        </w:rPr>
      </w:pPr>
    </w:p>
    <w:p>
      <w:pPr>
        <w:ind w:left="1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Fee paid previously with preliminary materials.</w:t>
      </w:r>
    </w:p>
    <w:p>
      <w:pPr>
        <w:spacing w:after="0" w:line="127" w:lineRule="exact"/>
        <w:rPr>
          <w:sz w:val="24"/>
          <w:szCs w:val="24"/>
          <w:color w:val="auto"/>
        </w:rPr>
      </w:pPr>
    </w:p>
    <w:p>
      <w:pPr>
        <w:ind w:left="1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Fee computed on table in exhibit required by Item 25(b) per Exchange Act Rules 14a-6(i)(1) and 0-11.</w:t>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ind w:right="1699"/>
        <w:spacing w:after="0"/>
        <w:rPr>
          <w:sz w:val="20"/>
          <w:szCs w:val="20"/>
          <w:color w:val="auto"/>
        </w:rPr>
      </w:pPr>
      <w:r>
        <w:rPr>
          <w:rFonts w:ascii="Arial" w:cs="Arial" w:eastAsia="Arial" w:hAnsi="Arial"/>
          <w:sz w:val="18"/>
          <w:szCs w:val="18"/>
          <w:b w:val="1"/>
          <w:bCs w:val="1"/>
          <w:color w:val="EB0029"/>
        </w:rPr>
        <w:t>PRELIMINARY PROXY STATEMENT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146050</wp:posOffset>
            </wp:positionV>
            <wp:extent cx="5194935" cy="7492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94935" cy="749236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EB0029"/>
        </w:rPr>
        <w:t>PRELIMINARY PROXY STATEMENT — SUBJECT TO COMPLETION</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195580</wp:posOffset>
            </wp:positionV>
            <wp:extent cx="77152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2603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120" w:right="260"/>
        <w:spacing w:after="0" w:line="285" w:lineRule="auto"/>
        <w:rPr>
          <w:sz w:val="20"/>
          <w:szCs w:val="20"/>
          <w:color w:val="auto"/>
        </w:rPr>
      </w:pPr>
      <w:r>
        <w:rPr>
          <w:rFonts w:ascii="Arial" w:cs="Arial" w:eastAsia="Arial" w:hAnsi="Arial"/>
          <w:sz w:val="14"/>
          <w:szCs w:val="14"/>
          <w:color w:val="auto"/>
        </w:rPr>
        <w:t>Please take notice that the 2026 Annual Meeting of the Stockholders of Fair Isaac Corporation (“Annual Meeting”) will be held at the time and place and for the purposes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3351530" cy="383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3831590"/>
                    </a:xfrm>
                    <a:prstGeom prst="rect">
                      <a:avLst/>
                    </a:prstGeom>
                    <a:noFill/>
                  </pic:spPr>
                </pic:pic>
              </a:graphicData>
            </a:graphic>
          </wp:anchor>
        </w:drawing>
      </w:r>
    </w:p>
    <w:p>
      <w:pPr>
        <w:sectPr>
          <w:pgSz w:w="11900" w:h="16838" w:orient="portrait"/>
          <w:cols w:equalWidth="0" w:num="1">
            <w:col w:w="11080"/>
          </w:cols>
          <w:pgMar w:left="320" w:top="482" w:right="4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300" w:hanging="85"/>
        <w:spacing w:after="0"/>
        <w:tabs>
          <w:tab w:leader="none" w:pos="300" w:val="left"/>
        </w:tabs>
        <w:numPr>
          <w:ilvl w:val="0"/>
          <w:numId w:val="1"/>
        </w:numPr>
        <w:rPr>
          <w:rFonts w:ascii="Arial" w:cs="Arial" w:eastAsia="Arial" w:hAnsi="Arial"/>
          <w:sz w:val="16"/>
          <w:szCs w:val="16"/>
          <w:b w:val="1"/>
          <w:bCs w:val="1"/>
          <w:color w:val="1070B8"/>
        </w:rPr>
      </w:pPr>
      <w:r>
        <w:rPr>
          <w:rFonts w:ascii="Arial" w:cs="Arial" w:eastAsia="Arial" w:hAnsi="Arial"/>
          <w:sz w:val="16"/>
          <w:szCs w:val="16"/>
          <w:b w:val="1"/>
          <w:bCs w:val="1"/>
          <w:color w:val="1070B8"/>
        </w:rPr>
        <w:t> Voting Matters and Board</w:t>
      </w:r>
    </w:p>
    <w:p>
      <w:pPr>
        <w:spacing w:after="0" w:line="34" w:lineRule="exact"/>
        <w:rPr>
          <w:rFonts w:ascii="Arial" w:cs="Arial" w:eastAsia="Arial" w:hAnsi="Arial"/>
          <w:sz w:val="16"/>
          <w:szCs w:val="16"/>
          <w:b w:val="1"/>
          <w:bCs w:val="1"/>
          <w:color w:val="1070B8"/>
        </w:rPr>
      </w:pPr>
    </w:p>
    <w:p>
      <w:pPr>
        <w:ind w:left="300" w:hanging="85"/>
        <w:spacing w:after="0"/>
        <w:tabs>
          <w:tab w:leader="none" w:pos="300" w:val="left"/>
        </w:tabs>
        <w:numPr>
          <w:ilvl w:val="0"/>
          <w:numId w:val="1"/>
        </w:numPr>
        <w:rPr>
          <w:rFonts w:ascii="Arial" w:cs="Arial" w:eastAsia="Arial" w:hAnsi="Arial"/>
          <w:sz w:val="16"/>
          <w:szCs w:val="16"/>
          <w:b w:val="1"/>
          <w:bCs w:val="1"/>
          <w:color w:val="1070B8"/>
        </w:rPr>
      </w:pPr>
      <w:r>
        <w:rPr>
          <w:rFonts w:ascii="Arial" w:cs="Arial" w:eastAsia="Arial" w:hAnsi="Arial"/>
          <w:sz w:val="16"/>
          <w:szCs w:val="16"/>
          <w:b w:val="1"/>
          <w:bCs w:val="1"/>
          <w:color w:val="1070B8"/>
        </w:rPr>
        <w:t> Recommendations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355BAA"/>
        </w:rPr>
        <w:t>Proposal 1</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Election of Directors</w:t>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355BAA"/>
        </w:rPr>
        <w:t>Proposal 2</w:t>
      </w:r>
    </w:p>
    <w:p>
      <w:pPr>
        <w:spacing w:after="0" w:line="69" w:lineRule="exact"/>
        <w:rPr>
          <w:sz w:val="20"/>
          <w:szCs w:val="20"/>
          <w:color w:val="auto"/>
        </w:rPr>
      </w:pPr>
    </w:p>
    <w:p>
      <w:pPr>
        <w:ind w:left="220"/>
        <w:spacing w:after="0" w:line="285" w:lineRule="auto"/>
        <w:rPr>
          <w:sz w:val="20"/>
          <w:szCs w:val="20"/>
          <w:color w:val="auto"/>
        </w:rPr>
      </w:pPr>
      <w:r>
        <w:rPr>
          <w:rFonts w:ascii="Arial" w:cs="Arial" w:eastAsia="Arial" w:hAnsi="Arial"/>
          <w:sz w:val="14"/>
          <w:szCs w:val="14"/>
          <w:color w:val="auto"/>
        </w:rPr>
        <w:t>Advisory Vote to Approve Executive Compensation</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355BAA"/>
        </w:rPr>
        <w:t>Proposal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600" w:val="left"/>
        </w:tabs>
        <w:rPr>
          <w:sz w:val="20"/>
          <w:szCs w:val="20"/>
          <w:color w:val="auto"/>
        </w:rPr>
      </w:pPr>
      <w:r>
        <w:rPr>
          <w:rFonts w:ascii="Arial" w:cs="Arial" w:eastAsia="Arial" w:hAnsi="Arial"/>
          <w:sz w:val="14"/>
          <w:szCs w:val="14"/>
          <w:color w:val="auto"/>
        </w:rPr>
        <w:t>Page</w:t>
      </w:r>
      <w:r>
        <w:rPr>
          <w:sz w:val="20"/>
          <w:szCs w:val="20"/>
          <w:color w:val="auto"/>
        </w:rPr>
        <w:tab/>
      </w:r>
      <w:r>
        <w:rPr>
          <w:rFonts w:ascii="Arial" w:cs="Arial" w:eastAsia="Arial" w:hAnsi="Arial"/>
          <w:sz w:val="14"/>
          <w:szCs w:val="14"/>
          <w:color w:val="auto"/>
        </w:rPr>
        <w:t>Board</w:t>
      </w:r>
    </w:p>
    <w:p>
      <w:pPr>
        <w:spacing w:after="0" w:line="15" w:lineRule="exact"/>
        <w:rPr>
          <w:sz w:val="20"/>
          <w:szCs w:val="20"/>
          <w:color w:val="auto"/>
        </w:rPr>
      </w:pPr>
    </w:p>
    <w:p>
      <w:pPr>
        <w:spacing w:after="0"/>
        <w:tabs>
          <w:tab w:leader="none" w:pos="2160" w:val="left"/>
        </w:tabs>
        <w:rPr>
          <w:sz w:val="20"/>
          <w:szCs w:val="20"/>
          <w:color w:val="auto"/>
        </w:rPr>
      </w:pPr>
      <w:r>
        <w:rPr>
          <w:rFonts w:ascii="Arial" w:cs="Arial" w:eastAsia="Arial" w:hAnsi="Arial"/>
          <w:sz w:val="14"/>
          <w:szCs w:val="14"/>
          <w:color w:val="auto"/>
        </w:rPr>
        <w:t>Number  Recommendation</w:t>
      </w:r>
      <w:r>
        <w:rPr>
          <w:sz w:val="20"/>
          <w:szCs w:val="20"/>
          <w:color w:val="auto"/>
        </w:rPr>
        <w:tab/>
      </w:r>
      <w:r>
        <w:rPr>
          <w:rFonts w:ascii="Arial" w:cs="Arial" w:eastAsia="Arial" w:hAnsi="Arial"/>
          <w:sz w:val="14"/>
          <w:szCs w:val="14"/>
          <w:color w:val="auto"/>
        </w:rPr>
        <w:t> </w:t>
      </w:r>
    </w:p>
    <w:p>
      <w:pPr>
        <w:spacing w:after="0" w:line="358" w:lineRule="exact"/>
        <w:rPr>
          <w:sz w:val="20"/>
          <w:szCs w:val="20"/>
          <w:color w:val="auto"/>
        </w:rPr>
      </w:pPr>
    </w:p>
    <w:p>
      <w:pPr>
        <w:ind w:left="600" w:hanging="393"/>
        <w:spacing w:after="0"/>
        <w:tabs>
          <w:tab w:leader="none" w:pos="600" w:val="left"/>
        </w:tabs>
        <w:numPr>
          <w:ilvl w:val="0"/>
          <w:numId w:val="2"/>
        </w:numPr>
        <w:rPr>
          <w:rFonts w:ascii="Arial" w:cs="Arial" w:eastAsia="Arial" w:hAnsi="Arial"/>
          <w:sz w:val="14"/>
          <w:szCs w:val="14"/>
          <w:color w:val="auto"/>
        </w:rPr>
      </w:pPr>
      <w:r>
        <w:rPr>
          <w:rFonts w:ascii="Arial" w:cs="Arial" w:eastAsia="Arial" w:hAnsi="Arial"/>
          <w:sz w:val="1"/>
          <w:szCs w:val="1"/>
          <w:color w:val="auto"/>
        </w:rPr>
        <w:drawing>
          <wp:inline distT="0" distB="0" distL="0" distR="0">
            <wp:extent cx="179705" cy="1714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4"/>
          <w:szCs w:val="14"/>
          <w:color w:val="auto"/>
        </w:rPr>
        <w:t xml:space="preserve">  FOR</w:t>
      </w:r>
    </w:p>
    <w:p>
      <w:pPr>
        <w:spacing w:after="0" w:line="200" w:lineRule="exact"/>
        <w:rPr>
          <w:rFonts w:ascii="Arial" w:cs="Arial" w:eastAsia="Arial" w:hAnsi="Arial"/>
          <w:sz w:val="14"/>
          <w:szCs w:val="14"/>
          <w:color w:val="auto"/>
        </w:rPr>
      </w:pPr>
    </w:p>
    <w:p>
      <w:pPr>
        <w:spacing w:after="0" w:line="350" w:lineRule="exact"/>
        <w:rPr>
          <w:rFonts w:ascii="Arial" w:cs="Arial" w:eastAsia="Arial" w:hAnsi="Arial"/>
          <w:sz w:val="14"/>
          <w:szCs w:val="14"/>
          <w:color w:val="auto"/>
        </w:rPr>
      </w:pPr>
    </w:p>
    <w:p>
      <w:pPr>
        <w:ind w:left="600" w:hanging="398"/>
        <w:spacing w:after="0"/>
        <w:tabs>
          <w:tab w:leader="none" w:pos="600" w:val="left"/>
        </w:tabs>
        <w:numPr>
          <w:ilvl w:val="0"/>
          <w:numId w:val="3"/>
        </w:numPr>
        <w:rPr>
          <w:rFonts w:ascii="Arial" w:cs="Arial" w:eastAsia="Arial" w:hAnsi="Arial"/>
          <w:sz w:val="14"/>
          <w:szCs w:val="14"/>
          <w:color w:val="auto"/>
        </w:rPr>
      </w:pPr>
      <w:r>
        <w:rPr>
          <w:rFonts w:ascii="Arial" w:cs="Arial" w:eastAsia="Arial" w:hAnsi="Arial"/>
          <w:sz w:val="1"/>
          <w:szCs w:val="1"/>
          <w:color w:val="auto"/>
        </w:rPr>
        <w:drawing>
          <wp:inline distT="0" distB="0" distL="0" distR="0">
            <wp:extent cx="179705" cy="1714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4"/>
          <w:szCs w:val="14"/>
          <w:color w:val="auto"/>
        </w:rPr>
        <w:t xml:space="preserve">  FOR</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jc w:val="right"/>
        <w:ind w:right="440"/>
        <w:spacing w:after="0"/>
        <w:rPr>
          <w:sz w:val="20"/>
          <w:szCs w:val="20"/>
          <w:color w:val="auto"/>
        </w:rPr>
      </w:pPr>
      <w:r>
        <w:rPr>
          <w:rFonts w:ascii="Arial" w:cs="Arial" w:eastAsia="Arial" w:hAnsi="Arial"/>
          <w:sz w:val="15"/>
          <w:szCs w:val="15"/>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282575" cy="283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2575" cy="283210"/>
                    </a:xfrm>
                    <a:prstGeom prst="rect">
                      <a:avLst/>
                    </a:prstGeom>
                    <a:noFill/>
                  </pic:spPr>
                </pic:pic>
              </a:graphicData>
            </a:graphic>
          </wp:anchor>
        </w:drawing>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auto"/>
        </w:rPr>
        <w:t> 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wp:posOffset>
            </wp:positionV>
            <wp:extent cx="34201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Wednesday, March 4, 2026 | 9:30 A.M., local time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sz w:val="1"/>
          <w:szCs w:val="1"/>
          <w:color w:val="auto"/>
        </w:rPr>
        <w:drawing>
          <wp:inline distT="0" distB="0" distL="0" distR="0">
            <wp:extent cx="274320" cy="2743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320" cy="274320"/>
                    </a:xfrm>
                    <a:prstGeom prst="rect">
                      <a:avLst/>
                    </a:prstGeom>
                    <a:noFill/>
                    <a:ln>
                      <a:noFill/>
                    </a:ln>
                  </pic:spPr>
                </pic:pic>
              </a:graphicData>
            </a:graphic>
          </wp:inline>
        </w:drawing>
      </w:r>
      <w:r>
        <w:rPr>
          <w:rFonts w:ascii="Arial" w:cs="Arial" w:eastAsia="Arial" w:hAnsi="Arial"/>
          <w:sz w:val="15"/>
          <w:szCs w:val="15"/>
          <w:b w:val="1"/>
          <w:bCs w:val="1"/>
          <w:color w:val="auto"/>
        </w:rPr>
        <w:t xml:space="preserve">  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wp:posOffset>
            </wp:positionV>
            <wp:extent cx="34201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Fair Isaac Corporation</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181 Metro Drive, San Jose, California 95110</w:t>
      </w:r>
    </w:p>
    <w:p>
      <w:pPr>
        <w:spacing w:after="0" w:line="240" w:lineRule="exact"/>
        <w:rPr>
          <w:sz w:val="20"/>
          <w:szCs w:val="20"/>
          <w:color w:val="auto"/>
        </w:rPr>
      </w:pPr>
    </w:p>
    <w:p>
      <w:pPr>
        <w:sectPr>
          <w:pgSz w:w="11900" w:h="16838" w:orient="portrait"/>
          <w:cols w:equalWidth="0" w:num="3">
            <w:col w:w="2500" w:space="680"/>
            <w:col w:w="2220" w:space="340"/>
            <w:col w:w="5340"/>
          </w:cols>
          <w:pgMar w:left="320" w:top="482" w:right="499" w:bottom="1440" w:gutter="0" w:footer="0" w:header="0"/>
          <w:type w:val="continuous"/>
        </w:sectPr>
      </w:pPr>
    </w:p>
    <w:p>
      <w:pPr>
        <w:ind w:left="220"/>
        <w:spacing w:after="0" w:line="285" w:lineRule="auto"/>
        <w:rPr>
          <w:sz w:val="20"/>
          <w:szCs w:val="20"/>
          <w:color w:val="auto"/>
        </w:rPr>
      </w:pPr>
      <w:r>
        <w:rPr>
          <w:rFonts w:ascii="Arial" w:cs="Arial" w:eastAsia="Arial" w:hAnsi="Arial"/>
          <w:sz w:val="14"/>
          <w:szCs w:val="14"/>
          <w:color w:val="auto"/>
        </w:rPr>
        <w:t>Ratification of Independent Registered Public Accounting Firm</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355BAA"/>
        </w:rPr>
        <w:t>Proposal 4</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80" w:type="dxa"/>
            <w:vAlign w:val="bottom"/>
          </w:tcPr>
          <w:p>
            <w:pPr>
              <w:jc w:val="right"/>
              <w:ind w:right="248"/>
              <w:spacing w:after="0"/>
              <w:rPr>
                <w:sz w:val="20"/>
                <w:szCs w:val="20"/>
                <w:color w:val="auto"/>
              </w:rPr>
            </w:pPr>
            <w:r>
              <w:rPr>
                <w:rFonts w:ascii="Arial" w:cs="Arial" w:eastAsia="Arial" w:hAnsi="Arial"/>
                <w:sz w:val="14"/>
                <w:szCs w:val="14"/>
                <w:color w:val="auto"/>
                <w:w w:val="89"/>
              </w:rPr>
              <w:t>85</w:t>
            </w:r>
          </w:p>
        </w:tc>
        <w:tc>
          <w:tcPr>
            <w:tcW w:w="640" w:type="dxa"/>
            <w:vAlign w:val="bottom"/>
          </w:tcPr>
          <w:p>
            <w:pPr>
              <w:ind w:left="340"/>
              <w:spacing w:after="0"/>
              <w:rPr>
                <w:sz w:val="20"/>
                <w:szCs w:val="20"/>
                <w:color w:val="auto"/>
              </w:rPr>
            </w:pPr>
            <w:r>
              <w:rPr>
                <w:rFonts w:ascii="Arial" w:cs="Arial" w:eastAsia="Arial" w:hAnsi="Arial"/>
                <w:sz w:val="14"/>
                <w:szCs w:val="14"/>
                <w:color w:val="auto"/>
                <w:w w:val="94"/>
              </w:rPr>
              <w:t>FOR</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sz w:val="1"/>
          <w:szCs w:val="1"/>
          <w:color w:val="auto"/>
        </w:rPr>
        <w:drawing>
          <wp:inline distT="0" distB="0" distL="0" distR="0">
            <wp:extent cx="300355" cy="2654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0355" cy="265430"/>
                    </a:xfrm>
                    <a:prstGeom prst="rect">
                      <a:avLst/>
                    </a:prstGeom>
                    <a:noFill/>
                    <a:ln>
                      <a:noFill/>
                    </a:ln>
                  </pic:spPr>
                </pic:pic>
              </a:graphicData>
            </a:graphic>
          </wp:inline>
        </w:drawing>
      </w:r>
      <w:r>
        <w:rPr>
          <w:rFonts w:ascii="Arial" w:cs="Arial" w:eastAsia="Arial" w:hAnsi="Arial"/>
          <w:sz w:val="14"/>
          <w:szCs w:val="14"/>
          <w:b w:val="1"/>
          <w:bCs w:val="1"/>
          <w:color w:val="auto"/>
        </w:rPr>
        <w:t xml:space="preserve">  Who can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wp:posOffset>
            </wp:positionV>
            <wp:extent cx="18859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500"/>
        <w:spacing w:after="0"/>
        <w:rPr>
          <w:sz w:val="20"/>
          <w:szCs w:val="20"/>
          <w:color w:val="auto"/>
        </w:rPr>
      </w:pPr>
      <w:r>
        <w:rPr>
          <w:rFonts w:ascii="Arial" w:cs="Arial" w:eastAsia="Arial" w:hAnsi="Arial"/>
          <w:sz w:val="15"/>
          <w:szCs w:val="15"/>
          <w:b w:val="1"/>
          <w:bCs w:val="1"/>
          <w:color w:val="auto"/>
        </w:rPr>
        <w:t xml:space="preserve">                </w:t>
      </w:r>
    </w:p>
    <w:p>
      <w:pPr>
        <w:spacing w:after="0" w:line="567" w:lineRule="exact"/>
        <w:rPr>
          <w:sz w:val="20"/>
          <w:szCs w:val="20"/>
          <w:color w:val="auto"/>
        </w:rPr>
      </w:pPr>
    </w:p>
    <w:p>
      <w:pPr>
        <w:sectPr>
          <w:pgSz w:w="11900" w:h="16838" w:orient="portrait"/>
          <w:cols w:equalWidth="0" w:num="4">
            <w:col w:w="3100" w:space="280"/>
            <w:col w:w="1640" w:space="720"/>
            <w:col w:w="2300" w:space="720"/>
            <w:col w:w="2320"/>
          </w:cols>
          <w:pgMar w:left="320" w:top="482" w:right="499" w:bottom="1440" w:gutter="0" w:footer="0" w:header="0"/>
          <w:type w:val="continuous"/>
        </w:sectPr>
      </w:pPr>
    </w:p>
    <w:p>
      <w:pPr>
        <w:ind w:left="220"/>
        <w:spacing w:after="0" w:line="249" w:lineRule="auto"/>
        <w:rPr>
          <w:sz w:val="20"/>
          <w:szCs w:val="20"/>
          <w:color w:val="auto"/>
        </w:rPr>
      </w:pPr>
      <w:r>
        <w:rPr>
          <w:rFonts w:ascii="Arial" w:cs="Arial" w:eastAsia="Arial" w:hAnsi="Arial"/>
          <w:sz w:val="14"/>
          <w:szCs w:val="14"/>
          <w:color w:val="auto"/>
        </w:rPr>
        <w:t>Approval of an Amendment to the Company’s Restated Certificate of Incorporation to Allow for Exculpation of Officers as Permitted by Delaware Law</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355BAA"/>
        </w:rPr>
        <w:t>Proposal 5</w:t>
      </w:r>
    </w:p>
    <w:p>
      <w:pPr>
        <w:spacing w:after="0" w:line="15" w:lineRule="exact"/>
        <w:rPr>
          <w:sz w:val="20"/>
          <w:szCs w:val="20"/>
          <w:color w:val="auto"/>
        </w:rPr>
      </w:pPr>
    </w:p>
    <w:p>
      <w:pPr>
        <w:ind w:left="220"/>
        <w:spacing w:after="0" w:line="249" w:lineRule="auto"/>
        <w:rPr>
          <w:sz w:val="20"/>
          <w:szCs w:val="20"/>
          <w:color w:val="auto"/>
        </w:rPr>
      </w:pPr>
      <w:r>
        <w:rPr>
          <w:rFonts w:ascii="Arial" w:cs="Arial" w:eastAsia="Arial" w:hAnsi="Arial"/>
          <w:sz w:val="14"/>
          <w:szCs w:val="14"/>
          <w:color w:val="auto"/>
        </w:rPr>
        <w:t>Approval of an Amendment to the Company’s Restated Certificate of Incorporation to Eliminate the Supermajority Voting Requirement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80" w:type="dxa"/>
            <w:vAlign w:val="bottom"/>
          </w:tcPr>
          <w:p>
            <w:pPr>
              <w:jc w:val="right"/>
              <w:ind w:right="248"/>
              <w:spacing w:after="0"/>
              <w:rPr>
                <w:sz w:val="20"/>
                <w:szCs w:val="20"/>
                <w:color w:val="auto"/>
              </w:rPr>
            </w:pPr>
            <w:r>
              <w:rPr>
                <w:rFonts w:ascii="Arial" w:cs="Arial" w:eastAsia="Arial" w:hAnsi="Arial"/>
                <w:sz w:val="14"/>
                <w:szCs w:val="14"/>
                <w:color w:val="auto"/>
                <w:w w:val="89"/>
              </w:rPr>
              <w:t>89</w:t>
            </w:r>
          </w:p>
        </w:tc>
        <w:tc>
          <w:tcPr>
            <w:tcW w:w="640" w:type="dxa"/>
            <w:vAlign w:val="bottom"/>
          </w:tcPr>
          <w:p>
            <w:pPr>
              <w:ind w:left="340"/>
              <w:spacing w:after="0"/>
              <w:rPr>
                <w:sz w:val="20"/>
                <w:szCs w:val="20"/>
                <w:color w:val="auto"/>
              </w:rPr>
            </w:pPr>
            <w:r>
              <w:rPr>
                <w:rFonts w:ascii="Arial" w:cs="Arial" w:eastAsia="Arial" w:hAnsi="Arial"/>
                <w:sz w:val="14"/>
                <w:szCs w:val="14"/>
                <w:color w:val="auto"/>
                <w:w w:val="94"/>
              </w:rPr>
              <w:t>FOR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387" w:val="left"/>
        </w:tabs>
        <w:rPr>
          <w:sz w:val="20"/>
          <w:szCs w:val="20"/>
          <w:color w:val="auto"/>
        </w:rPr>
      </w:pPr>
      <w:r>
        <w:rPr>
          <w:rFonts w:ascii="Arial" w:cs="Arial" w:eastAsia="Arial" w:hAnsi="Arial"/>
          <w:sz w:val="14"/>
          <w:szCs w:val="14"/>
          <w:color w:val="auto"/>
        </w:rPr>
        <w:t>90</w:t>
      </w:r>
      <w:r>
        <w:rPr>
          <w:sz w:val="20"/>
          <w:szCs w:val="20"/>
          <w:color w:val="auto"/>
        </w:rPr>
        <w:tab/>
      </w:r>
      <w:r>
        <w:rPr>
          <w:sz w:val="1"/>
          <w:szCs w:val="1"/>
          <w:color w:val="auto"/>
        </w:rPr>
        <w:drawing>
          <wp:inline distT="0" distB="0" distL="0" distR="0">
            <wp:extent cx="179705" cy="1714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4"/>
          <w:szCs w:val="14"/>
          <w:color w:val="auto"/>
        </w:rPr>
        <w:t xml:space="preserve">  FOR</w:t>
      </w:r>
    </w:p>
    <w:p>
      <w:pPr>
        <w:spacing w:after="0" w:line="20" w:lineRule="exact"/>
        <w:rPr>
          <w:sz w:val="20"/>
          <w:szCs w:val="20"/>
          <w:color w:val="auto"/>
        </w:rPr>
      </w:pPr>
      <w:r>
        <w:rPr>
          <w:sz w:val="20"/>
          <w:szCs w:val="20"/>
          <w:color w:val="auto"/>
        </w:rPr>
        <w:br w:type="column"/>
      </w:r>
    </w:p>
    <w:p>
      <w:pPr>
        <w:ind w:right="40"/>
        <w:spacing w:after="0" w:line="236" w:lineRule="auto"/>
        <w:rPr>
          <w:sz w:val="20"/>
          <w:szCs w:val="20"/>
          <w:color w:val="auto"/>
        </w:rPr>
      </w:pPr>
      <w:r>
        <w:rPr>
          <w:rFonts w:ascii="Arial" w:cs="Arial" w:eastAsia="Arial" w:hAnsi="Arial"/>
          <w:sz w:val="15"/>
          <w:szCs w:val="15"/>
          <w:color w:val="auto"/>
        </w:rPr>
        <w:t>If you were a stockholder as of January 5, 2026</w:t>
      </w:r>
      <w:r>
        <w:rPr>
          <w:rFonts w:ascii="Arial" w:cs="Arial" w:eastAsia="Arial" w:hAnsi="Arial"/>
          <w:sz w:val="15"/>
          <w:szCs w:val="15"/>
          <w:b w:val="1"/>
          <w:bCs w:val="1"/>
          <w:color w:val="auto"/>
        </w:rPr>
        <w:t>,</w:t>
      </w:r>
      <w:r>
        <w:rPr>
          <w:rFonts w:ascii="Arial" w:cs="Arial" w:eastAsia="Arial" w:hAnsi="Arial"/>
          <w:sz w:val="15"/>
          <w:szCs w:val="15"/>
          <w:color w:val="auto"/>
        </w:rPr>
        <w:t xml:space="preserve"> you are eligible to vote. A list of stockholders entitled to vote will be available for inspection at our principal executive offices (5 West Mendenhall, Suite 105, Bozeman, Montana 59715) during business hours for at least ten days before the Annual Meeting. To view the list, please contact our Corporate Secretary to schedule an appointment.</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to vote</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355BAA"/>
        </w:rPr>
        <w:t xml:space="preserve">By internet </w:t>
      </w:r>
      <w:r>
        <w:rPr>
          <w:rFonts w:ascii="Arial" w:cs="Arial" w:eastAsia="Arial" w:hAnsi="Arial"/>
          <w:sz w:val="15"/>
          <w:szCs w:val="15"/>
          <w:b w:val="1"/>
          <w:bCs w:val="1"/>
          <w:i w:val="1"/>
          <w:iCs w:val="1"/>
          <w:color w:val="000000"/>
        </w:rPr>
        <w:t>www.proxyvote.com</w:t>
      </w:r>
    </w:p>
    <w:p>
      <w:pPr>
        <w:spacing w:after="0" w:line="100"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Use the internet to transmit your voting instructions up until 11:59 P.M. Eastern Time the day before the meeting date.</w:t>
      </w:r>
    </w:p>
    <w:p>
      <w:pPr>
        <w:spacing w:after="0" w:line="51" w:lineRule="exact"/>
        <w:rPr>
          <w:sz w:val="20"/>
          <w:szCs w:val="20"/>
          <w:color w:val="auto"/>
        </w:rPr>
      </w:pPr>
    </w:p>
    <w:p>
      <w:pPr>
        <w:sectPr>
          <w:pgSz w:w="11900" w:h="16838" w:orient="portrait"/>
          <w:cols w:equalWidth="0" w:num="3">
            <w:col w:w="3120" w:space="260"/>
            <w:col w:w="1640" w:space="720"/>
            <w:col w:w="5340"/>
          </w:cols>
          <w:pgMar w:left="320" w:top="482" w:right="499" w:bottom="1440" w:gutter="0" w:footer="0" w:header="0"/>
          <w:type w:val="continuous"/>
        </w:sectPr>
      </w:pPr>
    </w:p>
    <w:p>
      <w:pPr>
        <w:spacing w:after="0" w:line="50" w:lineRule="exact"/>
        <w:rPr>
          <w:sz w:val="20"/>
          <w:szCs w:val="20"/>
          <w:color w:val="auto"/>
        </w:rPr>
      </w:pPr>
    </w:p>
    <w:p>
      <w:pPr>
        <w:ind w:left="220" w:right="420"/>
        <w:spacing w:after="0" w:line="285" w:lineRule="auto"/>
        <w:rPr>
          <w:sz w:val="20"/>
          <w:szCs w:val="20"/>
          <w:color w:val="auto"/>
        </w:rPr>
      </w:pPr>
      <w:r>
        <w:rPr>
          <w:rFonts w:ascii="Arial" w:cs="Arial" w:eastAsia="Arial" w:hAnsi="Arial"/>
          <w:sz w:val="14"/>
          <w:szCs w:val="14"/>
          <w:color w:val="auto"/>
        </w:rPr>
        <w:t>At the Annual Meeting, we may also transact such other business as may properly come before the meeting or any adjournment thereof.</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142635"/>
        </w:rPr>
        <w:t>Annual report</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5"/>
          <w:szCs w:val="15"/>
          <w:color w:val="auto"/>
        </w:rPr>
        <w:t>Our 2025 Annual Report accompanies the proxy statement.</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142635"/>
        </w:rPr>
        <w:t>Voting</w:t>
      </w:r>
    </w:p>
    <w:p>
      <w:pPr>
        <w:spacing w:after="0" w:line="98" w:lineRule="exact"/>
        <w:rPr>
          <w:sz w:val="20"/>
          <w:szCs w:val="20"/>
          <w:color w:val="auto"/>
        </w:rPr>
      </w:pPr>
    </w:p>
    <w:p>
      <w:pPr>
        <w:jc w:val="both"/>
        <w:ind w:left="120"/>
        <w:spacing w:after="0" w:line="239" w:lineRule="auto"/>
        <w:rPr>
          <w:sz w:val="20"/>
          <w:szCs w:val="20"/>
          <w:color w:val="auto"/>
        </w:rPr>
      </w:pPr>
      <w:r>
        <w:rPr>
          <w:rFonts w:ascii="Arial" w:cs="Arial" w:eastAsia="Arial" w:hAnsi="Arial"/>
          <w:sz w:val="15"/>
          <w:szCs w:val="15"/>
          <w:b w:val="1"/>
          <w:bCs w:val="1"/>
          <w:color w:val="auto"/>
        </w:rPr>
        <w:t xml:space="preserve">Your vote is important. </w:t>
      </w:r>
      <w:r>
        <w:rPr>
          <w:rFonts w:ascii="Arial" w:cs="Arial" w:eastAsia="Arial" w:hAnsi="Arial"/>
          <w:sz w:val="15"/>
          <w:szCs w:val="15"/>
          <w:color w:val="auto"/>
        </w:rPr>
        <w:t>While stockholders are invited to attend the meeting</w:t>
      </w:r>
      <w:r>
        <w:rPr>
          <w:rFonts w:ascii="Arial" w:cs="Arial" w:eastAsia="Arial" w:hAnsi="Arial"/>
          <w:sz w:val="15"/>
          <w:szCs w:val="15"/>
          <w:b w:val="1"/>
          <w:bCs w:val="1"/>
          <w:color w:val="auto"/>
        </w:rPr>
        <w:t xml:space="preserve"> </w:t>
      </w:r>
      <w:r>
        <w:rPr>
          <w:rFonts w:ascii="Arial" w:cs="Arial" w:eastAsia="Arial" w:hAnsi="Arial"/>
          <w:sz w:val="15"/>
          <w:szCs w:val="15"/>
          <w:color w:val="auto"/>
        </w:rPr>
        <w:t>in person, they should promptly submit their proxy by mail, internet, or phone to ensure their representation. Stockholders who attend the meeting can still vote in person, even if they previously submitted a proxy.</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142635"/>
        </w:rPr>
        <w:t>Admittance to meeting</w:t>
      </w:r>
    </w:p>
    <w:p>
      <w:pPr>
        <w:spacing w:after="0" w:line="100" w:lineRule="exact"/>
        <w:rPr>
          <w:sz w:val="20"/>
          <w:szCs w:val="20"/>
          <w:color w:val="auto"/>
        </w:rPr>
      </w:pPr>
    </w:p>
    <w:p>
      <w:pPr>
        <w:ind w:left="120" w:right="320"/>
        <w:spacing w:after="0" w:line="238" w:lineRule="auto"/>
        <w:rPr>
          <w:sz w:val="20"/>
          <w:szCs w:val="20"/>
          <w:color w:val="auto"/>
        </w:rPr>
      </w:pPr>
      <w:r>
        <w:rPr>
          <w:rFonts w:ascii="Arial" w:cs="Arial" w:eastAsia="Arial" w:hAnsi="Arial"/>
          <w:sz w:val="15"/>
          <w:szCs w:val="15"/>
          <w:color w:val="auto"/>
        </w:rPr>
        <w:t>The Annual Meeting will be limited to stockholders, and those without an admission ticket must present identification at the registration table. Stockholders holding shares by a bank, broker, or nominee must certify ownership at the registration table before being admitted.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65405</wp:posOffset>
            </wp:positionV>
            <wp:extent cx="1680210"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8021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15"/>
          <w:szCs w:val="15"/>
          <w:color w:val="auto"/>
        </w:rPr>
        <w:t>Mark R. Scadina</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auto"/>
        </w:rPr>
        <w:t>Executive Vice President, General Counsel and Secretary</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5"/>
          <w:szCs w:val="15"/>
          <w:color w:val="auto"/>
        </w:rPr>
        <w:t>January 27, 2026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355BAA"/>
        </w:rPr>
        <w:t xml:space="preserve">By telephone </w:t>
      </w:r>
      <w:r>
        <w:rPr>
          <w:rFonts w:ascii="Arial" w:cs="Arial" w:eastAsia="Arial" w:hAnsi="Arial"/>
          <w:sz w:val="15"/>
          <w:szCs w:val="15"/>
          <w:b w:val="1"/>
          <w:bCs w:val="1"/>
          <w:i w:val="1"/>
          <w:iCs w:val="1"/>
          <w:color w:val="000000"/>
        </w:rPr>
        <w:t>1-800-690-6903</w:t>
      </w:r>
    </w:p>
    <w:p>
      <w:pPr>
        <w:spacing w:after="0" w:line="100"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Use any touch-tone telephone to transmit your voting instructions up until 11:59 P.M. Eastern Time the day before the meeting date.</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color w:val="355BAA"/>
        </w:rPr>
        <w:t>By mail</w:t>
      </w:r>
    </w:p>
    <w:p>
      <w:pPr>
        <w:spacing w:after="0" w:line="100" w:lineRule="exact"/>
        <w:rPr>
          <w:sz w:val="20"/>
          <w:szCs w:val="20"/>
          <w:color w:val="auto"/>
        </w:rPr>
      </w:pPr>
    </w:p>
    <w:p>
      <w:pPr>
        <w:spacing w:after="0" w:line="232" w:lineRule="auto"/>
        <w:rPr>
          <w:sz w:val="20"/>
          <w:szCs w:val="20"/>
          <w:color w:val="auto"/>
        </w:rPr>
      </w:pPr>
      <w:r>
        <w:rPr>
          <w:rFonts w:ascii="Arial" w:cs="Arial" w:eastAsia="Arial" w:hAnsi="Arial"/>
          <w:sz w:val="15"/>
          <w:szCs w:val="15"/>
          <w:color w:val="auto"/>
        </w:rPr>
        <w:t>Complete, sign, and date the proxy card, then return it in the prepaid envelope. If no voting preferences are marked, your proxy will be voted FOR all director nominees, FOR the advisory resolution on executive compensation, FOR the ratification of Deloitte &amp; Touche LLP as the independent auditor for fiscal 2026, FOR an amendment to the Company’s Restated Certificate of Incorporation to allow for exculpation of officers as permitted by Delaware law and FOR an amendment to the Company’s Restated Certificate of Incorporation to eliminate the supermajority voting requirement.</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b w:val="1"/>
          <w:bCs w:val="1"/>
          <w:color w:val="355BAA"/>
        </w:rPr>
        <w:t>In person at the Annual Meeting</w:t>
      </w:r>
    </w:p>
    <w:p>
      <w:pPr>
        <w:spacing w:after="0" w:line="100" w:lineRule="exact"/>
        <w:rPr>
          <w:sz w:val="20"/>
          <w:szCs w:val="20"/>
          <w:color w:val="auto"/>
        </w:rPr>
      </w:pPr>
    </w:p>
    <w:p>
      <w:pPr>
        <w:ind w:right="160"/>
        <w:spacing w:after="0" w:line="244" w:lineRule="auto"/>
        <w:rPr>
          <w:sz w:val="20"/>
          <w:szCs w:val="20"/>
          <w:color w:val="auto"/>
        </w:rPr>
      </w:pPr>
      <w:r>
        <w:rPr>
          <w:rFonts w:ascii="Arial" w:cs="Arial" w:eastAsia="Arial" w:hAnsi="Arial"/>
          <w:sz w:val="15"/>
          <w:szCs w:val="15"/>
          <w:color w:val="auto"/>
        </w:rPr>
        <w:t>All stockholders can vote in person at the Annual Meeting. Beneficial owners must obtain a legal proxy from their broker, bank, or nominee and present it with their ballot at the meeting.</w:t>
      </w:r>
    </w:p>
    <w:p>
      <w:pPr>
        <w:sectPr>
          <w:pgSz w:w="11900" w:h="16838" w:orient="portrait"/>
          <w:cols w:equalWidth="0" w:num="2">
            <w:col w:w="5320" w:space="420"/>
            <w:col w:w="5340"/>
          </w:cols>
          <w:pgMar w:left="320" w:top="482" w:right="4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auto"/>
        </w:rPr>
        <w:t>A LETTER FROM OUR CHAIRMAN AND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7715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171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 is our pleasure to invite you to attend the 2026 Annual Meeting of Stockholders of Fair Isaac Corporation at our San Jose, CA office on</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Wednesday, March 4, 2026, at 9:30 a.m. Pacific Time. At this year’s meeting, we will conduct a:</w:t>
      </w:r>
    </w:p>
    <w:p>
      <w:pPr>
        <w:spacing w:after="0" w:line="99"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vote on the election of directors;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non-binding advisory vote to approve the compensation of FICO’s named executive officers;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vote on the ratification of the selection of Deloitte &amp; Touche LLP as FICO’s independent registered public accounting firm;</w:t>
      </w:r>
    </w:p>
    <w:p>
      <w:pPr>
        <w:spacing w:after="0" w:line="117" w:lineRule="exact"/>
        <w:rPr>
          <w:rFonts w:ascii="Arial" w:cs="Arial" w:eastAsia="Arial" w:hAnsi="Arial"/>
          <w:sz w:val="18"/>
          <w:szCs w:val="18"/>
          <w:color w:val="auto"/>
        </w:rPr>
      </w:pPr>
    </w:p>
    <w:p>
      <w:pPr>
        <w:ind w:left="1300" w:right="20" w:hanging="644"/>
        <w:spacing w:after="0" w:line="271"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vote to approve an amendment to FICO’s Restated Certificate of Incorporation to allow for exculpation of officers as permitted by Delaware law; and</w:t>
      </w:r>
    </w:p>
    <w:p>
      <w:pPr>
        <w:spacing w:after="0" w:line="59" w:lineRule="exact"/>
        <w:rPr>
          <w:rFonts w:ascii="Arial" w:cs="Arial" w:eastAsia="Arial" w:hAnsi="Arial"/>
          <w:sz w:val="18"/>
          <w:szCs w:val="18"/>
          <w:color w:val="auto"/>
        </w:rPr>
      </w:pPr>
    </w:p>
    <w:p>
      <w:pPr>
        <w:ind w:left="1300" w:right="20" w:hanging="644"/>
        <w:spacing w:after="0" w:line="271"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vote to approve an amendment to FICO’s Restated Certificate of Incorporation to eliminate the supermajority voting requirement.</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Finally, stockholders will have an opportunity to ask questions.</w:t>
      </w:r>
    </w:p>
    <w:p>
      <w:pPr>
        <w:spacing w:after="0" w:line="212"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Your vote is important. Whether or not you plan to participate in the annual meeting, please vote as soon as possible. You may vote by proxy prior to the meeting over the internet, by telephone or by mailing a completed proxy card or voting instruction form. Your vote by proxy will ensure your representation at the annual meeting regardless of whether you attend the meeting. Details regarding the annual meeting and the business to be conducted are described in the accompanying Notice of Annual Meeting of Stockholders and Proxy Statement.</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Thank you for your trust and ongoing support of FICO.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326390</wp:posOffset>
            </wp:positionV>
            <wp:extent cx="1722755" cy="488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2275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Braden R. Kelly,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326390</wp:posOffset>
            </wp:positionV>
            <wp:extent cx="1688465" cy="32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884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William J. Lansing, CEO</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337" w:lineRule="exact"/>
        <w:rPr>
          <w:sz w:val="20"/>
          <w:szCs w:val="20"/>
          <w:color w:val="auto"/>
        </w:rPr>
      </w:pPr>
    </w:p>
    <w:p>
      <w:pPr>
        <w:ind w:left="120"/>
        <w:spacing w:after="0"/>
        <w:rPr>
          <w:sz w:val="20"/>
          <w:szCs w:val="20"/>
          <w:color w:val="auto"/>
        </w:rPr>
      </w:pPr>
      <w:r>
        <w:rPr>
          <w:rFonts w:ascii="Arial" w:cs="Arial" w:eastAsia="Arial" w:hAnsi="Arial"/>
          <w:sz w:val="28"/>
          <w:szCs w:val="2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77063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77063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4560" w:type="dxa"/>
            <w:vAlign w:val="bottom"/>
            <w:gridSpan w:val="23"/>
          </w:tcPr>
          <w:p>
            <w:pPr>
              <w:spacing w:after="0"/>
              <w:rPr>
                <w:sz w:val="20"/>
                <w:szCs w:val="20"/>
                <w:color w:val="auto"/>
              </w:rPr>
            </w:pPr>
            <w:r>
              <w:rPr>
                <w:rFonts w:ascii="Arial" w:cs="Arial" w:eastAsia="Arial" w:hAnsi="Arial"/>
                <w:sz w:val="18"/>
                <w:szCs w:val="18"/>
                <w:color w:val="0000EE"/>
              </w:rPr>
              <w:t>Proxy Summary</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 w:type="dxa"/>
            <w:vAlign w:val="bottom"/>
            <w:tcBorders>
              <w:bottom w:val="single" w:sz="8" w:color="F4F9FC"/>
            </w:tcBorders>
            <w:shd w:val="clear" w:color="auto" w:fill="F4F9FC"/>
          </w:tcPr>
          <w:p>
            <w:pPr>
              <w:spacing w:after="0"/>
              <w:rPr>
                <w:sz w:val="24"/>
                <w:szCs w:val="24"/>
                <w:color w:val="auto"/>
              </w:rPr>
            </w:pPr>
          </w:p>
        </w:tc>
        <w:tc>
          <w:tcPr>
            <w:tcW w:w="3580" w:type="dxa"/>
            <w:vAlign w:val="bottom"/>
            <w:tcBorders>
              <w:bottom w:val="single" w:sz="8" w:color="0000EE"/>
            </w:tcBorders>
            <w:gridSpan w:val="19"/>
            <w:shd w:val="clear" w:color="auto" w:fill="F4F9FC"/>
          </w:tcPr>
          <w:p>
            <w:pPr>
              <w:spacing w:after="0"/>
              <w:rPr>
                <w:sz w:val="20"/>
                <w:szCs w:val="20"/>
                <w:color w:val="auto"/>
              </w:rPr>
            </w:pPr>
            <w:r>
              <w:rPr>
                <w:rFonts w:ascii="Arial" w:cs="Arial" w:eastAsia="Arial" w:hAnsi="Arial"/>
                <w:sz w:val="18"/>
                <w:szCs w:val="18"/>
                <w:b w:val="1"/>
                <w:bCs w:val="1"/>
                <w:color w:val="0000EE"/>
                <w:w w:val="99"/>
              </w:rPr>
              <w:t>PROPOSAL 1: ELECTION OF DIRECTORS</w:t>
            </w:r>
          </w:p>
        </w:tc>
        <w:tc>
          <w:tcPr>
            <w:tcW w:w="980" w:type="dxa"/>
            <w:vAlign w:val="bottom"/>
            <w:tcBorders>
              <w:bottom w:val="single" w:sz="8" w:color="F4F9FC"/>
            </w:tcBorders>
            <w:gridSpan w:val="4"/>
            <w:shd w:val="clear" w:color="auto" w:fill="F4F9FC"/>
          </w:tcPr>
          <w:p>
            <w:pPr>
              <w:spacing w:after="0"/>
              <w:rPr>
                <w:sz w:val="24"/>
                <w:szCs w:val="24"/>
                <w:color w:val="auto"/>
              </w:rPr>
            </w:pPr>
          </w:p>
        </w:tc>
        <w:tc>
          <w:tcPr>
            <w:tcW w:w="620" w:type="dxa"/>
            <w:vAlign w:val="bottom"/>
            <w:tcBorders>
              <w:bottom w:val="single" w:sz="8" w:color="F4F9FC"/>
            </w:tcBorders>
            <w:shd w:val="clear" w:color="auto" w:fill="F4F9FC"/>
          </w:tcPr>
          <w:p>
            <w:pPr>
              <w:jc w:val="right"/>
              <w:ind w:right="1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13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8"/>
              </w:rPr>
              <w:t>Annual Elections</w:t>
            </w:r>
          </w:p>
        </w:tc>
        <w:tc>
          <w:tcPr>
            <w:tcW w:w="3220" w:type="dxa"/>
            <w:vAlign w:val="bottom"/>
            <w:gridSpan w:val="21"/>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58"/>
        </w:trPr>
        <w:tc>
          <w:tcPr>
            <w:tcW w:w="100" w:type="dxa"/>
            <w:vAlign w:val="bottom"/>
          </w:tcPr>
          <w:p>
            <w:pPr>
              <w:spacing w:after="0"/>
              <w:rPr>
                <w:sz w:val="24"/>
                <w:szCs w:val="24"/>
                <w:color w:val="auto"/>
              </w:rPr>
            </w:pPr>
          </w:p>
        </w:tc>
        <w:tc>
          <w:tcPr>
            <w:tcW w:w="19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8"/>
              </w:rPr>
              <w:t>Majority Voting Standard</w:t>
            </w:r>
          </w:p>
        </w:tc>
        <w:tc>
          <w:tcPr>
            <w:tcW w:w="2600" w:type="dxa"/>
            <w:vAlign w:val="bottom"/>
            <w:gridSpan w:val="16"/>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58"/>
        </w:trPr>
        <w:tc>
          <w:tcPr>
            <w:tcW w:w="100" w:type="dxa"/>
            <w:vAlign w:val="bottom"/>
          </w:tcPr>
          <w:p>
            <w:pPr>
              <w:spacing w:after="0"/>
              <w:rPr>
                <w:sz w:val="24"/>
                <w:szCs w:val="24"/>
                <w:color w:val="auto"/>
              </w:rPr>
            </w:pPr>
          </w:p>
        </w:tc>
        <w:tc>
          <w:tcPr>
            <w:tcW w:w="4560" w:type="dxa"/>
            <w:vAlign w:val="bottom"/>
            <w:gridSpan w:val="23"/>
          </w:tcPr>
          <w:p>
            <w:pPr>
              <w:spacing w:after="0"/>
              <w:rPr>
                <w:sz w:val="20"/>
                <w:szCs w:val="20"/>
                <w:color w:val="auto"/>
              </w:rPr>
            </w:pPr>
            <w:r>
              <w:rPr>
                <w:rFonts w:ascii="Arial" w:cs="Arial" w:eastAsia="Arial" w:hAnsi="Arial"/>
                <w:sz w:val="18"/>
                <w:szCs w:val="18"/>
                <w:color w:val="0000EE"/>
              </w:rPr>
              <w:t>Director Nominee Selection Process</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4560" w:type="dxa"/>
            <w:vAlign w:val="bottom"/>
            <w:gridSpan w:val="23"/>
          </w:tcPr>
          <w:p>
            <w:pPr>
              <w:spacing w:after="0"/>
              <w:rPr>
                <w:sz w:val="20"/>
                <w:szCs w:val="20"/>
                <w:color w:val="auto"/>
              </w:rPr>
            </w:pPr>
            <w:r>
              <w:rPr>
                <w:rFonts w:ascii="Arial" w:cs="Arial" w:eastAsia="Arial" w:hAnsi="Arial"/>
                <w:sz w:val="18"/>
                <w:szCs w:val="18"/>
                <w:color w:val="0000EE"/>
              </w:rPr>
              <w:t>Director Nominee Skills and Experience Matrix</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58"/>
        </w:trPr>
        <w:tc>
          <w:tcPr>
            <w:tcW w:w="100" w:type="dxa"/>
            <w:vAlign w:val="bottom"/>
          </w:tcPr>
          <w:p>
            <w:pPr>
              <w:spacing w:after="0"/>
              <w:rPr>
                <w:sz w:val="24"/>
                <w:szCs w:val="24"/>
                <w:color w:val="auto"/>
              </w:rPr>
            </w:pPr>
          </w:p>
        </w:tc>
        <w:tc>
          <w:tcPr>
            <w:tcW w:w="3700" w:type="dxa"/>
            <w:vAlign w:val="bottom"/>
            <w:tcBorders>
              <w:top w:val="single" w:sz="8" w:color="0000EE"/>
            </w:tcBorders>
            <w:gridSpan w:val="20"/>
          </w:tcPr>
          <w:p>
            <w:pPr>
              <w:spacing w:after="0"/>
              <w:rPr>
                <w:sz w:val="20"/>
                <w:szCs w:val="20"/>
                <w:color w:val="auto"/>
              </w:rPr>
            </w:pPr>
            <w:r>
              <w:rPr>
                <w:rFonts w:ascii="Arial" w:cs="Arial" w:eastAsia="Arial" w:hAnsi="Arial"/>
                <w:sz w:val="18"/>
                <w:szCs w:val="18"/>
                <w:color w:val="0000EE"/>
              </w:rPr>
              <w:t>Director Nominees</w:t>
            </w:r>
          </w:p>
        </w:tc>
        <w:tc>
          <w:tcPr>
            <w:tcW w:w="860" w:type="dxa"/>
            <w:vAlign w:val="bottom"/>
            <w:gridSpan w:val="3"/>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4560" w:type="dxa"/>
            <w:vAlign w:val="bottom"/>
            <w:gridSpan w:val="23"/>
          </w:tcPr>
          <w:p>
            <w:pPr>
              <w:spacing w:after="0"/>
              <w:rPr>
                <w:sz w:val="20"/>
                <w:szCs w:val="20"/>
                <w:color w:val="auto"/>
              </w:rPr>
            </w:pPr>
            <w:r>
              <w:rPr>
                <w:rFonts w:ascii="Arial" w:cs="Arial" w:eastAsia="Arial" w:hAnsi="Arial"/>
                <w:sz w:val="18"/>
                <w:szCs w:val="18"/>
                <w:color w:val="0000EE"/>
              </w:rPr>
              <w:t>Corporate Governance</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22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Board Leadership Structure</w:t>
            </w:r>
          </w:p>
        </w:tc>
        <w:tc>
          <w:tcPr>
            <w:tcW w:w="2360" w:type="dxa"/>
            <w:vAlign w:val="bottom"/>
            <w:gridSpan w:val="12"/>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58"/>
        </w:trPr>
        <w:tc>
          <w:tcPr>
            <w:tcW w:w="100" w:type="dxa"/>
            <w:vAlign w:val="bottom"/>
          </w:tcPr>
          <w:p>
            <w:pPr>
              <w:spacing w:after="0"/>
              <w:rPr>
                <w:sz w:val="24"/>
                <w:szCs w:val="24"/>
                <w:color w:val="auto"/>
              </w:rPr>
            </w:pPr>
          </w:p>
        </w:tc>
        <w:tc>
          <w:tcPr>
            <w:tcW w:w="21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9"/>
              </w:rPr>
              <w:t>Board Risk Oversight Role</w:t>
            </w:r>
          </w:p>
        </w:tc>
        <w:tc>
          <w:tcPr>
            <w:tcW w:w="2440" w:type="dxa"/>
            <w:vAlign w:val="bottom"/>
            <w:gridSpan w:val="13"/>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58"/>
        </w:trPr>
        <w:tc>
          <w:tcPr>
            <w:tcW w:w="100" w:type="dxa"/>
            <w:vAlign w:val="bottom"/>
          </w:tcPr>
          <w:p>
            <w:pPr>
              <w:spacing w:after="0"/>
              <w:rPr>
                <w:sz w:val="24"/>
                <w:szCs w:val="24"/>
                <w:color w:val="auto"/>
              </w:rPr>
            </w:pPr>
          </w:p>
        </w:tc>
        <w:tc>
          <w:tcPr>
            <w:tcW w:w="24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Attendance at Board Meetings</w:t>
            </w:r>
          </w:p>
        </w:tc>
        <w:tc>
          <w:tcPr>
            <w:tcW w:w="2140" w:type="dxa"/>
            <w:vAlign w:val="bottom"/>
            <w:gridSpan w:val="11"/>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58"/>
        </w:trPr>
        <w:tc>
          <w:tcPr>
            <w:tcW w:w="100" w:type="dxa"/>
            <w:vAlign w:val="bottom"/>
          </w:tcPr>
          <w:p>
            <w:pPr>
              <w:spacing w:after="0"/>
              <w:rPr>
                <w:sz w:val="24"/>
                <w:szCs w:val="24"/>
                <w:color w:val="auto"/>
              </w:rPr>
            </w:pPr>
          </w:p>
        </w:tc>
        <w:tc>
          <w:tcPr>
            <w:tcW w:w="244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9"/>
              </w:rPr>
              <w:t>Board Self-Evaluation Process</w:t>
            </w:r>
          </w:p>
        </w:tc>
        <w:tc>
          <w:tcPr>
            <w:tcW w:w="2120" w:type="dxa"/>
            <w:vAlign w:val="bottom"/>
            <w:gridSpan w:val="10"/>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58"/>
        </w:trPr>
        <w:tc>
          <w:tcPr>
            <w:tcW w:w="100" w:type="dxa"/>
            <w:vAlign w:val="bottom"/>
          </w:tcPr>
          <w:p>
            <w:pPr>
              <w:spacing w:after="0"/>
              <w:rPr>
                <w:sz w:val="24"/>
                <w:szCs w:val="24"/>
                <w:color w:val="auto"/>
              </w:rPr>
            </w:pPr>
          </w:p>
        </w:tc>
        <w:tc>
          <w:tcPr>
            <w:tcW w:w="4560" w:type="dxa"/>
            <w:vAlign w:val="bottom"/>
            <w:gridSpan w:val="23"/>
          </w:tcPr>
          <w:p>
            <w:pPr>
              <w:spacing w:after="0"/>
              <w:rPr>
                <w:sz w:val="20"/>
                <w:szCs w:val="20"/>
                <w:color w:val="auto"/>
              </w:rPr>
            </w:pPr>
            <w:r>
              <w:rPr>
                <w:rFonts w:ascii="Arial" w:cs="Arial" w:eastAsia="Arial" w:hAnsi="Arial"/>
                <w:sz w:val="18"/>
                <w:szCs w:val="18"/>
                <w:color w:val="0000EE"/>
              </w:rPr>
              <w:t>Board Committees</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4560" w:type="dxa"/>
            <w:vAlign w:val="bottom"/>
            <w:gridSpan w:val="23"/>
          </w:tcPr>
          <w:p>
            <w:pPr>
              <w:spacing w:after="0"/>
              <w:rPr>
                <w:sz w:val="20"/>
                <w:szCs w:val="20"/>
                <w:color w:val="auto"/>
              </w:rPr>
            </w:pPr>
            <w:r>
              <w:rPr>
                <w:rFonts w:ascii="Arial" w:cs="Arial" w:eastAsia="Arial" w:hAnsi="Arial"/>
                <w:sz w:val="18"/>
                <w:szCs w:val="18"/>
                <w:color w:val="0000EE"/>
              </w:rPr>
              <w:t>Stockholder-Recommended Director Candidates</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vMerge w:val="restart"/>
          </w:tcPr>
          <w:p>
            <w:pPr>
              <w:jc w:val="right"/>
              <w:ind w:right="1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line="20" w:lineRule="exact"/>
              <w:rPr>
                <w:sz w:val="1"/>
                <w:szCs w:val="1"/>
                <w:color w:val="auto"/>
              </w:rPr>
            </w:pPr>
          </w:p>
        </w:tc>
      </w:tr>
      <w:tr>
        <w:trPr>
          <w:trHeight w:val="574"/>
        </w:trPr>
        <w:tc>
          <w:tcPr>
            <w:tcW w:w="100" w:type="dxa"/>
            <w:vAlign w:val="bottom"/>
          </w:tcPr>
          <w:p>
            <w:pPr>
              <w:spacing w:after="0"/>
              <w:rPr>
                <w:sz w:val="24"/>
                <w:szCs w:val="24"/>
                <w:color w:val="auto"/>
              </w:rPr>
            </w:pPr>
          </w:p>
        </w:tc>
        <w:tc>
          <w:tcPr>
            <w:tcW w:w="444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9"/>
              </w:rPr>
              <w:t>Environmental, Social and Governance (“ESG”) Matters</w:t>
            </w:r>
          </w:p>
        </w:tc>
        <w:tc>
          <w:tcPr>
            <w:tcW w:w="12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0" w:type="dxa"/>
            <w:vAlign w:val="bottom"/>
          </w:tcPr>
          <w:p>
            <w:pPr>
              <w:spacing w:after="0"/>
              <w:rPr>
                <w:sz w:val="24"/>
                <w:szCs w:val="24"/>
                <w:color w:val="auto"/>
              </w:rPr>
            </w:pPr>
          </w:p>
        </w:tc>
        <w:tc>
          <w:tcPr>
            <w:tcW w:w="21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8"/>
              </w:rPr>
              <w:t>Human Capital Resources</w:t>
            </w:r>
          </w:p>
        </w:tc>
        <w:tc>
          <w:tcPr>
            <w:tcW w:w="2460" w:type="dxa"/>
            <w:vAlign w:val="bottom"/>
            <w:gridSpan w:val="14"/>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58"/>
        </w:trPr>
        <w:tc>
          <w:tcPr>
            <w:tcW w:w="100" w:type="dxa"/>
            <w:vAlign w:val="bottom"/>
          </w:tcPr>
          <w:p>
            <w:pPr>
              <w:spacing w:after="0"/>
              <w:rPr>
                <w:sz w:val="24"/>
                <w:szCs w:val="24"/>
                <w:color w:val="auto"/>
              </w:rPr>
            </w:pPr>
          </w:p>
        </w:tc>
        <w:tc>
          <w:tcPr>
            <w:tcW w:w="17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8"/>
              </w:rPr>
              <w:t>Insider Trading Policy</w:t>
            </w:r>
          </w:p>
        </w:tc>
        <w:tc>
          <w:tcPr>
            <w:tcW w:w="2840" w:type="dxa"/>
            <w:vAlign w:val="bottom"/>
            <w:gridSpan w:val="18"/>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58"/>
        </w:trPr>
        <w:tc>
          <w:tcPr>
            <w:tcW w:w="100" w:type="dxa"/>
            <w:vAlign w:val="bottom"/>
          </w:tcPr>
          <w:p>
            <w:pPr>
              <w:spacing w:after="0"/>
              <w:rPr>
                <w:sz w:val="24"/>
                <w:szCs w:val="24"/>
                <w:color w:val="auto"/>
              </w:rPr>
            </w:pPr>
          </w:p>
        </w:tc>
        <w:tc>
          <w:tcPr>
            <w:tcW w:w="4560" w:type="dxa"/>
            <w:vAlign w:val="bottom"/>
            <w:gridSpan w:val="23"/>
          </w:tcPr>
          <w:p>
            <w:pPr>
              <w:spacing w:after="0"/>
              <w:rPr>
                <w:sz w:val="20"/>
                <w:szCs w:val="20"/>
                <w:color w:val="auto"/>
              </w:rPr>
            </w:pPr>
            <w:r>
              <w:rPr>
                <w:rFonts w:ascii="Arial" w:cs="Arial" w:eastAsia="Arial" w:hAnsi="Arial"/>
                <w:sz w:val="18"/>
                <w:szCs w:val="18"/>
                <w:color w:val="0000EE"/>
              </w:rPr>
              <w:t>Succession Planning</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20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8"/>
              </w:rPr>
              <w:t>Stockholder Engagement</w:t>
            </w:r>
          </w:p>
        </w:tc>
        <w:tc>
          <w:tcPr>
            <w:tcW w:w="2540" w:type="dxa"/>
            <w:vAlign w:val="bottom"/>
            <w:gridSpan w:val="15"/>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58"/>
        </w:trPr>
        <w:tc>
          <w:tcPr>
            <w:tcW w:w="100" w:type="dxa"/>
            <w:vAlign w:val="bottom"/>
          </w:tcPr>
          <w:p>
            <w:pPr>
              <w:spacing w:after="0"/>
              <w:rPr>
                <w:sz w:val="24"/>
                <w:szCs w:val="24"/>
                <w:color w:val="auto"/>
              </w:rPr>
            </w:pPr>
          </w:p>
        </w:tc>
        <w:tc>
          <w:tcPr>
            <w:tcW w:w="4560" w:type="dxa"/>
            <w:vAlign w:val="bottom"/>
            <w:gridSpan w:val="23"/>
          </w:tcPr>
          <w:p>
            <w:pPr>
              <w:spacing w:after="0"/>
              <w:rPr>
                <w:sz w:val="20"/>
                <w:szCs w:val="20"/>
                <w:color w:val="auto"/>
              </w:rPr>
            </w:pPr>
            <w:r>
              <w:rPr>
                <w:rFonts w:ascii="Arial" w:cs="Arial" w:eastAsia="Arial" w:hAnsi="Arial"/>
                <w:sz w:val="18"/>
                <w:szCs w:val="18"/>
                <w:color w:val="0000EE"/>
              </w:rPr>
              <w:t>Director Compensation Programs</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660" w:type="dxa"/>
            <w:vAlign w:val="bottom"/>
            <w:gridSpan w:val="1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30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Non-Employee Director Compensation</w:t>
            </w:r>
          </w:p>
        </w:tc>
        <w:tc>
          <w:tcPr>
            <w:tcW w:w="1480" w:type="dxa"/>
            <w:vAlign w:val="bottom"/>
            <w:gridSpan w:val="5"/>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58"/>
        </w:trPr>
        <w:tc>
          <w:tcPr>
            <w:tcW w:w="100" w:type="dxa"/>
            <w:vAlign w:val="bottom"/>
          </w:tcPr>
          <w:p>
            <w:pPr>
              <w:spacing w:after="0"/>
              <w:rPr>
                <w:sz w:val="24"/>
                <w:szCs w:val="24"/>
                <w:color w:val="auto"/>
              </w:rPr>
            </w:pPr>
          </w:p>
        </w:tc>
        <w:tc>
          <w:tcPr>
            <w:tcW w:w="294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9"/>
              </w:rPr>
              <w:t>Director Stock Ownership Guidelines</w:t>
            </w:r>
          </w:p>
        </w:tc>
        <w:tc>
          <w:tcPr>
            <w:tcW w:w="1620" w:type="dxa"/>
            <w:vAlign w:val="bottom"/>
            <w:gridSpan w:val="7"/>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58"/>
        </w:trPr>
        <w:tc>
          <w:tcPr>
            <w:tcW w:w="100" w:type="dxa"/>
            <w:vAlign w:val="bottom"/>
          </w:tcPr>
          <w:p>
            <w:pPr>
              <w:spacing w:after="0"/>
              <w:rPr>
                <w:sz w:val="24"/>
                <w:szCs w:val="24"/>
                <w:color w:val="auto"/>
              </w:rPr>
            </w:pPr>
          </w:p>
        </w:tc>
        <w:tc>
          <w:tcPr>
            <w:tcW w:w="4560" w:type="dxa"/>
            <w:vAlign w:val="bottom"/>
            <w:gridSpan w:val="23"/>
          </w:tcPr>
          <w:p>
            <w:pPr>
              <w:spacing w:after="0"/>
              <w:rPr>
                <w:sz w:val="20"/>
                <w:szCs w:val="20"/>
                <w:color w:val="auto"/>
              </w:rPr>
            </w:pPr>
            <w:r>
              <w:rPr>
                <w:rFonts w:ascii="Arial" w:cs="Arial" w:eastAsia="Arial" w:hAnsi="Arial"/>
                <w:sz w:val="18"/>
                <w:szCs w:val="18"/>
                <w:color w:val="0000EE"/>
              </w:rPr>
              <w:t>Director and Officer Liability Insurance Policies</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58"/>
        </w:trPr>
        <w:tc>
          <w:tcPr>
            <w:tcW w:w="100" w:type="dxa"/>
            <w:vAlign w:val="bottom"/>
          </w:tcPr>
          <w:p>
            <w:pPr>
              <w:spacing w:after="0"/>
              <w:rPr>
                <w:sz w:val="24"/>
                <w:szCs w:val="24"/>
                <w:color w:val="auto"/>
              </w:rPr>
            </w:pPr>
          </w:p>
        </w:tc>
        <w:tc>
          <w:tcPr>
            <w:tcW w:w="3700" w:type="dxa"/>
            <w:vAlign w:val="bottom"/>
            <w:tcBorders>
              <w:top w:val="single" w:sz="8" w:color="0000EE"/>
            </w:tcBorders>
            <w:gridSpan w:val="20"/>
          </w:tcPr>
          <w:p>
            <w:pPr>
              <w:spacing w:after="0"/>
              <w:rPr>
                <w:sz w:val="20"/>
                <w:szCs w:val="20"/>
                <w:color w:val="auto"/>
              </w:rPr>
            </w:pPr>
            <w:r>
              <w:rPr>
                <w:rFonts w:ascii="Arial" w:cs="Arial" w:eastAsia="Arial" w:hAnsi="Arial"/>
                <w:sz w:val="18"/>
                <w:szCs w:val="18"/>
                <w:color w:val="0000EE"/>
              </w:rPr>
              <w:t>Director Compensation for Fiscal 2025</w:t>
            </w:r>
          </w:p>
        </w:tc>
        <w:tc>
          <w:tcPr>
            <w:tcW w:w="860" w:type="dxa"/>
            <w:vAlign w:val="bottom"/>
            <w:gridSpan w:val="3"/>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4680" w:type="dxa"/>
            <w:vAlign w:val="bottom"/>
            <w:gridSpan w:val="31"/>
            <w:shd w:val="clear" w:color="auto" w:fill="F4F9FC"/>
          </w:tcPr>
          <w:p>
            <w:pPr>
              <w:spacing w:after="0"/>
              <w:rPr>
                <w:sz w:val="20"/>
                <w:szCs w:val="20"/>
                <w:color w:val="auto"/>
              </w:rPr>
            </w:pPr>
            <w:r>
              <w:rPr>
                <w:rFonts w:ascii="Arial" w:cs="Arial" w:eastAsia="Arial" w:hAnsi="Arial"/>
                <w:sz w:val="18"/>
                <w:szCs w:val="18"/>
                <w:b w:val="1"/>
                <w:bCs w:val="1"/>
                <w:color w:val="0000EE"/>
              </w:rPr>
              <w:t>PROPOSAL 2: ADVISORY VOTE ON EXECUTIVE</w:t>
            </w:r>
          </w:p>
        </w:tc>
        <w:tc>
          <w:tcPr>
            <w:tcW w:w="720" w:type="dxa"/>
            <w:vAlign w:val="bottom"/>
            <w:shd w:val="clear" w:color="auto" w:fill="F4F9FC"/>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300" w:type="dxa"/>
            <w:vAlign w:val="bottom"/>
            <w:tcBorders>
              <w:top w:val="single" w:sz="8" w:color="0000EE"/>
              <w:bottom w:val="single" w:sz="8" w:color="0000EE"/>
            </w:tcBorders>
            <w:gridSpan w:val="10"/>
            <w:shd w:val="clear" w:color="auto" w:fill="F4F9FC"/>
          </w:tcPr>
          <w:p>
            <w:pPr>
              <w:spacing w:after="0" w:line="169" w:lineRule="exact"/>
              <w:rPr>
                <w:sz w:val="20"/>
                <w:szCs w:val="20"/>
                <w:color w:val="auto"/>
              </w:rPr>
            </w:pPr>
            <w:r>
              <w:rPr>
                <w:rFonts w:ascii="Arial" w:cs="Arial" w:eastAsia="Arial" w:hAnsi="Arial"/>
                <w:sz w:val="18"/>
                <w:szCs w:val="18"/>
                <w:b w:val="1"/>
                <w:bCs w:val="1"/>
                <w:color w:val="0000EE"/>
                <w:w w:val="98"/>
              </w:rPr>
              <w:t>OFFICER COMPENSATION</w:t>
            </w:r>
          </w:p>
        </w:tc>
        <w:tc>
          <w:tcPr>
            <w:tcW w:w="560" w:type="dxa"/>
            <w:vAlign w:val="bottom"/>
            <w:tcBorders>
              <w:top w:val="single" w:sz="8" w:color="0000EE"/>
              <w:bottom w:val="single" w:sz="8" w:color="0000EE"/>
            </w:tcBorders>
            <w:vMerge w:val="restart"/>
            <w:shd w:val="clear" w:color="auto" w:fill="F4F9FC"/>
          </w:tcPr>
          <w:p>
            <w:pPr>
              <w:spacing w:after="0"/>
              <w:rPr>
                <w:sz w:val="15"/>
                <w:szCs w:val="15"/>
                <w:color w:val="auto"/>
              </w:rPr>
            </w:pPr>
          </w:p>
        </w:tc>
        <w:tc>
          <w:tcPr>
            <w:tcW w:w="200" w:type="dxa"/>
            <w:vAlign w:val="bottom"/>
            <w:tcBorders>
              <w:top w:val="single" w:sz="8" w:color="0000EE"/>
              <w:bottom w:val="single" w:sz="8" w:color="0000EE"/>
            </w:tcBorders>
            <w:vMerge w:val="restart"/>
            <w:shd w:val="clear" w:color="auto" w:fill="F4F9FC"/>
          </w:tcPr>
          <w:p>
            <w:pPr>
              <w:spacing w:after="0"/>
              <w:rPr>
                <w:sz w:val="15"/>
                <w:szCs w:val="15"/>
                <w:color w:val="auto"/>
              </w:rPr>
            </w:pPr>
          </w:p>
        </w:tc>
        <w:tc>
          <w:tcPr>
            <w:tcW w:w="80" w:type="dxa"/>
            <w:vAlign w:val="bottom"/>
            <w:tcBorders>
              <w:top w:val="single" w:sz="8" w:color="0000EE"/>
              <w:bottom w:val="single" w:sz="8" w:color="0000EE"/>
            </w:tcBorders>
            <w:vMerge w:val="restart"/>
            <w:shd w:val="clear" w:color="auto" w:fill="F4F9FC"/>
          </w:tcPr>
          <w:p>
            <w:pPr>
              <w:spacing w:after="0"/>
              <w:rPr>
                <w:sz w:val="15"/>
                <w:szCs w:val="15"/>
                <w:color w:val="auto"/>
              </w:rPr>
            </w:pPr>
          </w:p>
        </w:tc>
        <w:tc>
          <w:tcPr>
            <w:tcW w:w="120" w:type="dxa"/>
            <w:vAlign w:val="bottom"/>
            <w:tcBorders>
              <w:top w:val="single" w:sz="8" w:color="0000EE"/>
              <w:bottom w:val="single" w:sz="8" w:color="0000EE"/>
            </w:tcBorders>
            <w:vMerge w:val="restart"/>
            <w:shd w:val="clear" w:color="auto" w:fill="F4F9FC"/>
          </w:tcPr>
          <w:p>
            <w:pPr>
              <w:spacing w:after="0"/>
              <w:rPr>
                <w:sz w:val="15"/>
                <w:szCs w:val="15"/>
                <w:color w:val="auto"/>
              </w:rPr>
            </w:pPr>
          </w:p>
        </w:tc>
        <w:tc>
          <w:tcPr>
            <w:tcW w:w="240" w:type="dxa"/>
            <w:vAlign w:val="bottom"/>
            <w:tcBorders>
              <w:top w:val="single" w:sz="8" w:color="0000EE"/>
              <w:bottom w:val="single" w:sz="8" w:color="0000EE"/>
            </w:tcBorders>
            <w:vMerge w:val="restart"/>
            <w:shd w:val="clear" w:color="auto" w:fill="F4F9FC"/>
          </w:tcPr>
          <w:p>
            <w:pPr>
              <w:spacing w:after="0"/>
              <w:rPr>
                <w:sz w:val="15"/>
                <w:szCs w:val="15"/>
                <w:color w:val="auto"/>
              </w:rPr>
            </w:pPr>
          </w:p>
        </w:tc>
        <w:tc>
          <w:tcPr>
            <w:tcW w:w="20" w:type="dxa"/>
            <w:vAlign w:val="bottom"/>
            <w:tcBorders>
              <w:top w:val="single" w:sz="8" w:color="0000EE"/>
              <w:bottom w:val="single" w:sz="8" w:color="0000EE"/>
            </w:tcBorders>
            <w:vMerge w:val="restart"/>
            <w:shd w:val="clear" w:color="auto" w:fill="F4F9FC"/>
          </w:tcPr>
          <w:p>
            <w:pPr>
              <w:spacing w:after="0"/>
              <w:rPr>
                <w:sz w:val="15"/>
                <w:szCs w:val="15"/>
                <w:color w:val="auto"/>
              </w:rPr>
            </w:pPr>
          </w:p>
        </w:tc>
        <w:tc>
          <w:tcPr>
            <w:tcW w:w="120" w:type="dxa"/>
            <w:vAlign w:val="bottom"/>
            <w:tcBorders>
              <w:top w:val="single" w:sz="8" w:color="0000EE"/>
              <w:bottom w:val="single" w:sz="8" w:color="0000EE"/>
            </w:tcBorders>
            <w:vMerge w:val="restart"/>
            <w:shd w:val="clear" w:color="auto" w:fill="F4F9FC"/>
          </w:tcPr>
          <w:p>
            <w:pPr>
              <w:spacing w:after="0"/>
              <w:rPr>
                <w:sz w:val="15"/>
                <w:szCs w:val="15"/>
                <w:color w:val="auto"/>
              </w:rPr>
            </w:pPr>
          </w:p>
        </w:tc>
        <w:tc>
          <w:tcPr>
            <w:tcW w:w="20" w:type="dxa"/>
            <w:vAlign w:val="bottom"/>
            <w:tcBorders>
              <w:top w:val="single" w:sz="8" w:color="0000EE"/>
              <w:bottom w:val="single" w:sz="8" w:color="0000EE"/>
            </w:tcBorders>
            <w:vMerge w:val="restart"/>
            <w:shd w:val="clear" w:color="auto" w:fill="F4F9FC"/>
          </w:tcPr>
          <w:p>
            <w:pPr>
              <w:spacing w:after="0"/>
              <w:rPr>
                <w:sz w:val="15"/>
                <w:szCs w:val="15"/>
                <w:color w:val="auto"/>
              </w:rPr>
            </w:pPr>
          </w:p>
        </w:tc>
        <w:tc>
          <w:tcPr>
            <w:tcW w:w="20" w:type="dxa"/>
            <w:vAlign w:val="bottom"/>
            <w:tcBorders>
              <w:top w:val="single" w:sz="8" w:color="0000EE"/>
              <w:bottom w:val="single" w:sz="8" w:color="0000EE"/>
            </w:tcBorders>
            <w:vMerge w:val="restart"/>
            <w:shd w:val="clear" w:color="auto" w:fill="F4F9FC"/>
          </w:tcPr>
          <w:p>
            <w:pPr>
              <w:spacing w:after="0"/>
              <w:rPr>
                <w:sz w:val="15"/>
                <w:szCs w:val="15"/>
                <w:color w:val="auto"/>
              </w:rPr>
            </w:pPr>
          </w:p>
        </w:tc>
        <w:tc>
          <w:tcPr>
            <w:tcW w:w="340" w:type="dxa"/>
            <w:vAlign w:val="bottom"/>
            <w:tcBorders>
              <w:top w:val="single" w:sz="8" w:color="0000EE"/>
              <w:bottom w:val="single" w:sz="8" w:color="0000EE"/>
            </w:tcBorders>
            <w:vMerge w:val="restart"/>
            <w:shd w:val="clear" w:color="auto" w:fill="F4F9FC"/>
          </w:tcPr>
          <w:p>
            <w:pPr>
              <w:spacing w:after="0"/>
              <w:rPr>
                <w:sz w:val="15"/>
                <w:szCs w:val="15"/>
                <w:color w:val="auto"/>
              </w:rPr>
            </w:pPr>
          </w:p>
        </w:tc>
        <w:tc>
          <w:tcPr>
            <w:tcW w:w="20" w:type="dxa"/>
            <w:vAlign w:val="bottom"/>
            <w:tcBorders>
              <w:top w:val="single" w:sz="8" w:color="0000EE"/>
              <w:bottom w:val="single" w:sz="8" w:color="0000EE"/>
            </w:tcBorders>
            <w:vMerge w:val="restart"/>
            <w:shd w:val="clear" w:color="auto" w:fill="F4F9FC"/>
          </w:tcPr>
          <w:p>
            <w:pPr>
              <w:spacing w:after="0"/>
              <w:rPr>
                <w:sz w:val="15"/>
                <w:szCs w:val="15"/>
                <w:color w:val="auto"/>
              </w:rPr>
            </w:pPr>
          </w:p>
        </w:tc>
        <w:tc>
          <w:tcPr>
            <w:tcW w:w="40" w:type="dxa"/>
            <w:vAlign w:val="bottom"/>
            <w:tcBorders>
              <w:top w:val="single" w:sz="8" w:color="0000EE"/>
              <w:bottom w:val="single" w:sz="8" w:color="0000EE"/>
            </w:tcBorders>
            <w:vMerge w:val="restart"/>
            <w:shd w:val="clear" w:color="auto" w:fill="F4F9FC"/>
          </w:tcPr>
          <w:p>
            <w:pPr>
              <w:spacing w:after="0"/>
              <w:rPr>
                <w:sz w:val="15"/>
                <w:szCs w:val="15"/>
                <w:color w:val="auto"/>
              </w:rPr>
            </w:pPr>
          </w:p>
        </w:tc>
        <w:tc>
          <w:tcPr>
            <w:tcW w:w="60" w:type="dxa"/>
            <w:vAlign w:val="bottom"/>
            <w:tcBorders>
              <w:top w:val="single" w:sz="8" w:color="0000EE"/>
              <w:bottom w:val="single" w:sz="8" w:color="0000EE"/>
            </w:tcBorders>
            <w:vMerge w:val="restart"/>
            <w:shd w:val="clear" w:color="auto" w:fill="F4F9FC"/>
          </w:tcPr>
          <w:p>
            <w:pPr>
              <w:spacing w:after="0"/>
              <w:rPr>
                <w:sz w:val="15"/>
                <w:szCs w:val="15"/>
                <w:color w:val="auto"/>
              </w:rPr>
            </w:pPr>
          </w:p>
        </w:tc>
        <w:tc>
          <w:tcPr>
            <w:tcW w:w="20" w:type="dxa"/>
            <w:vAlign w:val="bottom"/>
            <w:tcBorders>
              <w:top w:val="single" w:sz="8" w:color="F4F9FC"/>
              <w:bottom w:val="single" w:sz="8" w:color="F4F9FC"/>
            </w:tcBorders>
            <w:shd w:val="clear" w:color="auto" w:fill="F4F9FC"/>
          </w:tcPr>
          <w:p>
            <w:pPr>
              <w:spacing w:after="0"/>
              <w:rPr>
                <w:sz w:val="15"/>
                <w:szCs w:val="15"/>
                <w:color w:val="auto"/>
              </w:rPr>
            </w:pPr>
          </w:p>
        </w:tc>
        <w:tc>
          <w:tcPr>
            <w:tcW w:w="20" w:type="dxa"/>
            <w:vAlign w:val="bottom"/>
            <w:tcBorders>
              <w:top w:val="single" w:sz="8" w:color="F4F9FC"/>
              <w:bottom w:val="single" w:sz="8" w:color="F4F9FC"/>
            </w:tcBorders>
            <w:shd w:val="clear" w:color="auto" w:fill="F4F9FC"/>
          </w:tcPr>
          <w:p>
            <w:pPr>
              <w:spacing w:after="0"/>
              <w:rPr>
                <w:sz w:val="15"/>
                <w:szCs w:val="15"/>
                <w:color w:val="auto"/>
              </w:rPr>
            </w:pPr>
          </w:p>
        </w:tc>
        <w:tc>
          <w:tcPr>
            <w:tcW w:w="40" w:type="dxa"/>
            <w:vAlign w:val="bottom"/>
            <w:tcBorders>
              <w:top w:val="single" w:sz="8" w:color="F4F9FC"/>
              <w:bottom w:val="single" w:sz="8" w:color="F4F9FC"/>
            </w:tcBorders>
            <w:shd w:val="clear" w:color="auto" w:fill="F4F9FC"/>
          </w:tcPr>
          <w:p>
            <w:pPr>
              <w:spacing w:after="0"/>
              <w:rPr>
                <w:sz w:val="15"/>
                <w:szCs w:val="15"/>
                <w:color w:val="auto"/>
              </w:rPr>
            </w:pPr>
          </w:p>
        </w:tc>
        <w:tc>
          <w:tcPr>
            <w:tcW w:w="20" w:type="dxa"/>
            <w:vAlign w:val="bottom"/>
            <w:tcBorders>
              <w:top w:val="single" w:sz="8" w:color="F4F9FC"/>
              <w:bottom w:val="single" w:sz="8" w:color="F4F9FC"/>
            </w:tcBorders>
            <w:shd w:val="clear" w:color="auto" w:fill="F4F9FC"/>
          </w:tcPr>
          <w:p>
            <w:pPr>
              <w:spacing w:after="0"/>
              <w:rPr>
                <w:sz w:val="15"/>
                <w:szCs w:val="15"/>
                <w:color w:val="auto"/>
              </w:rPr>
            </w:pPr>
          </w:p>
        </w:tc>
        <w:tc>
          <w:tcPr>
            <w:tcW w:w="180" w:type="dxa"/>
            <w:vAlign w:val="bottom"/>
            <w:tcBorders>
              <w:top w:val="single" w:sz="8" w:color="F4F9FC"/>
              <w:bottom w:val="single" w:sz="8" w:color="F4F9FC"/>
            </w:tcBorders>
            <w:shd w:val="clear" w:color="auto" w:fill="F4F9FC"/>
          </w:tcPr>
          <w:p>
            <w:pPr>
              <w:spacing w:after="0"/>
              <w:rPr>
                <w:sz w:val="15"/>
                <w:szCs w:val="15"/>
                <w:color w:val="auto"/>
              </w:rPr>
            </w:pPr>
          </w:p>
        </w:tc>
        <w:tc>
          <w:tcPr>
            <w:tcW w:w="60" w:type="dxa"/>
            <w:vAlign w:val="bottom"/>
            <w:tcBorders>
              <w:top w:val="single" w:sz="8" w:color="F4F9FC"/>
              <w:bottom w:val="single" w:sz="8" w:color="F4F9FC"/>
            </w:tcBorders>
            <w:shd w:val="clear" w:color="auto" w:fill="F4F9FC"/>
          </w:tcPr>
          <w:p>
            <w:pPr>
              <w:spacing w:after="0"/>
              <w:rPr>
                <w:sz w:val="15"/>
                <w:szCs w:val="15"/>
                <w:color w:val="auto"/>
              </w:rPr>
            </w:pPr>
          </w:p>
        </w:tc>
        <w:tc>
          <w:tcPr>
            <w:tcW w:w="40" w:type="dxa"/>
            <w:vAlign w:val="bottom"/>
            <w:tcBorders>
              <w:top w:val="single" w:sz="8" w:color="F4F9FC"/>
              <w:bottom w:val="single" w:sz="8" w:color="F4F9FC"/>
            </w:tcBorders>
            <w:shd w:val="clear" w:color="auto" w:fill="F4F9FC"/>
          </w:tcPr>
          <w:p>
            <w:pPr>
              <w:spacing w:after="0"/>
              <w:rPr>
                <w:sz w:val="15"/>
                <w:szCs w:val="15"/>
                <w:color w:val="auto"/>
              </w:rPr>
            </w:pPr>
          </w:p>
        </w:tc>
        <w:tc>
          <w:tcPr>
            <w:tcW w:w="160" w:type="dxa"/>
            <w:vAlign w:val="bottom"/>
            <w:tcBorders>
              <w:top w:val="single" w:sz="8" w:color="F4F9FC"/>
              <w:bottom w:val="single" w:sz="8" w:color="F4F9FC"/>
            </w:tcBorders>
            <w:shd w:val="clear" w:color="auto" w:fill="F4F9FC"/>
          </w:tcPr>
          <w:p>
            <w:pPr>
              <w:spacing w:after="0"/>
              <w:rPr>
                <w:sz w:val="15"/>
                <w:szCs w:val="15"/>
                <w:color w:val="auto"/>
              </w:rPr>
            </w:pPr>
          </w:p>
        </w:tc>
        <w:tc>
          <w:tcPr>
            <w:tcW w:w="720" w:type="dxa"/>
            <w:vAlign w:val="bottom"/>
            <w:tcBorders>
              <w:top w:val="single" w:sz="8" w:color="F4F9FC"/>
              <w:bottom w:val="single" w:sz="8" w:color="F4F9FC"/>
            </w:tcBorders>
            <w:vMerge w:val="restart"/>
            <w:shd w:val="clear" w:color="auto" w:fill="F4F9FC"/>
          </w:tcPr>
          <w:p>
            <w:pPr>
              <w:jc w:val="right"/>
              <w:ind w:right="19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82"/>
        </w:trPr>
        <w:tc>
          <w:tcPr>
            <w:tcW w:w="540" w:type="dxa"/>
            <w:vAlign w:val="bottom"/>
            <w:tcBorders>
              <w:bottom w:val="single" w:sz="8" w:color="F4F9FC"/>
            </w:tcBorders>
            <w:shd w:val="clear" w:color="auto" w:fill="F4F9FC"/>
          </w:tcPr>
          <w:p>
            <w:pPr>
              <w:spacing w:after="0"/>
              <w:rPr>
                <w:sz w:val="7"/>
                <w:szCs w:val="7"/>
                <w:color w:val="auto"/>
              </w:rPr>
            </w:pPr>
          </w:p>
        </w:tc>
        <w:tc>
          <w:tcPr>
            <w:tcW w:w="40" w:type="dxa"/>
            <w:vAlign w:val="bottom"/>
            <w:tcBorders>
              <w:bottom w:val="single" w:sz="8" w:color="F4F9FC"/>
            </w:tcBorders>
            <w:shd w:val="clear" w:color="auto" w:fill="F4F9FC"/>
          </w:tcPr>
          <w:p>
            <w:pPr>
              <w:spacing w:after="0"/>
              <w:rPr>
                <w:sz w:val="7"/>
                <w:szCs w:val="7"/>
                <w:color w:val="auto"/>
              </w:rPr>
            </w:pPr>
          </w:p>
        </w:tc>
        <w:tc>
          <w:tcPr>
            <w:tcW w:w="200" w:type="dxa"/>
            <w:vAlign w:val="bottom"/>
            <w:tcBorders>
              <w:bottom w:val="single" w:sz="8" w:color="F4F9FC"/>
            </w:tcBorders>
            <w:shd w:val="clear" w:color="auto" w:fill="F4F9FC"/>
          </w:tcPr>
          <w:p>
            <w:pPr>
              <w:spacing w:after="0"/>
              <w:rPr>
                <w:sz w:val="7"/>
                <w:szCs w:val="7"/>
                <w:color w:val="auto"/>
              </w:rPr>
            </w:pPr>
          </w:p>
        </w:tc>
        <w:tc>
          <w:tcPr>
            <w:tcW w:w="260" w:type="dxa"/>
            <w:vAlign w:val="bottom"/>
            <w:tcBorders>
              <w:bottom w:val="single" w:sz="8" w:color="F4F9FC"/>
            </w:tcBorders>
            <w:shd w:val="clear" w:color="auto" w:fill="F4F9FC"/>
          </w:tcPr>
          <w:p>
            <w:pPr>
              <w:spacing w:after="0"/>
              <w:rPr>
                <w:sz w:val="7"/>
                <w:szCs w:val="7"/>
                <w:color w:val="auto"/>
              </w:rPr>
            </w:pPr>
          </w:p>
        </w:tc>
        <w:tc>
          <w:tcPr>
            <w:tcW w:w="180" w:type="dxa"/>
            <w:vAlign w:val="bottom"/>
            <w:tcBorders>
              <w:bottom w:val="single" w:sz="8" w:color="F4F9FC"/>
            </w:tcBorders>
            <w:shd w:val="clear" w:color="auto" w:fill="F4F9FC"/>
          </w:tcPr>
          <w:p>
            <w:pPr>
              <w:spacing w:after="0"/>
              <w:rPr>
                <w:sz w:val="7"/>
                <w:szCs w:val="7"/>
                <w:color w:val="auto"/>
              </w:rPr>
            </w:pPr>
          </w:p>
        </w:tc>
        <w:tc>
          <w:tcPr>
            <w:tcW w:w="240" w:type="dxa"/>
            <w:vAlign w:val="bottom"/>
            <w:tcBorders>
              <w:bottom w:val="single" w:sz="8" w:color="F4F9FC"/>
              <w:right w:val="single" w:sz="8" w:color="F4F9FC"/>
            </w:tcBorders>
            <w:shd w:val="clear" w:color="auto" w:fill="F4F9FC"/>
          </w:tcPr>
          <w:p>
            <w:pPr>
              <w:spacing w:after="0"/>
              <w:rPr>
                <w:sz w:val="7"/>
                <w:szCs w:val="7"/>
                <w:color w:val="auto"/>
              </w:rPr>
            </w:pPr>
          </w:p>
        </w:tc>
        <w:tc>
          <w:tcPr>
            <w:tcW w:w="260" w:type="dxa"/>
            <w:vAlign w:val="bottom"/>
            <w:tcBorders>
              <w:bottom w:val="single" w:sz="8" w:color="F4F9FC"/>
            </w:tcBorders>
            <w:shd w:val="clear" w:color="auto" w:fill="F4F9FC"/>
          </w:tcPr>
          <w:p>
            <w:pPr>
              <w:spacing w:after="0"/>
              <w:rPr>
                <w:sz w:val="7"/>
                <w:szCs w:val="7"/>
                <w:color w:val="auto"/>
              </w:rPr>
            </w:pPr>
          </w:p>
        </w:tc>
        <w:tc>
          <w:tcPr>
            <w:tcW w:w="260" w:type="dxa"/>
            <w:vAlign w:val="bottom"/>
            <w:tcBorders>
              <w:bottom w:val="single" w:sz="8" w:color="F4F9FC"/>
            </w:tcBorders>
            <w:shd w:val="clear" w:color="auto" w:fill="F4F9FC"/>
          </w:tcPr>
          <w:p>
            <w:pPr>
              <w:spacing w:after="0"/>
              <w:rPr>
                <w:sz w:val="7"/>
                <w:szCs w:val="7"/>
                <w:color w:val="auto"/>
              </w:rPr>
            </w:pPr>
          </w:p>
        </w:tc>
        <w:tc>
          <w:tcPr>
            <w:tcW w:w="80" w:type="dxa"/>
            <w:vAlign w:val="bottom"/>
            <w:tcBorders>
              <w:bottom w:val="single" w:sz="8" w:color="F4F9FC"/>
            </w:tcBorders>
            <w:shd w:val="clear" w:color="auto" w:fill="F4F9FC"/>
          </w:tcPr>
          <w:p>
            <w:pPr>
              <w:spacing w:after="0"/>
              <w:rPr>
                <w:sz w:val="7"/>
                <w:szCs w:val="7"/>
                <w:color w:val="auto"/>
              </w:rPr>
            </w:pPr>
          </w:p>
        </w:tc>
        <w:tc>
          <w:tcPr>
            <w:tcW w:w="240" w:type="dxa"/>
            <w:vAlign w:val="bottom"/>
            <w:tcBorders>
              <w:bottom w:val="single" w:sz="8" w:color="F4F9FC"/>
            </w:tcBorders>
            <w:shd w:val="clear" w:color="auto" w:fill="F4F9FC"/>
          </w:tcPr>
          <w:p>
            <w:pPr>
              <w:spacing w:after="0"/>
              <w:rPr>
                <w:sz w:val="7"/>
                <w:szCs w:val="7"/>
                <w:color w:val="auto"/>
              </w:rPr>
            </w:pPr>
          </w:p>
        </w:tc>
        <w:tc>
          <w:tcPr>
            <w:tcW w:w="560" w:type="dxa"/>
            <w:vAlign w:val="bottom"/>
            <w:tcBorders>
              <w:bottom w:val="single" w:sz="8" w:color="F4F9FC"/>
            </w:tcBorders>
            <w:vMerge w:val="continue"/>
            <w:shd w:val="clear" w:color="auto" w:fill="F4F9FC"/>
          </w:tcPr>
          <w:p>
            <w:pPr>
              <w:spacing w:after="0"/>
              <w:rPr>
                <w:sz w:val="7"/>
                <w:szCs w:val="7"/>
                <w:color w:val="auto"/>
              </w:rPr>
            </w:pPr>
          </w:p>
        </w:tc>
        <w:tc>
          <w:tcPr>
            <w:tcW w:w="200" w:type="dxa"/>
            <w:vAlign w:val="bottom"/>
            <w:tcBorders>
              <w:bottom w:val="single" w:sz="8" w:color="F4F9FC"/>
            </w:tcBorders>
            <w:vMerge w:val="continue"/>
            <w:shd w:val="clear" w:color="auto" w:fill="F4F9FC"/>
          </w:tcPr>
          <w:p>
            <w:pPr>
              <w:spacing w:after="0"/>
              <w:rPr>
                <w:sz w:val="7"/>
                <w:szCs w:val="7"/>
                <w:color w:val="auto"/>
              </w:rPr>
            </w:pPr>
          </w:p>
        </w:tc>
        <w:tc>
          <w:tcPr>
            <w:tcW w:w="80" w:type="dxa"/>
            <w:vAlign w:val="bottom"/>
            <w:tcBorders>
              <w:bottom w:val="single" w:sz="8" w:color="F4F9FC"/>
            </w:tcBorders>
            <w:vMerge w:val="continue"/>
            <w:shd w:val="clear" w:color="auto" w:fill="F4F9FC"/>
          </w:tcPr>
          <w:p>
            <w:pPr>
              <w:spacing w:after="0"/>
              <w:rPr>
                <w:sz w:val="7"/>
                <w:szCs w:val="7"/>
                <w:color w:val="auto"/>
              </w:rPr>
            </w:pPr>
          </w:p>
        </w:tc>
        <w:tc>
          <w:tcPr>
            <w:tcW w:w="120" w:type="dxa"/>
            <w:vAlign w:val="bottom"/>
            <w:tcBorders>
              <w:bottom w:val="single" w:sz="8" w:color="F4F9FC"/>
            </w:tcBorders>
            <w:vMerge w:val="continue"/>
            <w:shd w:val="clear" w:color="auto" w:fill="F4F9FC"/>
          </w:tcPr>
          <w:p>
            <w:pPr>
              <w:spacing w:after="0"/>
              <w:rPr>
                <w:sz w:val="7"/>
                <w:szCs w:val="7"/>
                <w:color w:val="auto"/>
              </w:rPr>
            </w:pPr>
          </w:p>
        </w:tc>
        <w:tc>
          <w:tcPr>
            <w:tcW w:w="240" w:type="dxa"/>
            <w:vAlign w:val="bottom"/>
            <w:tcBorders>
              <w:bottom w:val="single" w:sz="8" w:color="F4F9FC"/>
            </w:tcBorders>
            <w:vMerge w:val="continue"/>
            <w:shd w:val="clear" w:color="auto" w:fill="F4F9FC"/>
          </w:tcPr>
          <w:p>
            <w:pPr>
              <w:spacing w:after="0"/>
              <w:rPr>
                <w:sz w:val="7"/>
                <w:szCs w:val="7"/>
                <w:color w:val="auto"/>
              </w:rPr>
            </w:pPr>
          </w:p>
        </w:tc>
        <w:tc>
          <w:tcPr>
            <w:tcW w:w="20" w:type="dxa"/>
            <w:vAlign w:val="bottom"/>
            <w:tcBorders>
              <w:bottom w:val="single" w:sz="8" w:color="F4F9FC"/>
            </w:tcBorders>
            <w:vMerge w:val="continue"/>
            <w:shd w:val="clear" w:color="auto" w:fill="F4F9FC"/>
          </w:tcPr>
          <w:p>
            <w:pPr>
              <w:spacing w:after="0"/>
              <w:rPr>
                <w:sz w:val="7"/>
                <w:szCs w:val="7"/>
                <w:color w:val="auto"/>
              </w:rPr>
            </w:pPr>
          </w:p>
        </w:tc>
        <w:tc>
          <w:tcPr>
            <w:tcW w:w="120" w:type="dxa"/>
            <w:vAlign w:val="bottom"/>
            <w:tcBorders>
              <w:bottom w:val="single" w:sz="8" w:color="F4F9FC"/>
            </w:tcBorders>
            <w:vMerge w:val="continue"/>
            <w:shd w:val="clear" w:color="auto" w:fill="F4F9FC"/>
          </w:tcPr>
          <w:p>
            <w:pPr>
              <w:spacing w:after="0"/>
              <w:rPr>
                <w:sz w:val="7"/>
                <w:szCs w:val="7"/>
                <w:color w:val="auto"/>
              </w:rPr>
            </w:pPr>
          </w:p>
        </w:tc>
        <w:tc>
          <w:tcPr>
            <w:tcW w:w="20" w:type="dxa"/>
            <w:vAlign w:val="bottom"/>
            <w:tcBorders>
              <w:bottom w:val="single" w:sz="8" w:color="F4F9FC"/>
            </w:tcBorders>
            <w:vMerge w:val="continue"/>
            <w:shd w:val="clear" w:color="auto" w:fill="F4F9FC"/>
          </w:tcPr>
          <w:p>
            <w:pPr>
              <w:spacing w:after="0"/>
              <w:rPr>
                <w:sz w:val="7"/>
                <w:szCs w:val="7"/>
                <w:color w:val="auto"/>
              </w:rPr>
            </w:pPr>
          </w:p>
        </w:tc>
        <w:tc>
          <w:tcPr>
            <w:tcW w:w="20" w:type="dxa"/>
            <w:vAlign w:val="bottom"/>
            <w:tcBorders>
              <w:bottom w:val="single" w:sz="8" w:color="F4F9FC"/>
            </w:tcBorders>
            <w:vMerge w:val="continue"/>
            <w:shd w:val="clear" w:color="auto" w:fill="F4F9FC"/>
          </w:tcPr>
          <w:p>
            <w:pPr>
              <w:spacing w:after="0"/>
              <w:rPr>
                <w:sz w:val="7"/>
                <w:szCs w:val="7"/>
                <w:color w:val="auto"/>
              </w:rPr>
            </w:pPr>
          </w:p>
        </w:tc>
        <w:tc>
          <w:tcPr>
            <w:tcW w:w="340" w:type="dxa"/>
            <w:vAlign w:val="bottom"/>
            <w:tcBorders>
              <w:bottom w:val="single" w:sz="8" w:color="F4F9FC"/>
            </w:tcBorders>
            <w:vMerge w:val="continue"/>
            <w:shd w:val="clear" w:color="auto" w:fill="F4F9FC"/>
          </w:tcPr>
          <w:p>
            <w:pPr>
              <w:spacing w:after="0"/>
              <w:rPr>
                <w:sz w:val="7"/>
                <w:szCs w:val="7"/>
                <w:color w:val="auto"/>
              </w:rPr>
            </w:pPr>
          </w:p>
        </w:tc>
        <w:tc>
          <w:tcPr>
            <w:tcW w:w="20" w:type="dxa"/>
            <w:vAlign w:val="bottom"/>
            <w:tcBorders>
              <w:bottom w:val="single" w:sz="8" w:color="F4F9FC"/>
            </w:tcBorders>
            <w:vMerge w:val="continue"/>
            <w:shd w:val="clear" w:color="auto" w:fill="F4F9FC"/>
          </w:tcPr>
          <w:p>
            <w:pPr>
              <w:spacing w:after="0"/>
              <w:rPr>
                <w:sz w:val="7"/>
                <w:szCs w:val="7"/>
                <w:color w:val="auto"/>
              </w:rPr>
            </w:pPr>
          </w:p>
        </w:tc>
        <w:tc>
          <w:tcPr>
            <w:tcW w:w="40" w:type="dxa"/>
            <w:vAlign w:val="bottom"/>
            <w:tcBorders>
              <w:bottom w:val="single" w:sz="8" w:color="F4F9FC"/>
            </w:tcBorders>
            <w:vMerge w:val="continue"/>
            <w:shd w:val="clear" w:color="auto" w:fill="F4F9FC"/>
          </w:tcPr>
          <w:p>
            <w:pPr>
              <w:spacing w:after="0"/>
              <w:rPr>
                <w:sz w:val="7"/>
                <w:szCs w:val="7"/>
                <w:color w:val="auto"/>
              </w:rPr>
            </w:pPr>
          </w:p>
        </w:tc>
        <w:tc>
          <w:tcPr>
            <w:tcW w:w="60" w:type="dxa"/>
            <w:vAlign w:val="bottom"/>
            <w:tcBorders>
              <w:bottom w:val="single" w:sz="8" w:color="F4F9FC"/>
            </w:tcBorders>
            <w:vMerge w:val="continue"/>
            <w:shd w:val="clear" w:color="auto" w:fill="F4F9FC"/>
          </w:tcPr>
          <w:p>
            <w:pPr>
              <w:spacing w:after="0"/>
              <w:rPr>
                <w:sz w:val="7"/>
                <w:szCs w:val="7"/>
                <w:color w:val="auto"/>
              </w:rPr>
            </w:pPr>
          </w:p>
        </w:tc>
        <w:tc>
          <w:tcPr>
            <w:tcW w:w="20" w:type="dxa"/>
            <w:vAlign w:val="bottom"/>
            <w:tcBorders>
              <w:bottom w:val="single" w:sz="8" w:color="F4F9FC"/>
            </w:tcBorders>
            <w:shd w:val="clear" w:color="auto" w:fill="F4F9FC"/>
          </w:tcPr>
          <w:p>
            <w:pPr>
              <w:spacing w:after="0"/>
              <w:rPr>
                <w:sz w:val="7"/>
                <w:szCs w:val="7"/>
                <w:color w:val="auto"/>
              </w:rPr>
            </w:pPr>
          </w:p>
        </w:tc>
        <w:tc>
          <w:tcPr>
            <w:tcW w:w="20" w:type="dxa"/>
            <w:vAlign w:val="bottom"/>
            <w:tcBorders>
              <w:bottom w:val="single" w:sz="8" w:color="F4F9FC"/>
            </w:tcBorders>
            <w:shd w:val="clear" w:color="auto" w:fill="F4F9FC"/>
          </w:tcPr>
          <w:p>
            <w:pPr>
              <w:spacing w:after="0"/>
              <w:rPr>
                <w:sz w:val="7"/>
                <w:szCs w:val="7"/>
                <w:color w:val="auto"/>
              </w:rPr>
            </w:pPr>
          </w:p>
        </w:tc>
        <w:tc>
          <w:tcPr>
            <w:tcW w:w="40" w:type="dxa"/>
            <w:vAlign w:val="bottom"/>
            <w:tcBorders>
              <w:bottom w:val="single" w:sz="8" w:color="F4F9FC"/>
            </w:tcBorders>
            <w:shd w:val="clear" w:color="auto" w:fill="F4F9FC"/>
          </w:tcPr>
          <w:p>
            <w:pPr>
              <w:spacing w:after="0"/>
              <w:rPr>
                <w:sz w:val="7"/>
                <w:szCs w:val="7"/>
                <w:color w:val="auto"/>
              </w:rPr>
            </w:pPr>
          </w:p>
        </w:tc>
        <w:tc>
          <w:tcPr>
            <w:tcW w:w="20" w:type="dxa"/>
            <w:vAlign w:val="bottom"/>
            <w:tcBorders>
              <w:bottom w:val="single" w:sz="8" w:color="F4F9FC"/>
            </w:tcBorders>
            <w:shd w:val="clear" w:color="auto" w:fill="F4F9FC"/>
          </w:tcPr>
          <w:p>
            <w:pPr>
              <w:spacing w:after="0"/>
              <w:rPr>
                <w:sz w:val="7"/>
                <w:szCs w:val="7"/>
                <w:color w:val="auto"/>
              </w:rPr>
            </w:pPr>
          </w:p>
        </w:tc>
        <w:tc>
          <w:tcPr>
            <w:tcW w:w="180" w:type="dxa"/>
            <w:vAlign w:val="bottom"/>
            <w:tcBorders>
              <w:bottom w:val="single" w:sz="8" w:color="F4F9FC"/>
            </w:tcBorders>
            <w:shd w:val="clear" w:color="auto" w:fill="F4F9FC"/>
          </w:tcPr>
          <w:p>
            <w:pPr>
              <w:spacing w:after="0"/>
              <w:rPr>
                <w:sz w:val="7"/>
                <w:szCs w:val="7"/>
                <w:color w:val="auto"/>
              </w:rPr>
            </w:pPr>
          </w:p>
        </w:tc>
        <w:tc>
          <w:tcPr>
            <w:tcW w:w="60" w:type="dxa"/>
            <w:vAlign w:val="bottom"/>
            <w:tcBorders>
              <w:bottom w:val="single" w:sz="8" w:color="F4F9FC"/>
            </w:tcBorders>
            <w:shd w:val="clear" w:color="auto" w:fill="F4F9FC"/>
          </w:tcPr>
          <w:p>
            <w:pPr>
              <w:spacing w:after="0"/>
              <w:rPr>
                <w:sz w:val="7"/>
                <w:szCs w:val="7"/>
                <w:color w:val="auto"/>
              </w:rPr>
            </w:pPr>
          </w:p>
        </w:tc>
        <w:tc>
          <w:tcPr>
            <w:tcW w:w="40" w:type="dxa"/>
            <w:vAlign w:val="bottom"/>
            <w:tcBorders>
              <w:bottom w:val="single" w:sz="8" w:color="F4F9FC"/>
            </w:tcBorders>
            <w:shd w:val="clear" w:color="auto" w:fill="F4F9FC"/>
          </w:tcPr>
          <w:p>
            <w:pPr>
              <w:spacing w:after="0"/>
              <w:rPr>
                <w:sz w:val="7"/>
                <w:szCs w:val="7"/>
                <w:color w:val="auto"/>
              </w:rPr>
            </w:pPr>
          </w:p>
        </w:tc>
        <w:tc>
          <w:tcPr>
            <w:tcW w:w="160" w:type="dxa"/>
            <w:vAlign w:val="bottom"/>
            <w:tcBorders>
              <w:bottom w:val="single" w:sz="8" w:color="F4F9FC"/>
            </w:tcBorders>
            <w:shd w:val="clear" w:color="auto" w:fill="F4F9FC"/>
          </w:tcPr>
          <w:p>
            <w:pPr>
              <w:spacing w:after="0"/>
              <w:rPr>
                <w:sz w:val="7"/>
                <w:szCs w:val="7"/>
                <w:color w:val="auto"/>
              </w:rPr>
            </w:pPr>
          </w:p>
        </w:tc>
        <w:tc>
          <w:tcPr>
            <w:tcW w:w="720" w:type="dxa"/>
            <w:vAlign w:val="bottom"/>
            <w:tcBorders>
              <w:bottom w:val="single" w:sz="8" w:color="F4F9FC"/>
            </w:tcBorders>
            <w:vMerge w:val="continue"/>
            <w:shd w:val="clear" w:color="auto" w:fill="F4F9FC"/>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4680" w:type="dxa"/>
            <w:vAlign w:val="bottom"/>
            <w:gridSpan w:val="31"/>
          </w:tcPr>
          <w:p>
            <w:pPr>
              <w:spacing w:after="0"/>
              <w:rPr>
                <w:sz w:val="20"/>
                <w:szCs w:val="20"/>
                <w:color w:val="auto"/>
              </w:rPr>
            </w:pPr>
            <w:r>
              <w:rPr>
                <w:rFonts w:ascii="Arial" w:cs="Arial" w:eastAsia="Arial" w:hAnsi="Arial"/>
                <w:sz w:val="18"/>
                <w:szCs w:val="18"/>
                <w:color w:val="0000EE"/>
              </w:rPr>
              <w:t>Executive Compensation</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80" w:type="dxa"/>
            <w:vAlign w:val="bottom"/>
            <w:gridSpan w:val="31"/>
          </w:tcPr>
          <w:p>
            <w:pPr>
              <w:spacing w:after="0"/>
              <w:rPr>
                <w:sz w:val="20"/>
                <w:szCs w:val="20"/>
                <w:color w:val="auto"/>
              </w:rPr>
            </w:pPr>
            <w:r>
              <w:rPr>
                <w:rFonts w:ascii="Arial" w:cs="Arial" w:eastAsia="Arial" w:hAnsi="Arial"/>
                <w:sz w:val="18"/>
                <w:szCs w:val="18"/>
                <w:color w:val="0000EE"/>
              </w:rPr>
              <w:t>Compensation Discussion and Analysis</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80" w:type="dxa"/>
            <w:vAlign w:val="bottom"/>
            <w:gridSpan w:val="31"/>
          </w:tcPr>
          <w:p>
            <w:pPr>
              <w:spacing w:after="0"/>
              <w:rPr>
                <w:sz w:val="20"/>
                <w:szCs w:val="20"/>
                <w:color w:val="auto"/>
              </w:rPr>
            </w:pPr>
            <w:r>
              <w:rPr>
                <w:rFonts w:ascii="Arial" w:cs="Arial" w:eastAsia="Arial" w:hAnsi="Arial"/>
                <w:sz w:val="18"/>
                <w:szCs w:val="18"/>
                <w:color w:val="0000EE"/>
              </w:rPr>
              <w:t>Leadership Development and Compensation Committee</w:t>
            </w:r>
          </w:p>
        </w:tc>
        <w:tc>
          <w:tcPr>
            <w:tcW w:w="720" w:type="dxa"/>
            <w:vAlign w:val="bottom"/>
            <w:vMerge w:val="restart"/>
          </w:tcPr>
          <w:p>
            <w:pPr>
              <w:jc w:val="right"/>
              <w:ind w:right="19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3"/>
        </w:trPr>
        <w:tc>
          <w:tcPr>
            <w:tcW w:w="54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6"/>
              </w:rPr>
              <w:t>Report</w:t>
            </w:r>
          </w:p>
        </w:tc>
        <w:tc>
          <w:tcPr>
            <w:tcW w:w="3940" w:type="dxa"/>
            <w:vAlign w:val="bottom"/>
            <w:tcBorders>
              <w:top w:val="single" w:sz="8" w:color="0000EE"/>
            </w:tcBorders>
            <w:gridSpan w:val="28"/>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4680" w:type="dxa"/>
            <w:vAlign w:val="bottom"/>
            <w:gridSpan w:val="31"/>
          </w:tcPr>
          <w:p>
            <w:pPr>
              <w:spacing w:after="0"/>
              <w:rPr>
                <w:sz w:val="20"/>
                <w:szCs w:val="20"/>
                <w:color w:val="auto"/>
              </w:rPr>
            </w:pPr>
            <w:r>
              <w:rPr>
                <w:rFonts w:ascii="Arial" w:cs="Arial" w:eastAsia="Arial" w:hAnsi="Arial"/>
                <w:sz w:val="18"/>
                <w:szCs w:val="18"/>
                <w:color w:val="0000EE"/>
              </w:rPr>
              <w:t>Compensation Tables</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80" w:type="dxa"/>
            <w:vAlign w:val="bottom"/>
            <w:gridSpan w:val="31"/>
          </w:tcPr>
          <w:p>
            <w:pPr>
              <w:spacing w:after="0"/>
              <w:rPr>
                <w:sz w:val="20"/>
                <w:szCs w:val="20"/>
                <w:color w:val="auto"/>
              </w:rPr>
            </w:pPr>
            <w:r>
              <w:rPr>
                <w:rFonts w:ascii="Arial" w:cs="Arial" w:eastAsia="Arial" w:hAnsi="Arial"/>
                <w:sz w:val="18"/>
                <w:szCs w:val="18"/>
                <w:color w:val="0000EE"/>
              </w:rPr>
              <w:t>Potential Payments Upon Termination or Change in</w:t>
            </w:r>
          </w:p>
        </w:tc>
        <w:tc>
          <w:tcPr>
            <w:tcW w:w="720" w:type="dxa"/>
            <w:vAlign w:val="bottom"/>
            <w:vMerge w:val="restart"/>
          </w:tcPr>
          <w:p>
            <w:pPr>
              <w:jc w:val="right"/>
              <w:ind w:right="19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6"/>
              </w:rPr>
              <w:t>Control</w:t>
            </w:r>
          </w:p>
        </w:tc>
        <w:tc>
          <w:tcPr>
            <w:tcW w:w="3500" w:type="dxa"/>
            <w:vAlign w:val="bottom"/>
            <w:tcBorders>
              <w:top w:val="single" w:sz="8" w:color="0000EE"/>
            </w:tcBorders>
            <w:gridSpan w:val="20"/>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4680" w:type="dxa"/>
            <w:vAlign w:val="bottom"/>
            <w:gridSpan w:val="31"/>
          </w:tcPr>
          <w:p>
            <w:pPr>
              <w:spacing w:after="0"/>
              <w:rPr>
                <w:sz w:val="20"/>
                <w:szCs w:val="20"/>
                <w:color w:val="auto"/>
              </w:rPr>
            </w:pPr>
            <w:r>
              <w:rPr>
                <w:rFonts w:ascii="Arial" w:cs="Arial" w:eastAsia="Arial" w:hAnsi="Arial"/>
                <w:sz w:val="18"/>
                <w:szCs w:val="18"/>
                <w:color w:val="0000EE"/>
              </w:rPr>
              <w:t>Equity Compensation Plan Information</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58"/>
        </w:trPr>
        <w:tc>
          <w:tcPr>
            <w:tcW w:w="12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8"/>
              </w:rPr>
              <w:t>CEO Pay Ratio</w:t>
            </w:r>
          </w:p>
        </w:tc>
        <w:tc>
          <w:tcPr>
            <w:tcW w:w="1840" w:type="dxa"/>
            <w:vAlign w:val="bottom"/>
            <w:tcBorders>
              <w:top w:val="single" w:sz="8" w:color="0000EE"/>
            </w:tcBorders>
            <w:gridSpan w:val="7"/>
          </w:tcPr>
          <w:p>
            <w:pPr>
              <w:spacing w:after="0"/>
              <w:rPr>
                <w:sz w:val="24"/>
                <w:szCs w:val="24"/>
                <w:color w:val="auto"/>
              </w:rPr>
            </w:pPr>
          </w:p>
        </w:tc>
        <w:tc>
          <w:tcPr>
            <w:tcW w:w="1620" w:type="dxa"/>
            <w:vAlign w:val="bottom"/>
            <w:gridSpan w:val="19"/>
          </w:tcPr>
          <w:p>
            <w:pPr>
              <w:spacing w:after="0"/>
              <w:rPr>
                <w:sz w:val="24"/>
                <w:szCs w:val="24"/>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58"/>
        </w:trPr>
        <w:tc>
          <w:tcPr>
            <w:tcW w:w="4680" w:type="dxa"/>
            <w:vAlign w:val="bottom"/>
            <w:gridSpan w:val="31"/>
          </w:tcPr>
          <w:p>
            <w:pPr>
              <w:spacing w:after="0"/>
              <w:rPr>
                <w:sz w:val="20"/>
                <w:szCs w:val="20"/>
                <w:color w:val="auto"/>
              </w:rPr>
            </w:pPr>
            <w:r>
              <w:rPr>
                <w:rFonts w:ascii="Arial" w:cs="Arial" w:eastAsia="Arial" w:hAnsi="Arial"/>
                <w:sz w:val="18"/>
                <w:szCs w:val="18"/>
                <w:color w:val="0000EE"/>
              </w:rPr>
              <w:t>Pay Versus Performance</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4680" w:type="dxa"/>
            <w:vAlign w:val="bottom"/>
            <w:gridSpan w:val="31"/>
            <w:shd w:val="clear" w:color="auto" w:fill="F4F9FC"/>
          </w:tcPr>
          <w:p>
            <w:pPr>
              <w:spacing w:after="0"/>
              <w:rPr>
                <w:sz w:val="20"/>
                <w:szCs w:val="20"/>
                <w:color w:val="auto"/>
              </w:rPr>
            </w:pPr>
            <w:r>
              <w:rPr>
                <w:rFonts w:ascii="Arial" w:cs="Arial" w:eastAsia="Arial" w:hAnsi="Arial"/>
                <w:sz w:val="18"/>
                <w:szCs w:val="18"/>
                <w:b w:val="1"/>
                <w:bCs w:val="1"/>
                <w:color w:val="0000EE"/>
              </w:rPr>
              <w:t>PROPOSAL 3: RATIFICATION OF INDEPENDENT</w:t>
            </w:r>
          </w:p>
        </w:tc>
        <w:tc>
          <w:tcPr>
            <w:tcW w:w="720" w:type="dxa"/>
            <w:vAlign w:val="bottom"/>
            <w:vMerge w:val="restart"/>
            <w:shd w:val="clear" w:color="auto" w:fill="F4F9FC"/>
          </w:tcPr>
          <w:p>
            <w:pPr>
              <w:jc w:val="right"/>
              <w:ind w:right="19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0"/>
        </w:trPr>
        <w:tc>
          <w:tcPr>
            <w:tcW w:w="4180" w:type="dxa"/>
            <w:vAlign w:val="bottom"/>
            <w:tcBorders>
              <w:top w:val="single" w:sz="8" w:color="0000EE"/>
            </w:tcBorders>
            <w:gridSpan w:val="25"/>
            <w:shd w:val="clear" w:color="auto" w:fill="F4F9FC"/>
          </w:tcPr>
          <w:p>
            <w:pPr>
              <w:spacing w:after="0" w:line="182" w:lineRule="exact"/>
              <w:rPr>
                <w:sz w:val="20"/>
                <w:szCs w:val="20"/>
                <w:color w:val="auto"/>
              </w:rPr>
            </w:pPr>
            <w:r>
              <w:rPr>
                <w:rFonts w:ascii="Arial" w:cs="Arial" w:eastAsia="Arial" w:hAnsi="Arial"/>
                <w:sz w:val="18"/>
                <w:szCs w:val="18"/>
                <w:b w:val="1"/>
                <w:bCs w:val="1"/>
                <w:color w:val="0000EE"/>
              </w:rPr>
              <w:t>REGISTERED PUBLIC ACCOUNTING FIRM</w:t>
            </w:r>
          </w:p>
        </w:tc>
        <w:tc>
          <w:tcPr>
            <w:tcW w:w="40" w:type="dxa"/>
            <w:vAlign w:val="bottom"/>
            <w:tcBorders>
              <w:top w:val="single" w:sz="8" w:color="F4F9FC"/>
            </w:tcBorders>
            <w:shd w:val="clear" w:color="auto" w:fill="F4F9FC"/>
          </w:tcPr>
          <w:p>
            <w:pPr>
              <w:spacing w:after="0"/>
              <w:rPr>
                <w:sz w:val="16"/>
                <w:szCs w:val="16"/>
                <w:color w:val="auto"/>
              </w:rPr>
            </w:pPr>
          </w:p>
        </w:tc>
        <w:tc>
          <w:tcPr>
            <w:tcW w:w="20" w:type="dxa"/>
            <w:vAlign w:val="bottom"/>
            <w:tcBorders>
              <w:top w:val="single" w:sz="8" w:color="F4F9FC"/>
            </w:tcBorders>
            <w:shd w:val="clear" w:color="auto" w:fill="F4F9FC"/>
          </w:tcPr>
          <w:p>
            <w:pPr>
              <w:spacing w:after="0"/>
              <w:rPr>
                <w:sz w:val="16"/>
                <w:szCs w:val="16"/>
                <w:color w:val="auto"/>
              </w:rPr>
            </w:pPr>
          </w:p>
        </w:tc>
        <w:tc>
          <w:tcPr>
            <w:tcW w:w="180" w:type="dxa"/>
            <w:vAlign w:val="bottom"/>
            <w:tcBorders>
              <w:top w:val="single" w:sz="8" w:color="F4F9FC"/>
            </w:tcBorders>
            <w:shd w:val="clear" w:color="auto" w:fill="F4F9FC"/>
          </w:tcPr>
          <w:p>
            <w:pPr>
              <w:spacing w:after="0"/>
              <w:rPr>
                <w:sz w:val="16"/>
                <w:szCs w:val="16"/>
                <w:color w:val="auto"/>
              </w:rPr>
            </w:pPr>
          </w:p>
        </w:tc>
        <w:tc>
          <w:tcPr>
            <w:tcW w:w="100" w:type="dxa"/>
            <w:vAlign w:val="bottom"/>
            <w:tcBorders>
              <w:top w:val="single" w:sz="8" w:color="F4F9FC"/>
            </w:tcBorders>
            <w:gridSpan w:val="2"/>
            <w:shd w:val="clear" w:color="auto" w:fill="F4F9FC"/>
          </w:tcPr>
          <w:p>
            <w:pPr>
              <w:spacing w:after="0"/>
              <w:rPr>
                <w:sz w:val="16"/>
                <w:szCs w:val="16"/>
                <w:color w:val="auto"/>
              </w:rPr>
            </w:pPr>
          </w:p>
        </w:tc>
        <w:tc>
          <w:tcPr>
            <w:tcW w:w="160" w:type="dxa"/>
            <w:vAlign w:val="bottom"/>
            <w:tcBorders>
              <w:top w:val="single" w:sz="8" w:color="F4F9FC"/>
            </w:tcBorders>
            <w:shd w:val="clear" w:color="auto" w:fill="F4F9FC"/>
          </w:tcPr>
          <w:p>
            <w:pPr>
              <w:spacing w:after="0"/>
              <w:rPr>
                <w:sz w:val="16"/>
                <w:szCs w:val="16"/>
                <w:color w:val="auto"/>
              </w:rPr>
            </w:pPr>
          </w:p>
        </w:tc>
        <w:tc>
          <w:tcPr>
            <w:tcW w:w="720" w:type="dxa"/>
            <w:vAlign w:val="bottom"/>
            <w:tcBorders>
              <w:top w:val="single" w:sz="8" w:color="F4F9FC"/>
            </w:tcBorders>
            <w:vMerge w:val="continue"/>
            <w:shd w:val="clear" w:color="auto" w:fill="F4F9FC"/>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206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8"/>
              </w:rPr>
              <w:t>Audit and Non-Audit Fees</w:t>
            </w:r>
          </w:p>
        </w:tc>
        <w:tc>
          <w:tcPr>
            <w:tcW w:w="1580" w:type="dxa"/>
            <w:vAlign w:val="bottom"/>
            <w:tcBorders>
              <w:top w:val="single" w:sz="8" w:color="0000EE"/>
            </w:tcBorders>
            <w:gridSpan w:val="8"/>
          </w:tcPr>
          <w:p>
            <w:pPr>
              <w:spacing w:after="0"/>
              <w:rPr>
                <w:sz w:val="24"/>
                <w:szCs w:val="24"/>
                <w:color w:val="auto"/>
              </w:rPr>
            </w:pPr>
          </w:p>
        </w:tc>
        <w:tc>
          <w:tcPr>
            <w:tcW w:w="1040" w:type="dxa"/>
            <w:vAlign w:val="bottom"/>
            <w:tcBorders>
              <w:top w:val="single" w:sz="8" w:color="F4F9FC"/>
            </w:tcBorders>
            <w:gridSpan w:val="14"/>
          </w:tcPr>
          <w:p>
            <w:pPr>
              <w:spacing w:after="0"/>
              <w:rPr>
                <w:sz w:val="24"/>
                <w:szCs w:val="24"/>
                <w:color w:val="auto"/>
              </w:rPr>
            </w:pPr>
          </w:p>
        </w:tc>
        <w:tc>
          <w:tcPr>
            <w:tcW w:w="720" w:type="dxa"/>
            <w:vAlign w:val="bottom"/>
            <w:tcBorders>
              <w:top w:val="single" w:sz="8" w:color="F4F9FC"/>
            </w:tcBorders>
          </w:tcPr>
          <w:p>
            <w:pPr>
              <w:jc w:val="right"/>
              <w:ind w:right="19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58"/>
        </w:trPr>
        <w:tc>
          <w:tcPr>
            <w:tcW w:w="4680" w:type="dxa"/>
            <w:vAlign w:val="bottom"/>
            <w:gridSpan w:val="31"/>
          </w:tcPr>
          <w:p>
            <w:pPr>
              <w:spacing w:after="0"/>
              <w:rPr>
                <w:sz w:val="20"/>
                <w:szCs w:val="20"/>
                <w:color w:val="auto"/>
              </w:rPr>
            </w:pPr>
            <w:r>
              <w:rPr>
                <w:rFonts w:ascii="Arial" w:cs="Arial" w:eastAsia="Arial" w:hAnsi="Arial"/>
                <w:sz w:val="18"/>
                <w:szCs w:val="18"/>
                <w:color w:val="0000EE"/>
              </w:rPr>
              <w:t>Policy on Audit Committee Preapproval of Audit and</w:t>
            </w:r>
          </w:p>
        </w:tc>
        <w:tc>
          <w:tcPr>
            <w:tcW w:w="720" w:type="dxa"/>
            <w:vAlign w:val="bottom"/>
            <w:vMerge w:val="restart"/>
          </w:tcPr>
          <w:p>
            <w:pPr>
              <w:jc w:val="right"/>
              <w:ind w:right="19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83"/>
        </w:trPr>
        <w:tc>
          <w:tcPr>
            <w:tcW w:w="3500" w:type="dxa"/>
            <w:vAlign w:val="bottom"/>
            <w:tcBorders>
              <w:top w:val="single" w:sz="8" w:color="0000EE"/>
              <w:bottom w:val="single" w:sz="8" w:color="0000EE"/>
            </w:tcBorders>
            <w:gridSpan w:val="15"/>
          </w:tcPr>
          <w:p>
            <w:pPr>
              <w:spacing w:after="0" w:line="182" w:lineRule="exact"/>
              <w:rPr>
                <w:sz w:val="20"/>
                <w:szCs w:val="20"/>
                <w:color w:val="auto"/>
              </w:rPr>
            </w:pPr>
            <w:r>
              <w:rPr>
                <w:rFonts w:ascii="Arial" w:cs="Arial" w:eastAsia="Arial" w:hAnsi="Arial"/>
                <w:sz w:val="18"/>
                <w:szCs w:val="18"/>
                <w:color w:val="0000EE"/>
                <w:w w:val="99"/>
              </w:rPr>
              <w:t>Non-Audit Services of Independent Auditors</w:t>
            </w:r>
          </w:p>
        </w:tc>
        <w:tc>
          <w:tcPr>
            <w:tcW w:w="660" w:type="dxa"/>
            <w:vAlign w:val="bottom"/>
            <w:tcBorders>
              <w:top w:val="single" w:sz="8" w:color="0000EE"/>
            </w:tcBorders>
            <w:gridSpan w:val="9"/>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4420" w:type="dxa"/>
            <w:vAlign w:val="bottom"/>
            <w:tcBorders>
              <w:bottom w:val="single" w:sz="8" w:color="0000EE"/>
            </w:tcBorders>
            <w:gridSpan w:val="28"/>
          </w:tcPr>
          <w:p>
            <w:pPr>
              <w:spacing w:after="0"/>
              <w:rPr>
                <w:sz w:val="20"/>
                <w:szCs w:val="20"/>
                <w:color w:val="auto"/>
              </w:rPr>
            </w:pPr>
            <w:r>
              <w:rPr>
                <w:rFonts w:ascii="Arial" w:cs="Arial" w:eastAsia="Arial" w:hAnsi="Arial"/>
                <w:sz w:val="18"/>
                <w:szCs w:val="18"/>
                <w:color w:val="0000EE"/>
                <w:w w:val="99"/>
              </w:rPr>
              <w:t>Report of the Audit Committee of the Board of Directors</w:t>
            </w:r>
          </w:p>
        </w:tc>
        <w:tc>
          <w:tcPr>
            <w:tcW w:w="260" w:type="dxa"/>
            <w:vAlign w:val="bottom"/>
            <w:gridSpan w:val="3"/>
          </w:tcPr>
          <w:p>
            <w:pPr>
              <w:spacing w:after="0"/>
              <w:rPr>
                <w:sz w:val="24"/>
                <w:szCs w:val="24"/>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453"/>
        </w:trPr>
        <w:tc>
          <w:tcPr>
            <w:tcW w:w="4680" w:type="dxa"/>
            <w:vAlign w:val="bottom"/>
            <w:gridSpan w:val="31"/>
          </w:tcPr>
          <w:p>
            <w:pPr>
              <w:spacing w:after="0"/>
              <w:rPr>
                <w:sz w:val="20"/>
                <w:szCs w:val="20"/>
                <w:color w:val="auto"/>
              </w:rPr>
            </w:pPr>
            <w:r>
              <w:rPr>
                <w:rFonts w:ascii="Arial" w:cs="Arial" w:eastAsia="Arial" w:hAnsi="Arial"/>
                <w:sz w:val="18"/>
                <w:szCs w:val="18"/>
                <w:color w:val="0000EE"/>
              </w:rPr>
              <w:t>Certain Relationships and Related Persons Transactions</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680" w:type="dxa"/>
            <w:vAlign w:val="bottom"/>
            <w:gridSpan w:val="31"/>
            <w:shd w:val="clear" w:color="auto" w:fill="F4F9FC"/>
          </w:tcPr>
          <w:p>
            <w:pPr>
              <w:spacing w:after="0"/>
              <w:rPr>
                <w:sz w:val="20"/>
                <w:szCs w:val="20"/>
                <w:color w:val="auto"/>
              </w:rPr>
            </w:pPr>
            <w:r>
              <w:rPr>
                <w:rFonts w:ascii="Arial" w:cs="Arial" w:eastAsia="Arial" w:hAnsi="Arial"/>
                <w:sz w:val="18"/>
                <w:szCs w:val="18"/>
                <w:b w:val="1"/>
                <w:bCs w:val="1"/>
                <w:color w:val="0000EE"/>
              </w:rPr>
              <w:t>PROPOSAL 4: APPROVAL OF AN</w:t>
            </w:r>
          </w:p>
        </w:tc>
        <w:tc>
          <w:tcPr>
            <w:tcW w:w="720" w:type="dxa"/>
            <w:vAlign w:val="bottom"/>
            <w:shd w:val="clear" w:color="auto" w:fill="F4F9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400" w:type="dxa"/>
            <w:vAlign w:val="bottom"/>
            <w:gridSpan w:val="3"/>
            <w:shd w:val="clear" w:color="auto" w:fill="F4F9FC"/>
          </w:tcPr>
          <w:p>
            <w:pPr>
              <w:spacing w:after="0" w:line="20" w:lineRule="exact"/>
              <w:rPr>
                <w:sz w:val="1"/>
                <w:szCs w:val="1"/>
                <w:color w:val="auto"/>
              </w:rPr>
            </w:pPr>
          </w:p>
        </w:tc>
        <w:tc>
          <w:tcPr>
            <w:tcW w:w="260" w:type="dxa"/>
            <w:vAlign w:val="bottom"/>
            <w:gridSpan w:val="2"/>
            <w:shd w:val="clear" w:color="auto" w:fill="F4F9FC"/>
          </w:tcPr>
          <w:p>
            <w:pPr>
              <w:spacing w:after="0" w:line="20" w:lineRule="exact"/>
              <w:rPr>
                <w:sz w:val="1"/>
                <w:szCs w:val="1"/>
                <w:color w:val="auto"/>
              </w:rPr>
            </w:pPr>
          </w:p>
        </w:tc>
        <w:tc>
          <w:tcPr>
            <w:tcW w:w="140" w:type="dxa"/>
            <w:vAlign w:val="bottom"/>
            <w:gridSpan w:val="2"/>
            <w:shd w:val="clear" w:color="auto" w:fill="F4F9FC"/>
          </w:tcPr>
          <w:p>
            <w:pPr>
              <w:spacing w:after="0" w:line="20" w:lineRule="exact"/>
              <w:rPr>
                <w:sz w:val="1"/>
                <w:szCs w:val="1"/>
                <w:color w:val="auto"/>
              </w:rPr>
            </w:pPr>
          </w:p>
        </w:tc>
        <w:tc>
          <w:tcPr>
            <w:tcW w:w="20" w:type="dxa"/>
            <w:vAlign w:val="bottom"/>
            <w:shd w:val="clear" w:color="auto" w:fill="F4F9FC"/>
          </w:tcPr>
          <w:p>
            <w:pPr>
              <w:spacing w:after="0" w:line="20" w:lineRule="exact"/>
              <w:rPr>
                <w:sz w:val="1"/>
                <w:szCs w:val="1"/>
                <w:color w:val="auto"/>
              </w:rPr>
            </w:pPr>
          </w:p>
        </w:tc>
        <w:tc>
          <w:tcPr>
            <w:tcW w:w="340" w:type="dxa"/>
            <w:vAlign w:val="bottom"/>
            <w:shd w:val="clear" w:color="auto" w:fill="F4F9FC"/>
          </w:tcPr>
          <w:p>
            <w:pPr>
              <w:spacing w:after="0" w:line="20" w:lineRule="exact"/>
              <w:rPr>
                <w:sz w:val="1"/>
                <w:szCs w:val="1"/>
                <w:color w:val="auto"/>
              </w:rPr>
            </w:pPr>
          </w:p>
        </w:tc>
        <w:tc>
          <w:tcPr>
            <w:tcW w:w="20" w:type="dxa"/>
            <w:vAlign w:val="bottom"/>
            <w:shd w:val="clear" w:color="auto" w:fill="F4F9FC"/>
          </w:tcPr>
          <w:p>
            <w:pPr>
              <w:spacing w:after="0" w:line="20" w:lineRule="exact"/>
              <w:rPr>
                <w:sz w:val="1"/>
                <w:szCs w:val="1"/>
                <w:color w:val="auto"/>
              </w:rPr>
            </w:pPr>
          </w:p>
        </w:tc>
        <w:tc>
          <w:tcPr>
            <w:tcW w:w="180" w:type="dxa"/>
            <w:vAlign w:val="bottom"/>
            <w:gridSpan w:val="5"/>
            <w:shd w:val="clear" w:color="auto" w:fill="F4F9FC"/>
          </w:tcPr>
          <w:p>
            <w:pPr>
              <w:spacing w:after="0" w:line="20" w:lineRule="exact"/>
              <w:rPr>
                <w:sz w:val="1"/>
                <w:szCs w:val="1"/>
                <w:color w:val="auto"/>
              </w:rPr>
            </w:pPr>
          </w:p>
        </w:tc>
        <w:tc>
          <w:tcPr>
            <w:tcW w:w="20" w:type="dxa"/>
            <w:vAlign w:val="bottom"/>
            <w:shd w:val="clear" w:color="auto" w:fill="F4F9FC"/>
          </w:tcPr>
          <w:p>
            <w:pPr>
              <w:spacing w:after="0" w:line="20" w:lineRule="exact"/>
              <w:rPr>
                <w:sz w:val="1"/>
                <w:szCs w:val="1"/>
                <w:color w:val="auto"/>
              </w:rPr>
            </w:pPr>
          </w:p>
        </w:tc>
        <w:tc>
          <w:tcPr>
            <w:tcW w:w="440" w:type="dxa"/>
            <w:vAlign w:val="bottom"/>
            <w:gridSpan w:val="4"/>
            <w:shd w:val="clear" w:color="auto" w:fill="F4F9FC"/>
          </w:tcPr>
          <w:p>
            <w:pPr>
              <w:spacing w:after="0" w:line="20" w:lineRule="exact"/>
              <w:rPr>
                <w:sz w:val="1"/>
                <w:szCs w:val="1"/>
                <w:color w:val="auto"/>
              </w:rPr>
            </w:pPr>
          </w:p>
        </w:tc>
        <w:tc>
          <w:tcPr>
            <w:tcW w:w="720" w:type="dxa"/>
            <w:vAlign w:val="bottom"/>
            <w:shd w:val="clear" w:color="auto" w:fill="F4F9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gridSpan w:val="31"/>
            <w:shd w:val="clear" w:color="auto" w:fill="F4F9FC"/>
          </w:tcPr>
          <w:p>
            <w:pPr>
              <w:spacing w:after="0" w:line="182" w:lineRule="exact"/>
              <w:rPr>
                <w:sz w:val="20"/>
                <w:szCs w:val="20"/>
                <w:color w:val="auto"/>
              </w:rPr>
            </w:pPr>
            <w:r>
              <w:rPr>
                <w:rFonts w:ascii="Arial" w:cs="Arial" w:eastAsia="Arial" w:hAnsi="Arial"/>
                <w:sz w:val="18"/>
                <w:szCs w:val="18"/>
                <w:b w:val="1"/>
                <w:bCs w:val="1"/>
                <w:color w:val="0000EE"/>
              </w:rPr>
              <w:t>AMENDMENT TO RESTATED CERTIFICATE</w:t>
            </w:r>
          </w:p>
        </w:tc>
        <w:tc>
          <w:tcPr>
            <w:tcW w:w="720" w:type="dxa"/>
            <w:vAlign w:val="bottom"/>
            <w:shd w:val="clear" w:color="auto" w:fill="F4F9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60" w:type="dxa"/>
            <w:vAlign w:val="bottom"/>
            <w:tcBorders>
              <w:top w:val="single" w:sz="8" w:color="0000EE"/>
              <w:bottom w:val="single" w:sz="8" w:color="0000EE"/>
            </w:tcBorders>
            <w:gridSpan w:val="14"/>
            <w:shd w:val="clear" w:color="auto" w:fill="F4F9FC"/>
          </w:tcPr>
          <w:p>
            <w:pPr>
              <w:spacing w:after="0" w:line="182" w:lineRule="exact"/>
              <w:rPr>
                <w:sz w:val="20"/>
                <w:szCs w:val="20"/>
                <w:color w:val="auto"/>
              </w:rPr>
            </w:pPr>
            <w:r>
              <w:rPr>
                <w:rFonts w:ascii="Arial" w:cs="Arial" w:eastAsia="Arial" w:hAnsi="Arial"/>
                <w:sz w:val="18"/>
                <w:szCs w:val="18"/>
                <w:b w:val="1"/>
                <w:bCs w:val="1"/>
                <w:color w:val="0000EE"/>
                <w:w w:val="99"/>
              </w:rPr>
              <w:t>OF INCORPORATION TO ALLOW FOR</w:t>
            </w:r>
          </w:p>
        </w:tc>
        <w:tc>
          <w:tcPr>
            <w:tcW w:w="420" w:type="dxa"/>
            <w:vAlign w:val="bottom"/>
            <w:tcBorders>
              <w:top w:val="single" w:sz="8" w:color="0000EE"/>
              <w:bottom w:val="single" w:sz="8" w:color="F4F9FC"/>
            </w:tcBorders>
            <w:gridSpan w:val="5"/>
            <w:shd w:val="clear" w:color="auto" w:fill="F4F9FC"/>
          </w:tcPr>
          <w:p>
            <w:pPr>
              <w:spacing w:after="0"/>
              <w:rPr>
                <w:sz w:val="15"/>
                <w:szCs w:val="15"/>
                <w:color w:val="auto"/>
              </w:rPr>
            </w:pPr>
          </w:p>
        </w:tc>
        <w:tc>
          <w:tcPr>
            <w:tcW w:w="340" w:type="dxa"/>
            <w:vAlign w:val="bottom"/>
            <w:tcBorders>
              <w:top w:val="single" w:sz="8" w:color="F4F9FC"/>
              <w:bottom w:val="single" w:sz="8" w:color="F4F9FC"/>
            </w:tcBorders>
            <w:shd w:val="clear" w:color="auto" w:fill="F4F9FC"/>
          </w:tcPr>
          <w:p>
            <w:pPr>
              <w:spacing w:after="0"/>
              <w:rPr>
                <w:sz w:val="15"/>
                <w:szCs w:val="15"/>
                <w:color w:val="auto"/>
              </w:rPr>
            </w:pPr>
          </w:p>
        </w:tc>
        <w:tc>
          <w:tcPr>
            <w:tcW w:w="20" w:type="dxa"/>
            <w:vAlign w:val="bottom"/>
            <w:tcBorders>
              <w:top w:val="single" w:sz="8" w:color="F4F9FC"/>
              <w:bottom w:val="single" w:sz="8" w:color="F4F9FC"/>
            </w:tcBorders>
            <w:shd w:val="clear" w:color="auto" w:fill="F4F9FC"/>
          </w:tcPr>
          <w:p>
            <w:pPr>
              <w:spacing w:after="0"/>
              <w:rPr>
                <w:sz w:val="15"/>
                <w:szCs w:val="15"/>
                <w:color w:val="auto"/>
              </w:rPr>
            </w:pPr>
          </w:p>
        </w:tc>
        <w:tc>
          <w:tcPr>
            <w:tcW w:w="180" w:type="dxa"/>
            <w:vAlign w:val="bottom"/>
            <w:tcBorders>
              <w:top w:val="single" w:sz="8" w:color="F4F9FC"/>
              <w:bottom w:val="single" w:sz="8" w:color="F4F9FC"/>
            </w:tcBorders>
            <w:gridSpan w:val="5"/>
            <w:shd w:val="clear" w:color="auto" w:fill="F4F9FC"/>
          </w:tcPr>
          <w:p>
            <w:pPr>
              <w:spacing w:after="0"/>
              <w:rPr>
                <w:sz w:val="15"/>
                <w:szCs w:val="15"/>
                <w:color w:val="auto"/>
              </w:rPr>
            </w:pPr>
          </w:p>
        </w:tc>
        <w:tc>
          <w:tcPr>
            <w:tcW w:w="20" w:type="dxa"/>
            <w:vAlign w:val="bottom"/>
            <w:tcBorders>
              <w:top w:val="single" w:sz="8" w:color="F4F9FC"/>
              <w:bottom w:val="single" w:sz="8" w:color="F4F9FC"/>
            </w:tcBorders>
            <w:shd w:val="clear" w:color="auto" w:fill="F4F9FC"/>
          </w:tcPr>
          <w:p>
            <w:pPr>
              <w:spacing w:after="0"/>
              <w:rPr>
                <w:sz w:val="15"/>
                <w:szCs w:val="15"/>
                <w:color w:val="auto"/>
              </w:rPr>
            </w:pPr>
          </w:p>
        </w:tc>
        <w:tc>
          <w:tcPr>
            <w:tcW w:w="440" w:type="dxa"/>
            <w:vAlign w:val="bottom"/>
            <w:tcBorders>
              <w:top w:val="single" w:sz="8" w:color="F4F9FC"/>
              <w:bottom w:val="single" w:sz="8" w:color="F4F9FC"/>
            </w:tcBorders>
            <w:gridSpan w:val="4"/>
            <w:shd w:val="clear" w:color="auto" w:fill="F4F9FC"/>
          </w:tcPr>
          <w:p>
            <w:pPr>
              <w:spacing w:after="0"/>
              <w:rPr>
                <w:sz w:val="15"/>
                <w:szCs w:val="15"/>
                <w:color w:val="auto"/>
              </w:rPr>
            </w:pPr>
          </w:p>
        </w:tc>
        <w:tc>
          <w:tcPr>
            <w:tcW w:w="720" w:type="dxa"/>
            <w:vAlign w:val="bottom"/>
            <w:tcBorders>
              <w:top w:val="single" w:sz="8" w:color="F4F9FC"/>
              <w:bottom w:val="single" w:sz="8" w:color="F4F9FC"/>
            </w:tcBorders>
            <w:vMerge w:val="restart"/>
            <w:shd w:val="clear" w:color="auto" w:fill="F4F9FC"/>
          </w:tcPr>
          <w:p>
            <w:pPr>
              <w:jc w:val="right"/>
              <w:ind w:right="19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19"/>
        </w:trPr>
        <w:tc>
          <w:tcPr>
            <w:tcW w:w="4680" w:type="dxa"/>
            <w:vAlign w:val="bottom"/>
            <w:gridSpan w:val="31"/>
            <w:vMerge w:val="restart"/>
            <w:shd w:val="clear" w:color="auto" w:fill="F4F9FC"/>
          </w:tcPr>
          <w:p>
            <w:pPr>
              <w:spacing w:after="0" w:line="182" w:lineRule="exact"/>
              <w:rPr>
                <w:sz w:val="20"/>
                <w:szCs w:val="20"/>
                <w:color w:val="auto"/>
              </w:rPr>
            </w:pPr>
            <w:r>
              <w:rPr>
                <w:rFonts w:ascii="Arial" w:cs="Arial" w:eastAsia="Arial" w:hAnsi="Arial"/>
                <w:sz w:val="18"/>
                <w:szCs w:val="18"/>
                <w:b w:val="1"/>
                <w:bCs w:val="1"/>
                <w:color w:val="0000EE"/>
              </w:rPr>
              <w:t>EXCULPATION OF OFFICERS AS PERMITTED BY</w:t>
            </w:r>
          </w:p>
        </w:tc>
        <w:tc>
          <w:tcPr>
            <w:tcW w:w="720" w:type="dxa"/>
            <w:vAlign w:val="bottom"/>
            <w:vMerge w:val="continue"/>
            <w:shd w:val="clear" w:color="auto" w:fill="F4F9FC"/>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4680" w:type="dxa"/>
            <w:vAlign w:val="bottom"/>
            <w:gridSpan w:val="31"/>
            <w:vMerge w:val="continue"/>
            <w:shd w:val="clear" w:color="auto" w:fill="F4F9FC"/>
          </w:tcPr>
          <w:p>
            <w:pPr>
              <w:spacing w:after="0"/>
              <w:rPr>
                <w:sz w:val="5"/>
                <w:szCs w:val="5"/>
                <w:color w:val="auto"/>
              </w:rPr>
            </w:pPr>
          </w:p>
        </w:tc>
        <w:tc>
          <w:tcPr>
            <w:tcW w:w="720" w:type="dxa"/>
            <w:vAlign w:val="bottom"/>
            <w:shd w:val="clear" w:color="auto" w:fill="F4F9FC"/>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220" w:type="dxa"/>
            <w:vAlign w:val="bottom"/>
            <w:tcBorders>
              <w:top w:val="single" w:sz="8" w:color="0000EE"/>
            </w:tcBorders>
            <w:gridSpan w:val="26"/>
            <w:shd w:val="clear" w:color="auto" w:fill="F4F9FC"/>
          </w:tcPr>
          <w:p>
            <w:pPr>
              <w:spacing w:after="0" w:line="182" w:lineRule="exact"/>
              <w:rPr>
                <w:sz w:val="20"/>
                <w:szCs w:val="20"/>
                <w:color w:val="auto"/>
              </w:rPr>
            </w:pPr>
            <w:r>
              <w:rPr>
                <w:rFonts w:ascii="Arial" w:cs="Arial" w:eastAsia="Arial" w:hAnsi="Arial"/>
                <w:sz w:val="18"/>
                <w:szCs w:val="18"/>
                <w:b w:val="1"/>
                <w:bCs w:val="1"/>
                <w:color w:val="0000EE"/>
              </w:rPr>
              <w:t>DELAWARE LAW</w:t>
            </w:r>
          </w:p>
        </w:tc>
        <w:tc>
          <w:tcPr>
            <w:tcW w:w="20" w:type="dxa"/>
            <w:vAlign w:val="bottom"/>
            <w:tcBorders>
              <w:top w:val="single" w:sz="8" w:color="F4F9FC"/>
            </w:tcBorders>
            <w:shd w:val="clear" w:color="auto" w:fill="F4F9FC"/>
          </w:tcPr>
          <w:p>
            <w:pPr>
              <w:spacing w:after="0"/>
              <w:rPr>
                <w:sz w:val="15"/>
                <w:szCs w:val="15"/>
                <w:color w:val="auto"/>
              </w:rPr>
            </w:pPr>
          </w:p>
        </w:tc>
        <w:tc>
          <w:tcPr>
            <w:tcW w:w="440" w:type="dxa"/>
            <w:vAlign w:val="bottom"/>
            <w:tcBorders>
              <w:top w:val="single" w:sz="8" w:color="F4F9FC"/>
            </w:tcBorders>
            <w:gridSpan w:val="4"/>
            <w:shd w:val="clear" w:color="auto" w:fill="F4F9FC"/>
          </w:tcPr>
          <w:p>
            <w:pPr>
              <w:spacing w:after="0"/>
              <w:rPr>
                <w:sz w:val="15"/>
                <w:szCs w:val="15"/>
                <w:color w:val="auto"/>
              </w:rPr>
            </w:pPr>
          </w:p>
        </w:tc>
        <w:tc>
          <w:tcPr>
            <w:tcW w:w="720" w:type="dxa"/>
            <w:vAlign w:val="bottom"/>
            <w:tcBorders>
              <w:top w:val="single" w:sz="8" w:color="F4F9FC"/>
            </w:tcBorders>
            <w:shd w:val="clear" w:color="auto" w:fill="F4F9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060" w:type="dxa"/>
            <w:vAlign w:val="bottom"/>
            <w:gridSpan w:val="10"/>
            <w:shd w:val="clear" w:color="auto" w:fill="F4F9FC"/>
          </w:tcPr>
          <w:p>
            <w:pPr>
              <w:spacing w:after="0" w:line="20" w:lineRule="exact"/>
              <w:rPr>
                <w:sz w:val="1"/>
                <w:szCs w:val="1"/>
                <w:color w:val="auto"/>
              </w:rPr>
            </w:pPr>
          </w:p>
        </w:tc>
        <w:tc>
          <w:tcPr>
            <w:tcW w:w="140" w:type="dxa"/>
            <w:vAlign w:val="bottom"/>
            <w:gridSpan w:val="2"/>
            <w:shd w:val="clear" w:color="auto" w:fill="F4F9FC"/>
          </w:tcPr>
          <w:p>
            <w:pPr>
              <w:spacing w:after="0" w:line="20" w:lineRule="exact"/>
              <w:rPr>
                <w:sz w:val="1"/>
                <w:szCs w:val="1"/>
                <w:color w:val="auto"/>
              </w:rPr>
            </w:pPr>
          </w:p>
        </w:tc>
        <w:tc>
          <w:tcPr>
            <w:tcW w:w="360" w:type="dxa"/>
            <w:vAlign w:val="bottom"/>
            <w:gridSpan w:val="2"/>
            <w:shd w:val="clear" w:color="auto" w:fill="F4F9FC"/>
          </w:tcPr>
          <w:p>
            <w:pPr>
              <w:spacing w:after="0" w:line="20" w:lineRule="exact"/>
              <w:rPr>
                <w:sz w:val="1"/>
                <w:szCs w:val="1"/>
                <w:color w:val="auto"/>
              </w:rPr>
            </w:pPr>
          </w:p>
        </w:tc>
        <w:tc>
          <w:tcPr>
            <w:tcW w:w="20" w:type="dxa"/>
            <w:vAlign w:val="bottom"/>
            <w:shd w:val="clear" w:color="auto" w:fill="F4F9FC"/>
          </w:tcPr>
          <w:p>
            <w:pPr>
              <w:spacing w:after="0" w:line="20" w:lineRule="exact"/>
              <w:rPr>
                <w:sz w:val="1"/>
                <w:szCs w:val="1"/>
                <w:color w:val="auto"/>
              </w:rPr>
            </w:pPr>
          </w:p>
        </w:tc>
        <w:tc>
          <w:tcPr>
            <w:tcW w:w="200" w:type="dxa"/>
            <w:vAlign w:val="bottom"/>
            <w:gridSpan w:val="6"/>
            <w:shd w:val="clear" w:color="auto" w:fill="F4F9FC"/>
          </w:tcPr>
          <w:p>
            <w:pPr>
              <w:spacing w:after="0" w:line="20" w:lineRule="exact"/>
              <w:rPr>
                <w:sz w:val="1"/>
                <w:szCs w:val="1"/>
                <w:color w:val="auto"/>
              </w:rPr>
            </w:pPr>
          </w:p>
        </w:tc>
        <w:tc>
          <w:tcPr>
            <w:tcW w:w="440" w:type="dxa"/>
            <w:vAlign w:val="bottom"/>
            <w:gridSpan w:val="4"/>
            <w:shd w:val="clear" w:color="auto" w:fill="F4F9FC"/>
          </w:tcPr>
          <w:p>
            <w:pPr>
              <w:spacing w:after="0" w:line="20" w:lineRule="exact"/>
              <w:rPr>
                <w:sz w:val="1"/>
                <w:szCs w:val="1"/>
                <w:color w:val="auto"/>
              </w:rPr>
            </w:pPr>
          </w:p>
        </w:tc>
        <w:tc>
          <w:tcPr>
            <w:tcW w:w="720" w:type="dxa"/>
            <w:vAlign w:val="bottom"/>
            <w:shd w:val="clear" w:color="auto" w:fill="F4F9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680" w:type="dxa"/>
            <w:vAlign w:val="bottom"/>
            <w:gridSpan w:val="31"/>
            <w:shd w:val="clear" w:color="auto" w:fill="F4F9FC"/>
          </w:tcPr>
          <w:p>
            <w:pPr>
              <w:spacing w:after="0"/>
              <w:rPr>
                <w:sz w:val="20"/>
                <w:szCs w:val="20"/>
                <w:color w:val="auto"/>
              </w:rPr>
            </w:pPr>
            <w:r>
              <w:rPr>
                <w:rFonts w:ascii="Arial" w:cs="Arial" w:eastAsia="Arial" w:hAnsi="Arial"/>
                <w:sz w:val="18"/>
                <w:szCs w:val="18"/>
                <w:b w:val="1"/>
                <w:bCs w:val="1"/>
                <w:color w:val="0000EE"/>
              </w:rPr>
              <w:t>PROPOSAL 5: APPROVAL OF AN</w:t>
            </w:r>
          </w:p>
        </w:tc>
        <w:tc>
          <w:tcPr>
            <w:tcW w:w="720" w:type="dxa"/>
            <w:vAlign w:val="bottom"/>
            <w:shd w:val="clear" w:color="auto" w:fill="F4F9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660" w:type="dxa"/>
            <w:vAlign w:val="bottom"/>
            <w:gridSpan w:val="5"/>
            <w:shd w:val="clear" w:color="auto" w:fill="F4F9FC"/>
          </w:tcPr>
          <w:p>
            <w:pPr>
              <w:spacing w:after="0" w:line="20" w:lineRule="exact"/>
              <w:rPr>
                <w:sz w:val="1"/>
                <w:szCs w:val="1"/>
                <w:color w:val="auto"/>
              </w:rPr>
            </w:pPr>
          </w:p>
        </w:tc>
        <w:tc>
          <w:tcPr>
            <w:tcW w:w="140" w:type="dxa"/>
            <w:vAlign w:val="bottom"/>
            <w:gridSpan w:val="2"/>
            <w:shd w:val="clear" w:color="auto" w:fill="F4F9FC"/>
          </w:tcPr>
          <w:p>
            <w:pPr>
              <w:spacing w:after="0" w:line="20" w:lineRule="exact"/>
              <w:rPr>
                <w:sz w:val="1"/>
                <w:szCs w:val="1"/>
                <w:color w:val="auto"/>
              </w:rPr>
            </w:pPr>
          </w:p>
        </w:tc>
        <w:tc>
          <w:tcPr>
            <w:tcW w:w="360" w:type="dxa"/>
            <w:vAlign w:val="bottom"/>
            <w:gridSpan w:val="2"/>
            <w:shd w:val="clear" w:color="auto" w:fill="F4F9FC"/>
          </w:tcPr>
          <w:p>
            <w:pPr>
              <w:spacing w:after="0" w:line="20" w:lineRule="exact"/>
              <w:rPr>
                <w:sz w:val="1"/>
                <w:szCs w:val="1"/>
                <w:color w:val="auto"/>
              </w:rPr>
            </w:pPr>
          </w:p>
        </w:tc>
        <w:tc>
          <w:tcPr>
            <w:tcW w:w="20" w:type="dxa"/>
            <w:vAlign w:val="bottom"/>
            <w:shd w:val="clear" w:color="auto" w:fill="F4F9FC"/>
          </w:tcPr>
          <w:p>
            <w:pPr>
              <w:spacing w:after="0" w:line="20" w:lineRule="exact"/>
              <w:rPr>
                <w:sz w:val="1"/>
                <w:szCs w:val="1"/>
                <w:color w:val="auto"/>
              </w:rPr>
            </w:pPr>
          </w:p>
        </w:tc>
        <w:tc>
          <w:tcPr>
            <w:tcW w:w="200" w:type="dxa"/>
            <w:vAlign w:val="bottom"/>
            <w:gridSpan w:val="6"/>
            <w:shd w:val="clear" w:color="auto" w:fill="F4F9FC"/>
          </w:tcPr>
          <w:p>
            <w:pPr>
              <w:spacing w:after="0" w:line="20" w:lineRule="exact"/>
              <w:rPr>
                <w:sz w:val="1"/>
                <w:szCs w:val="1"/>
                <w:color w:val="auto"/>
              </w:rPr>
            </w:pPr>
          </w:p>
        </w:tc>
        <w:tc>
          <w:tcPr>
            <w:tcW w:w="440" w:type="dxa"/>
            <w:vAlign w:val="bottom"/>
            <w:gridSpan w:val="4"/>
            <w:shd w:val="clear" w:color="auto" w:fill="F4F9FC"/>
          </w:tcPr>
          <w:p>
            <w:pPr>
              <w:spacing w:after="0" w:line="20" w:lineRule="exact"/>
              <w:rPr>
                <w:sz w:val="1"/>
                <w:szCs w:val="1"/>
                <w:color w:val="auto"/>
              </w:rPr>
            </w:pPr>
          </w:p>
        </w:tc>
        <w:tc>
          <w:tcPr>
            <w:tcW w:w="720" w:type="dxa"/>
            <w:vAlign w:val="bottom"/>
            <w:shd w:val="clear" w:color="auto" w:fill="F4F9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gridSpan w:val="31"/>
            <w:shd w:val="clear" w:color="auto" w:fill="F4F9FC"/>
          </w:tcPr>
          <w:p>
            <w:pPr>
              <w:spacing w:after="0" w:line="182" w:lineRule="exact"/>
              <w:rPr>
                <w:sz w:val="20"/>
                <w:szCs w:val="20"/>
                <w:color w:val="auto"/>
              </w:rPr>
            </w:pPr>
            <w:r>
              <w:rPr>
                <w:rFonts w:ascii="Arial" w:cs="Arial" w:eastAsia="Arial" w:hAnsi="Arial"/>
                <w:sz w:val="18"/>
                <w:szCs w:val="18"/>
                <w:b w:val="1"/>
                <w:bCs w:val="1"/>
                <w:color w:val="0000EE"/>
              </w:rPr>
              <w:t>AMENDMENT TO RESTATED CERTIFICATE</w:t>
            </w:r>
          </w:p>
        </w:tc>
        <w:tc>
          <w:tcPr>
            <w:tcW w:w="720" w:type="dxa"/>
            <w:vAlign w:val="bottom"/>
            <w:vMerge w:val="restart"/>
            <w:shd w:val="clear" w:color="auto" w:fill="F4F9FC"/>
          </w:tcPr>
          <w:p>
            <w:pPr>
              <w:jc w:val="right"/>
              <w:ind w:right="19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83"/>
        </w:trPr>
        <w:tc>
          <w:tcPr>
            <w:tcW w:w="3680" w:type="dxa"/>
            <w:vAlign w:val="bottom"/>
            <w:tcBorders>
              <w:top w:val="single" w:sz="8" w:color="0000EE"/>
            </w:tcBorders>
            <w:gridSpan w:val="19"/>
            <w:shd w:val="clear" w:color="auto" w:fill="F4F9FC"/>
          </w:tcPr>
          <w:p>
            <w:pPr>
              <w:spacing w:after="0" w:line="182" w:lineRule="exact"/>
              <w:rPr>
                <w:sz w:val="20"/>
                <w:szCs w:val="20"/>
                <w:color w:val="auto"/>
              </w:rPr>
            </w:pPr>
            <w:r>
              <w:rPr>
                <w:rFonts w:ascii="Arial" w:cs="Arial" w:eastAsia="Arial" w:hAnsi="Arial"/>
                <w:sz w:val="18"/>
                <w:szCs w:val="18"/>
                <w:b w:val="1"/>
                <w:bCs w:val="1"/>
                <w:color w:val="0000EE"/>
              </w:rPr>
              <w:t>OF INCORPORATION TO ELIMINATE THE</w:t>
            </w:r>
          </w:p>
        </w:tc>
        <w:tc>
          <w:tcPr>
            <w:tcW w:w="340" w:type="dxa"/>
            <w:vAlign w:val="bottom"/>
            <w:tcBorders>
              <w:top w:val="single" w:sz="8" w:color="F4F9FC"/>
            </w:tcBorders>
            <w:shd w:val="clear" w:color="auto" w:fill="F4F9FC"/>
          </w:tcPr>
          <w:p>
            <w:pPr>
              <w:spacing w:after="0"/>
              <w:rPr>
                <w:sz w:val="15"/>
                <w:szCs w:val="15"/>
                <w:color w:val="auto"/>
              </w:rPr>
            </w:pPr>
          </w:p>
        </w:tc>
        <w:tc>
          <w:tcPr>
            <w:tcW w:w="20" w:type="dxa"/>
            <w:vAlign w:val="bottom"/>
            <w:tcBorders>
              <w:top w:val="single" w:sz="8" w:color="F4F9FC"/>
            </w:tcBorders>
            <w:shd w:val="clear" w:color="auto" w:fill="F4F9FC"/>
          </w:tcPr>
          <w:p>
            <w:pPr>
              <w:spacing w:after="0"/>
              <w:rPr>
                <w:sz w:val="15"/>
                <w:szCs w:val="15"/>
                <w:color w:val="auto"/>
              </w:rPr>
            </w:pPr>
          </w:p>
        </w:tc>
        <w:tc>
          <w:tcPr>
            <w:tcW w:w="200" w:type="dxa"/>
            <w:vAlign w:val="bottom"/>
            <w:tcBorders>
              <w:top w:val="single" w:sz="8" w:color="F4F9FC"/>
            </w:tcBorders>
            <w:gridSpan w:val="6"/>
            <w:shd w:val="clear" w:color="auto" w:fill="F4F9FC"/>
          </w:tcPr>
          <w:p>
            <w:pPr>
              <w:spacing w:after="0"/>
              <w:rPr>
                <w:sz w:val="15"/>
                <w:szCs w:val="15"/>
                <w:color w:val="auto"/>
              </w:rPr>
            </w:pPr>
          </w:p>
        </w:tc>
        <w:tc>
          <w:tcPr>
            <w:tcW w:w="440" w:type="dxa"/>
            <w:vAlign w:val="bottom"/>
            <w:tcBorders>
              <w:top w:val="single" w:sz="8" w:color="F4F9FC"/>
            </w:tcBorders>
            <w:gridSpan w:val="4"/>
            <w:shd w:val="clear" w:color="auto" w:fill="F4F9FC"/>
          </w:tcPr>
          <w:p>
            <w:pPr>
              <w:spacing w:after="0"/>
              <w:rPr>
                <w:sz w:val="15"/>
                <w:szCs w:val="15"/>
                <w:color w:val="auto"/>
              </w:rPr>
            </w:pPr>
          </w:p>
        </w:tc>
        <w:tc>
          <w:tcPr>
            <w:tcW w:w="720" w:type="dxa"/>
            <w:vAlign w:val="bottom"/>
            <w:tcBorders>
              <w:top w:val="single" w:sz="8" w:color="F4F9FC"/>
            </w:tcBorders>
            <w:vMerge w:val="continue"/>
            <w:shd w:val="clear" w:color="auto" w:fill="F4F9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520" w:type="dxa"/>
            <w:vAlign w:val="bottom"/>
            <w:tcBorders>
              <w:top w:val="single" w:sz="8" w:color="0000EE"/>
              <w:bottom w:val="single" w:sz="8" w:color="0000EE"/>
            </w:tcBorders>
            <w:gridSpan w:val="16"/>
            <w:shd w:val="clear" w:color="auto" w:fill="F4F9FC"/>
          </w:tcPr>
          <w:p>
            <w:pPr>
              <w:spacing w:after="0" w:line="182" w:lineRule="exact"/>
              <w:rPr>
                <w:sz w:val="20"/>
                <w:szCs w:val="20"/>
                <w:color w:val="auto"/>
              </w:rPr>
            </w:pPr>
            <w:r>
              <w:rPr>
                <w:rFonts w:ascii="Arial" w:cs="Arial" w:eastAsia="Arial" w:hAnsi="Arial"/>
                <w:sz w:val="18"/>
                <w:szCs w:val="18"/>
                <w:b w:val="1"/>
                <w:bCs w:val="1"/>
                <w:color w:val="0000EE"/>
                <w:w w:val="95"/>
              </w:rPr>
              <w:t>SUPERMAJORITY VOTING REQUIREMENT</w:t>
            </w:r>
          </w:p>
        </w:tc>
        <w:tc>
          <w:tcPr>
            <w:tcW w:w="140" w:type="dxa"/>
            <w:vAlign w:val="bottom"/>
            <w:tcBorders>
              <w:top w:val="single" w:sz="8" w:color="F4F9FC"/>
              <w:bottom w:val="single" w:sz="8" w:color="0000EE"/>
            </w:tcBorders>
            <w:gridSpan w:val="2"/>
            <w:shd w:val="clear" w:color="auto" w:fill="F4F9FC"/>
          </w:tcPr>
          <w:p>
            <w:pPr>
              <w:spacing w:after="0"/>
              <w:rPr>
                <w:sz w:val="17"/>
                <w:szCs w:val="17"/>
                <w:color w:val="auto"/>
              </w:rPr>
            </w:pPr>
          </w:p>
        </w:tc>
        <w:tc>
          <w:tcPr>
            <w:tcW w:w="360" w:type="dxa"/>
            <w:vAlign w:val="bottom"/>
            <w:tcBorders>
              <w:top w:val="single" w:sz="8" w:color="F4F9FC"/>
              <w:bottom w:val="single" w:sz="8" w:color="F4F9FC"/>
            </w:tcBorders>
            <w:gridSpan w:val="2"/>
            <w:shd w:val="clear" w:color="auto" w:fill="F4F9FC"/>
          </w:tcPr>
          <w:p>
            <w:pPr>
              <w:spacing w:after="0"/>
              <w:rPr>
                <w:sz w:val="17"/>
                <w:szCs w:val="17"/>
                <w:color w:val="auto"/>
              </w:rPr>
            </w:pPr>
          </w:p>
        </w:tc>
        <w:tc>
          <w:tcPr>
            <w:tcW w:w="20" w:type="dxa"/>
            <w:vAlign w:val="bottom"/>
            <w:tcBorders>
              <w:top w:val="single" w:sz="8" w:color="F4F9FC"/>
              <w:bottom w:val="single" w:sz="8" w:color="F4F9FC"/>
            </w:tcBorders>
            <w:shd w:val="clear" w:color="auto" w:fill="F4F9FC"/>
          </w:tcPr>
          <w:p>
            <w:pPr>
              <w:spacing w:after="0"/>
              <w:rPr>
                <w:sz w:val="17"/>
                <w:szCs w:val="17"/>
                <w:color w:val="auto"/>
              </w:rPr>
            </w:pPr>
          </w:p>
        </w:tc>
        <w:tc>
          <w:tcPr>
            <w:tcW w:w="200" w:type="dxa"/>
            <w:vAlign w:val="bottom"/>
            <w:tcBorders>
              <w:top w:val="single" w:sz="8" w:color="F4F9FC"/>
              <w:bottom w:val="single" w:sz="8" w:color="F4F9FC"/>
            </w:tcBorders>
            <w:gridSpan w:val="6"/>
            <w:shd w:val="clear" w:color="auto" w:fill="F4F9FC"/>
          </w:tcPr>
          <w:p>
            <w:pPr>
              <w:spacing w:after="0"/>
              <w:rPr>
                <w:sz w:val="17"/>
                <w:szCs w:val="17"/>
                <w:color w:val="auto"/>
              </w:rPr>
            </w:pPr>
          </w:p>
        </w:tc>
        <w:tc>
          <w:tcPr>
            <w:tcW w:w="440" w:type="dxa"/>
            <w:vAlign w:val="bottom"/>
            <w:tcBorders>
              <w:top w:val="single" w:sz="8" w:color="F4F9FC"/>
              <w:bottom w:val="single" w:sz="8" w:color="F4F9FC"/>
            </w:tcBorders>
            <w:gridSpan w:val="4"/>
            <w:shd w:val="clear" w:color="auto" w:fill="F4F9FC"/>
          </w:tcPr>
          <w:p>
            <w:pPr>
              <w:spacing w:after="0"/>
              <w:rPr>
                <w:sz w:val="17"/>
                <w:szCs w:val="17"/>
                <w:color w:val="auto"/>
              </w:rPr>
            </w:pPr>
          </w:p>
        </w:tc>
        <w:tc>
          <w:tcPr>
            <w:tcW w:w="720" w:type="dxa"/>
            <w:vAlign w:val="bottom"/>
            <w:tcBorders>
              <w:top w:val="single" w:sz="8" w:color="F4F9FC"/>
              <w:bottom w:val="single" w:sz="8" w:color="F4F9FC"/>
            </w:tcBorders>
            <w:shd w:val="clear" w:color="auto" w:fill="F4F9FC"/>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4240" w:type="dxa"/>
            <w:vAlign w:val="bottom"/>
            <w:tcBorders>
              <w:top w:val="single" w:sz="8" w:color="F4F9FC"/>
              <w:bottom w:val="single" w:sz="8" w:color="0000EE"/>
            </w:tcBorders>
            <w:gridSpan w:val="27"/>
          </w:tcPr>
          <w:p>
            <w:pPr>
              <w:spacing w:after="0"/>
              <w:rPr>
                <w:sz w:val="20"/>
                <w:szCs w:val="20"/>
                <w:color w:val="auto"/>
              </w:rPr>
            </w:pPr>
            <w:r>
              <w:rPr>
                <w:rFonts w:ascii="Arial" w:cs="Arial" w:eastAsia="Arial" w:hAnsi="Arial"/>
                <w:sz w:val="18"/>
                <w:szCs w:val="18"/>
                <w:color w:val="0000EE"/>
                <w:w w:val="99"/>
              </w:rPr>
              <w:t>Security Ownership of Certain Beneficial Owners and</w:t>
            </w:r>
          </w:p>
        </w:tc>
        <w:tc>
          <w:tcPr>
            <w:tcW w:w="440" w:type="dxa"/>
            <w:vAlign w:val="bottom"/>
            <w:tcBorders>
              <w:top w:val="single" w:sz="8" w:color="F4F9FC"/>
            </w:tcBorders>
            <w:gridSpan w:val="4"/>
          </w:tcPr>
          <w:p>
            <w:pPr>
              <w:spacing w:after="0"/>
              <w:rPr>
                <w:sz w:val="24"/>
                <w:szCs w:val="24"/>
                <w:color w:val="auto"/>
              </w:rPr>
            </w:pPr>
          </w:p>
        </w:tc>
        <w:tc>
          <w:tcPr>
            <w:tcW w:w="720" w:type="dxa"/>
            <w:vAlign w:val="bottom"/>
            <w:tcBorders>
              <w:top w:val="single" w:sz="8" w:color="F4F9FC"/>
              <w:bottom w:val="single" w:sz="8" w:color="F4F9FC"/>
            </w:tcBorders>
            <w:vMerge w:val="restart"/>
          </w:tcPr>
          <w:p>
            <w:pPr>
              <w:jc w:val="right"/>
              <w:ind w:right="19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59"/>
        </w:trPr>
        <w:tc>
          <w:tcPr>
            <w:tcW w:w="4680" w:type="dxa"/>
            <w:vAlign w:val="bottom"/>
            <w:gridSpan w:val="31"/>
            <w:vMerge w:val="restart"/>
          </w:tcPr>
          <w:p>
            <w:pPr>
              <w:spacing w:after="0" w:line="182" w:lineRule="exact"/>
              <w:rPr>
                <w:sz w:val="20"/>
                <w:szCs w:val="20"/>
                <w:color w:val="auto"/>
              </w:rPr>
            </w:pPr>
            <w:r>
              <w:rPr>
                <w:rFonts w:ascii="Arial" w:cs="Arial" w:eastAsia="Arial" w:hAnsi="Arial"/>
                <w:sz w:val="18"/>
                <w:szCs w:val="18"/>
                <w:color w:val="0000EE"/>
              </w:rPr>
              <w:t>Management</w:t>
            </w: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680" w:type="dxa"/>
            <w:vAlign w:val="bottom"/>
            <w:gridSpan w:val="31"/>
            <w:vMerge w:val="continue"/>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5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10"/>
          </w:tcPr>
          <w:p>
            <w:pPr>
              <w:spacing w:after="0" w:line="20" w:lineRule="exact"/>
              <w:rPr>
                <w:sz w:val="1"/>
                <w:szCs w:val="1"/>
                <w:color w:val="auto"/>
              </w:rPr>
            </w:pPr>
          </w:p>
        </w:tc>
        <w:tc>
          <w:tcPr>
            <w:tcW w:w="720" w:type="dxa"/>
            <w:vAlign w:val="bottom"/>
            <w:vMerge w:val="restart"/>
          </w:tcPr>
          <w:p>
            <w:pPr>
              <w:jc w:val="right"/>
              <w:ind w:right="190"/>
              <w:spacing w:after="0"/>
              <w:rPr>
                <w:sz w:val="20"/>
                <w:szCs w:val="20"/>
                <w:color w:val="auto"/>
              </w:rPr>
            </w:pPr>
            <w:r>
              <w:rPr>
                <w:rFonts w:ascii="Arial" w:cs="Arial" w:eastAsia="Arial" w:hAnsi="Arial"/>
                <w:sz w:val="18"/>
                <w:szCs w:val="18"/>
                <w:color w:val="auto"/>
              </w:rPr>
              <w:t>93</w:t>
            </w:r>
          </w:p>
        </w:tc>
        <w:tc>
          <w:tcPr>
            <w:tcW w:w="0" w:type="dxa"/>
            <w:vAlign w:val="bottom"/>
          </w:tcPr>
          <w:p>
            <w:pPr>
              <w:spacing w:after="0" w:line="20" w:lineRule="exact"/>
              <w:rPr>
                <w:sz w:val="1"/>
                <w:szCs w:val="1"/>
                <w:color w:val="auto"/>
              </w:rPr>
            </w:pPr>
          </w:p>
        </w:tc>
      </w:tr>
      <w:tr>
        <w:trPr>
          <w:trHeight w:val="493"/>
        </w:trPr>
        <w:tc>
          <w:tcPr>
            <w:tcW w:w="4680" w:type="dxa"/>
            <w:vAlign w:val="bottom"/>
            <w:gridSpan w:val="31"/>
          </w:tcPr>
          <w:p>
            <w:pPr>
              <w:spacing w:after="0"/>
              <w:rPr>
                <w:sz w:val="20"/>
                <w:szCs w:val="20"/>
                <w:color w:val="auto"/>
              </w:rPr>
            </w:pPr>
            <w:r>
              <w:rPr>
                <w:rFonts w:ascii="Arial" w:cs="Arial" w:eastAsia="Arial" w:hAnsi="Arial"/>
                <w:sz w:val="18"/>
                <w:szCs w:val="18"/>
                <w:color w:val="0000EE"/>
              </w:rPr>
              <w:t>Questions and Answers About the Annual Meeting</w:t>
            </w:r>
          </w:p>
        </w:tc>
        <w:tc>
          <w:tcPr>
            <w:tcW w:w="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4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rPr>
              <w:t>Other Information</w:t>
            </w:r>
          </w:p>
        </w:tc>
        <w:tc>
          <w:tcPr>
            <w:tcW w:w="2560" w:type="dxa"/>
            <w:vAlign w:val="bottom"/>
            <w:tcBorders>
              <w:top w:val="single" w:sz="8" w:color="0000EE"/>
            </w:tcBorders>
            <w:gridSpan w:val="14"/>
          </w:tcPr>
          <w:p>
            <w:pPr>
              <w:spacing w:after="0"/>
              <w:rPr>
                <w:sz w:val="24"/>
                <w:szCs w:val="24"/>
                <w:color w:val="auto"/>
              </w:rPr>
            </w:pPr>
          </w:p>
        </w:tc>
        <w:tc>
          <w:tcPr>
            <w:tcW w:w="660" w:type="dxa"/>
            <w:vAlign w:val="bottom"/>
            <w:gridSpan w:val="11"/>
          </w:tcPr>
          <w:p>
            <w:pPr>
              <w:spacing w:after="0"/>
              <w:rPr>
                <w:sz w:val="24"/>
                <w:szCs w:val="24"/>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358"/>
        </w:trPr>
        <w:tc>
          <w:tcPr>
            <w:tcW w:w="4680" w:type="dxa"/>
            <w:vAlign w:val="bottom"/>
            <w:gridSpan w:val="31"/>
          </w:tcPr>
          <w:p>
            <w:pPr>
              <w:spacing w:after="0"/>
              <w:rPr>
                <w:sz w:val="20"/>
                <w:szCs w:val="20"/>
                <w:color w:val="auto"/>
              </w:rPr>
            </w:pPr>
            <w:r>
              <w:rPr>
                <w:rFonts w:ascii="Arial" w:cs="Arial" w:eastAsia="Arial" w:hAnsi="Arial"/>
                <w:sz w:val="18"/>
                <w:szCs w:val="18"/>
                <w:color w:val="0000EE"/>
              </w:rPr>
              <w:t>Appendix A: Reconciliation of Non-GAAP Financial</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4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Measures</w:t>
            </w:r>
          </w:p>
        </w:tc>
        <w:tc>
          <w:tcPr>
            <w:tcW w:w="640" w:type="dxa"/>
            <w:vAlign w:val="bottom"/>
            <w:gridSpan w:val="10"/>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5400" w:space="340"/>
            <w:col w:w="5400"/>
          </w:cols>
          <w:pgMar w:left="320" w:top="482" w:right="4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0"/>
          <w:szCs w:val="20"/>
          <w:color w:val="auto"/>
        </w:rPr>
      </w:pPr>
    </w:p>
    <w:p>
      <w:pPr>
        <w:jc w:val="both"/>
        <w:ind w:left="120" w:firstLine="551"/>
        <w:spacing w:after="0" w:line="238" w:lineRule="auto"/>
        <w:rPr>
          <w:sz w:val="20"/>
          <w:szCs w:val="20"/>
          <w:color w:val="auto"/>
        </w:rPr>
      </w:pPr>
      <w:r>
        <w:rPr>
          <w:rFonts w:ascii="Arial" w:cs="Arial" w:eastAsia="Arial" w:hAnsi="Arial"/>
          <w:sz w:val="18"/>
          <w:szCs w:val="18"/>
          <w:color w:val="auto"/>
        </w:rPr>
        <w:t>Statements contained in this proxy statement that are not statements of historical fact are forward-looking statements within the meaning of the Private Securities Litigation Reform Act of 1995 (the “PSLRA”). Words such as “believes,” “anticipates,” “expects,” “intends,” “targeted,” “should,” “potential,” “goals,” “strategy,” “outlook,” “plan,” “estimated,” “will,” variations of these terms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 Item 1A, “Risk Factors,” of our most recent Annual Report on Form 10-K, as may be updated in subsequent Quarterly Reports on Form 10-Q. The performance of our business and our securities may be adversely affected by these factors and by other factors common to other businesses and investments, or to the general economy. Readers are cautioned not to place undue reliance on forward-looking statements, which speak only as of the date they are made. Except to the extent required by law, we disclaim any intent or obligation to update or revise any forward-looking statements, whether as a result of new information, future events or otherwise.</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640" w:type="dxa"/>
            <w:vAlign w:val="bottom"/>
            <w:shd w:val="clear" w:color="auto" w:fill="F2F2F2"/>
          </w:tcPr>
          <w:p>
            <w:pPr>
              <w:spacing w:after="0"/>
              <w:rPr>
                <w:sz w:val="24"/>
                <w:szCs w:val="24"/>
                <w:color w:val="auto"/>
              </w:rPr>
            </w:pPr>
          </w:p>
        </w:tc>
        <w:tc>
          <w:tcPr>
            <w:tcW w:w="820" w:type="dxa"/>
            <w:vAlign w:val="bottom"/>
            <w:shd w:val="clear" w:color="auto" w:fill="F2F2F2"/>
          </w:tcPr>
          <w:p>
            <w:pPr>
              <w:spacing w:after="0"/>
              <w:rPr>
                <w:sz w:val="20"/>
                <w:szCs w:val="20"/>
                <w:color w:val="auto"/>
              </w:rPr>
            </w:pPr>
            <w:r>
              <w:rPr>
                <w:rFonts w:ascii="Arial" w:cs="Arial" w:eastAsia="Arial" w:hAnsi="Arial"/>
                <w:sz w:val="18"/>
                <w:szCs w:val="18"/>
                <w:b w:val="1"/>
                <w:bCs w:val="1"/>
                <w:color w:val="376DB5"/>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32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5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Stock</w:t>
            </w:r>
          </w:p>
        </w:tc>
        <w:tc>
          <w:tcPr>
            <w:tcW w:w="15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Other</w:t>
            </w:r>
          </w:p>
        </w:tc>
      </w:tr>
      <w:tr>
        <w:trPr>
          <w:trHeight w:val="203"/>
        </w:trPr>
        <w:tc>
          <w:tcPr>
            <w:tcW w:w="64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line="202" w:lineRule="exact"/>
              <w:rPr>
                <w:sz w:val="20"/>
                <w:szCs w:val="20"/>
                <w:color w:val="auto"/>
              </w:rPr>
            </w:pPr>
            <w:r>
              <w:rPr>
                <w:rFonts w:ascii="Arial" w:cs="Arial" w:eastAsia="Arial" w:hAnsi="Arial"/>
                <w:sz w:val="18"/>
                <w:szCs w:val="18"/>
                <w:b w:val="1"/>
                <w:bCs w:val="1"/>
                <w:color w:val="376DB5"/>
                <w:w w:val="97"/>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32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5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Ownership</w:t>
            </w:r>
          </w:p>
        </w:tc>
        <w:tc>
          <w:tcPr>
            <w:tcW w:w="15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640" w:type="dxa"/>
            <w:vAlign w:val="bottom"/>
            <w:tcBorders>
              <w:bottom w:val="single" w:sz="8" w:color="F2F2F2"/>
            </w:tcBorders>
            <w:shd w:val="clear" w:color="auto" w:fill="F2F2F2"/>
          </w:tcPr>
          <w:p>
            <w:pPr>
              <w:spacing w:after="0"/>
              <w:rPr>
                <w:sz w:val="16"/>
                <w:szCs w:val="16"/>
                <w:color w:val="auto"/>
              </w:rPr>
            </w:pPr>
          </w:p>
        </w:tc>
        <w:tc>
          <w:tcPr>
            <w:tcW w:w="820" w:type="dxa"/>
            <w:vAlign w:val="bottom"/>
            <w:tcBorders>
              <w:bottom w:val="single" w:sz="8" w:color="376DB5"/>
            </w:tcBorders>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000" w:type="dxa"/>
            <w:vAlign w:val="bottom"/>
            <w:tcBorders>
              <w:bottom w:val="single" w:sz="8" w:color="F2F2F2"/>
            </w:tcBorders>
            <w:shd w:val="clear" w:color="auto" w:fill="F2F2F2"/>
          </w:tcPr>
          <w:p>
            <w:pPr>
              <w:spacing w:after="0"/>
              <w:rPr>
                <w:sz w:val="16"/>
                <w:szCs w:val="16"/>
                <w:color w:val="auto"/>
              </w:rPr>
            </w:pPr>
          </w:p>
        </w:tc>
        <w:tc>
          <w:tcPr>
            <w:tcW w:w="1320" w:type="dxa"/>
            <w:vAlign w:val="bottom"/>
            <w:tcBorders>
              <w:bottom w:val="single" w:sz="8" w:color="F2F2F2"/>
            </w:tcBorders>
            <w:shd w:val="clear" w:color="auto" w:fill="F2F2F2"/>
          </w:tcPr>
          <w:p>
            <w:pPr>
              <w:spacing w:after="0"/>
              <w:rPr>
                <w:sz w:val="16"/>
                <w:szCs w:val="16"/>
                <w:color w:val="auto"/>
              </w:rPr>
            </w:pPr>
          </w:p>
        </w:tc>
        <w:tc>
          <w:tcPr>
            <w:tcW w:w="1500" w:type="dxa"/>
            <w:vAlign w:val="bottom"/>
            <w:tcBorders>
              <w:bottom w:val="single" w:sz="8" w:color="F2F2F2"/>
            </w:tcBorders>
            <w:shd w:val="clear" w:color="auto" w:fill="F2F2F2"/>
          </w:tcPr>
          <w:p>
            <w:pPr>
              <w:spacing w:after="0"/>
              <w:rPr>
                <w:sz w:val="16"/>
                <w:szCs w:val="16"/>
                <w:color w:val="auto"/>
              </w:rPr>
            </w:pPr>
          </w:p>
        </w:tc>
        <w:tc>
          <w:tcPr>
            <w:tcW w:w="1660" w:type="dxa"/>
            <w:vAlign w:val="bottom"/>
            <w:tcBorders>
              <w:bottom w:val="single" w:sz="8" w:color="F2F2F2"/>
            </w:tcBorders>
            <w:shd w:val="clear" w:color="auto" w:fill="F2F2F2"/>
          </w:tcPr>
          <w:p>
            <w:pPr>
              <w:spacing w:after="0"/>
              <w:rPr>
                <w:sz w:val="16"/>
                <w:szCs w:val="16"/>
                <w:color w:val="auto"/>
              </w:rPr>
            </w:pPr>
          </w:p>
        </w:tc>
        <w:tc>
          <w:tcPr>
            <w:tcW w:w="1380" w:type="dxa"/>
            <w:vAlign w:val="bottom"/>
            <w:tcBorders>
              <w:bottom w:val="single" w:sz="8" w:color="F2F2F2"/>
            </w:tcBorders>
            <w:shd w:val="clear" w:color="auto" w:fill="F2F2F2"/>
          </w:tcPr>
          <w:p>
            <w:pPr>
              <w:spacing w:after="0"/>
              <w:rPr>
                <w:sz w:val="16"/>
                <w:szCs w:val="16"/>
                <w:color w:val="auto"/>
              </w:rPr>
            </w:pPr>
          </w:p>
        </w:tc>
        <w:tc>
          <w:tcPr>
            <w:tcW w:w="1200" w:type="dxa"/>
            <w:vAlign w:val="bottom"/>
            <w:tcBorders>
              <w:bottom w:val="single" w:sz="8" w:color="F2F2F2"/>
            </w:tcBorders>
            <w:shd w:val="clear" w:color="auto" w:fill="F2F2F2"/>
          </w:tcPr>
          <w:p>
            <w:pPr>
              <w:spacing w:after="0"/>
              <w:rPr>
                <w:sz w:val="16"/>
                <w:szCs w:val="16"/>
                <w:color w:val="auto"/>
              </w:rPr>
            </w:pPr>
          </w:p>
        </w:tc>
        <w:tc>
          <w:tcPr>
            <w:tcW w:w="1500" w:type="dxa"/>
            <w:vAlign w:val="bottom"/>
            <w:tcBorders>
              <w:bottom w:val="single" w:sz="8" w:color="F2F2F2"/>
            </w:tcBorders>
            <w:shd w:val="clear" w:color="auto" w:fill="F2F2F2"/>
          </w:tcPr>
          <w:p>
            <w:pPr>
              <w:spacing w:after="0"/>
              <w:rPr>
                <w:sz w:val="16"/>
                <w:szCs w:val="16"/>
                <w:color w:val="auto"/>
              </w:rPr>
            </w:pPr>
          </w:p>
        </w:tc>
      </w:tr>
      <w:tr>
        <w:trPr>
          <w:trHeight w:val="34"/>
        </w:trPr>
        <w:tc>
          <w:tcPr>
            <w:tcW w:w="640" w:type="dxa"/>
            <w:vAlign w:val="bottom"/>
            <w:shd w:val="clear" w:color="auto" w:fill="F2F2F2"/>
          </w:tcPr>
          <w:p>
            <w:pPr>
              <w:spacing w:after="0"/>
              <w:rPr>
                <w:sz w:val="2"/>
                <w:szCs w:val="2"/>
                <w:color w:val="auto"/>
              </w:rPr>
            </w:pPr>
          </w:p>
        </w:tc>
        <w:tc>
          <w:tcPr>
            <w:tcW w:w="820" w:type="dxa"/>
            <w:vAlign w:val="bottom"/>
            <w:shd w:val="clear" w:color="auto" w:fill="F2F2F2"/>
          </w:tcPr>
          <w:p>
            <w:pPr>
              <w:spacing w:after="0"/>
              <w:rPr>
                <w:sz w:val="2"/>
                <w:szCs w:val="2"/>
                <w:color w:val="auto"/>
              </w:rPr>
            </w:pPr>
          </w:p>
        </w:tc>
        <w:tc>
          <w:tcPr>
            <w:tcW w:w="1000" w:type="dxa"/>
            <w:vAlign w:val="bottom"/>
            <w:shd w:val="clear" w:color="auto" w:fill="F2F2F2"/>
          </w:tcPr>
          <w:p>
            <w:pPr>
              <w:spacing w:after="0"/>
              <w:rPr>
                <w:sz w:val="2"/>
                <w:szCs w:val="2"/>
                <w:color w:val="auto"/>
              </w:rPr>
            </w:pPr>
          </w:p>
        </w:tc>
        <w:tc>
          <w:tcPr>
            <w:tcW w:w="1320" w:type="dxa"/>
            <w:vAlign w:val="bottom"/>
            <w:shd w:val="clear" w:color="auto" w:fill="F2F2F2"/>
          </w:tcPr>
          <w:p>
            <w:pPr>
              <w:spacing w:after="0"/>
              <w:rPr>
                <w:sz w:val="2"/>
                <w:szCs w:val="2"/>
                <w:color w:val="auto"/>
              </w:rPr>
            </w:pPr>
          </w:p>
        </w:tc>
        <w:tc>
          <w:tcPr>
            <w:tcW w:w="1500" w:type="dxa"/>
            <w:vAlign w:val="bottom"/>
            <w:shd w:val="clear" w:color="auto" w:fill="F2F2F2"/>
          </w:tcPr>
          <w:p>
            <w:pPr>
              <w:spacing w:after="0"/>
              <w:rPr>
                <w:sz w:val="2"/>
                <w:szCs w:val="2"/>
                <w:color w:val="auto"/>
              </w:rPr>
            </w:pPr>
          </w:p>
        </w:tc>
        <w:tc>
          <w:tcPr>
            <w:tcW w:w="1660" w:type="dxa"/>
            <w:vAlign w:val="bottom"/>
            <w:shd w:val="clear" w:color="auto" w:fill="F2F2F2"/>
          </w:tcPr>
          <w:p>
            <w:pPr>
              <w:spacing w:after="0"/>
              <w:rPr>
                <w:sz w:val="2"/>
                <w:szCs w:val="2"/>
                <w:color w:val="auto"/>
              </w:rPr>
            </w:pPr>
          </w:p>
        </w:tc>
        <w:tc>
          <w:tcPr>
            <w:tcW w:w="1380" w:type="dxa"/>
            <w:vAlign w:val="bottom"/>
            <w:shd w:val="clear" w:color="auto" w:fill="F2F2F2"/>
          </w:tcPr>
          <w:p>
            <w:pPr>
              <w:spacing w:after="0"/>
              <w:rPr>
                <w:sz w:val="2"/>
                <w:szCs w:val="2"/>
                <w:color w:val="auto"/>
              </w:rPr>
            </w:pPr>
          </w:p>
        </w:tc>
        <w:tc>
          <w:tcPr>
            <w:tcW w:w="1200" w:type="dxa"/>
            <w:vAlign w:val="bottom"/>
            <w:shd w:val="clear" w:color="auto" w:fill="F2F2F2"/>
          </w:tcPr>
          <w:p>
            <w:pPr>
              <w:spacing w:after="0"/>
              <w:rPr>
                <w:sz w:val="2"/>
                <w:szCs w:val="2"/>
                <w:color w:val="auto"/>
              </w:rPr>
            </w:pPr>
          </w:p>
        </w:tc>
        <w:tc>
          <w:tcPr>
            <w:tcW w:w="1500" w:type="dxa"/>
            <w:vAlign w:val="bottom"/>
            <w:shd w:val="clear" w:color="auto" w:fill="F2F2F2"/>
          </w:tcPr>
          <w:p>
            <w:pPr>
              <w:spacing w:after="0"/>
              <w:rPr>
                <w:sz w:val="2"/>
                <w:szCs w:val="2"/>
                <w:color w:val="auto"/>
              </w:rPr>
            </w:pPr>
          </w:p>
        </w:tc>
      </w:tr>
    </w:tbl>
    <w:p>
      <w:pPr>
        <w:spacing w:after="0" w:line="11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PROXY SUMMARY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Proxy voting roadmap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175895</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6" w:lineRule="exact"/>
        <w:rPr>
          <w:sz w:val="20"/>
          <w:szCs w:val="20"/>
          <w:color w:val="auto"/>
        </w:rPr>
      </w:pPr>
    </w:p>
    <w:p>
      <w:pPr>
        <w:ind w:left="120"/>
        <w:spacing w:after="0"/>
        <w:tabs>
          <w:tab w:leader="none" w:pos="7460" w:val="left"/>
          <w:tab w:leader="none" w:pos="10420" w:val="left"/>
        </w:tabs>
        <w:rPr>
          <w:sz w:val="20"/>
          <w:szCs w:val="20"/>
          <w:color w:val="auto"/>
        </w:rPr>
      </w:pPr>
      <w:r>
        <w:rPr>
          <w:rFonts w:ascii="Arial" w:cs="Arial" w:eastAsia="Arial" w:hAnsi="Arial"/>
          <w:sz w:val="18"/>
          <w:szCs w:val="18"/>
          <w:b w:val="1"/>
          <w:bCs w:val="1"/>
          <w:color w:val="auto"/>
        </w:rPr>
        <w:t>  PROPOSAL</w:t>
      </w:r>
      <w:r>
        <w:rPr>
          <w:sz w:val="20"/>
          <w:szCs w:val="20"/>
          <w:color w:val="auto"/>
        </w:rPr>
        <w:tab/>
      </w:r>
      <w:r>
        <w:rPr>
          <w:rFonts w:ascii="Arial" w:cs="Arial" w:eastAsia="Arial" w:hAnsi="Arial"/>
          <w:sz w:val="18"/>
          <w:szCs w:val="18"/>
          <w:b w:val="1"/>
          <w:bCs w:val="1"/>
          <w:color w:val="auto"/>
        </w:rPr>
        <w:t>BOARD RECOMMENDATION</w:t>
      </w:r>
      <w:r>
        <w:rPr>
          <w:sz w:val="20"/>
          <w:szCs w:val="20"/>
          <w:color w:val="auto"/>
        </w:rPr>
        <w:tab/>
      </w:r>
      <w:r>
        <w:rPr>
          <w:rFonts w:ascii="Arial" w:cs="Arial" w:eastAsia="Arial" w:hAnsi="Arial"/>
          <w:sz w:val="17"/>
          <w:szCs w:val="17"/>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440" w:type="dxa"/>
            <w:vAlign w:val="bottom"/>
            <w:vMerge w:val="restart"/>
          </w:tcPr>
          <w:p>
            <w:pPr>
              <w:spacing w:after="0"/>
              <w:rPr>
                <w:sz w:val="20"/>
                <w:szCs w:val="20"/>
                <w:color w:val="auto"/>
              </w:rPr>
            </w:pPr>
            <w:r>
              <w:rPr>
                <w:rFonts w:ascii="Arial" w:cs="Arial" w:eastAsia="Arial" w:hAnsi="Arial"/>
                <w:sz w:val="18"/>
                <w:szCs w:val="18"/>
                <w:color w:val="auto"/>
              </w:rPr>
              <w:t> </w:t>
            </w:r>
          </w:p>
        </w:tc>
        <w:tc>
          <w:tcPr>
            <w:tcW w:w="1980" w:type="dxa"/>
            <w:vAlign w:val="bottom"/>
          </w:tcPr>
          <w:p>
            <w:pPr>
              <w:ind w:left="380"/>
              <w:spacing w:after="0"/>
              <w:rPr>
                <w:sz w:val="20"/>
                <w:szCs w:val="20"/>
                <w:color w:val="auto"/>
              </w:rPr>
            </w:pPr>
            <w:r>
              <w:rPr>
                <w:rFonts w:ascii="Arial" w:cs="Arial" w:eastAsia="Arial" w:hAnsi="Arial"/>
                <w:sz w:val="18"/>
                <w:szCs w:val="18"/>
                <w:color w:val="376DB5"/>
                <w:w w:val="98"/>
              </w:rPr>
              <w:t>Election of Directors</w:t>
            </w:r>
          </w:p>
        </w:tc>
        <w:tc>
          <w:tcPr>
            <w:tcW w:w="0" w:type="dxa"/>
            <w:vAlign w:val="bottom"/>
          </w:tcPr>
          <w:p>
            <w:pPr>
              <w:spacing w:after="0"/>
              <w:rPr>
                <w:sz w:val="1"/>
                <w:szCs w:val="1"/>
                <w:color w:val="auto"/>
              </w:rPr>
            </w:pPr>
          </w:p>
        </w:tc>
      </w:tr>
      <w:tr>
        <w:trPr>
          <w:trHeight w:val="103"/>
        </w:trPr>
        <w:tc>
          <w:tcPr>
            <w:tcW w:w="440" w:type="dxa"/>
            <w:vAlign w:val="bottom"/>
            <w:vMerge w:val="continue"/>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-204470</wp:posOffset>
            </wp:positionV>
            <wp:extent cx="17145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ind w:left="1180" w:right="2740" w:hanging="241"/>
        <w:spacing w:after="0" w:line="239" w:lineRule="auto"/>
        <w:tabs>
          <w:tab w:leader="none" w:pos="11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18"/>
          <w:szCs w:val="18"/>
          <w:color w:val="auto"/>
        </w:rPr>
        <w:t>Proposal to elect eight directors to serve until the 2027 Annual Meeting of Stockholders and thereafter until their successors are elected and qualified</w:t>
      </w:r>
    </w:p>
    <w:p>
      <w:pPr>
        <w:spacing w:after="0" w:line="33"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376DB5"/>
        </w:rPr>
        <w:t xml:space="preserve">    </w:t>
      </w:r>
      <w:r>
        <w:rPr>
          <w:rFonts w:ascii="Arial" w:cs="Arial" w:eastAsia="Arial" w:hAnsi="Arial"/>
          <w:sz w:val="18"/>
          <w:szCs w:val="18"/>
          <w:b w:val="1"/>
          <w:bCs w:val="1"/>
          <w:color w:val="376DB5"/>
        </w:rPr>
        <w:t>For</w:t>
      </w:r>
      <w:r>
        <w:rPr>
          <w:rFonts w:ascii="Arial" w:cs="Arial" w:eastAsia="Arial" w:hAnsi="Arial"/>
          <w:sz w:val="18"/>
          <w:szCs w:val="18"/>
          <w:color w:val="376DB5"/>
        </w:rPr>
        <w:t xml:space="preserve"> Each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-101600</wp:posOffset>
            </wp:positionV>
            <wp:extent cx="102870"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1180" w:right="2820" w:hanging="239"/>
        <w:spacing w:after="0" w:line="232" w:lineRule="auto"/>
        <w:tabs>
          <w:tab w:leader="none" w:pos="116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Arial" w:cs="Arial" w:eastAsia="Arial" w:hAnsi="Arial"/>
          <w:sz w:val="18"/>
          <w:szCs w:val="18"/>
          <w:color w:val="auto"/>
        </w:rPr>
        <w:t>The nominees represent a variety of experiences, qualifications, attributes and skills</w:t>
      </w:r>
    </w:p>
    <w:p>
      <w:pPr>
        <w:spacing w:after="0" w:line="204" w:lineRule="exact"/>
        <w:rPr>
          <w:sz w:val="20"/>
          <w:szCs w:val="20"/>
          <w:color w:val="auto"/>
        </w:rPr>
      </w:pPr>
    </w:p>
    <w:p>
      <w:pPr>
        <w:ind w:left="940"/>
        <w:spacing w:after="0"/>
        <w:tabs>
          <w:tab w:leader="none" w:pos="116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Arial" w:cs="Arial" w:eastAsia="Arial" w:hAnsi="Arial"/>
          <w:sz w:val="18"/>
          <w:szCs w:val="18"/>
          <w:color w:val="auto"/>
        </w:rPr>
        <w:t>All nominees other than our CEO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440" w:type="dxa"/>
            <w:vAlign w:val="bottom"/>
            <w:vMerge w:val="restart"/>
          </w:tcPr>
          <w:p>
            <w:pPr>
              <w:spacing w:after="0"/>
              <w:rPr>
                <w:sz w:val="20"/>
                <w:szCs w:val="20"/>
                <w:color w:val="auto"/>
              </w:rPr>
            </w:pPr>
            <w:r>
              <w:rPr>
                <w:rFonts w:ascii="Arial" w:cs="Arial" w:eastAsia="Arial" w:hAnsi="Arial"/>
                <w:sz w:val="18"/>
                <w:szCs w:val="18"/>
                <w:color w:val="auto"/>
              </w:rPr>
              <w:t> </w:t>
            </w:r>
          </w:p>
        </w:tc>
        <w:tc>
          <w:tcPr>
            <w:tcW w:w="4340" w:type="dxa"/>
            <w:vAlign w:val="bottom"/>
          </w:tcPr>
          <w:p>
            <w:pPr>
              <w:ind w:left="380"/>
              <w:spacing w:after="0"/>
              <w:rPr>
                <w:sz w:val="20"/>
                <w:szCs w:val="20"/>
                <w:color w:val="auto"/>
              </w:rPr>
            </w:pPr>
            <w:r>
              <w:rPr>
                <w:rFonts w:ascii="Arial" w:cs="Arial" w:eastAsia="Arial" w:hAnsi="Arial"/>
                <w:sz w:val="18"/>
                <w:szCs w:val="18"/>
                <w:color w:val="376DB5"/>
                <w:w w:val="98"/>
              </w:rPr>
              <w:t>Advisory Vote on Executive Officer Compensation</w:t>
            </w:r>
          </w:p>
        </w:tc>
        <w:tc>
          <w:tcPr>
            <w:tcW w:w="0" w:type="dxa"/>
            <w:vAlign w:val="bottom"/>
          </w:tcPr>
          <w:p>
            <w:pPr>
              <w:spacing w:after="0"/>
              <w:rPr>
                <w:sz w:val="1"/>
                <w:szCs w:val="1"/>
                <w:color w:val="auto"/>
              </w:rPr>
            </w:pPr>
          </w:p>
        </w:tc>
      </w:tr>
      <w:tr>
        <w:trPr>
          <w:trHeight w:val="103"/>
        </w:trPr>
        <w:tc>
          <w:tcPr>
            <w:tcW w:w="440" w:type="dxa"/>
            <w:vAlign w:val="bottom"/>
            <w:vMerge w:val="continue"/>
          </w:tcPr>
          <w:p>
            <w:pPr>
              <w:spacing w:after="0"/>
              <w:rPr>
                <w:sz w:val="8"/>
                <w:szCs w:val="8"/>
                <w:color w:val="auto"/>
              </w:rPr>
            </w:pPr>
          </w:p>
        </w:tc>
        <w:tc>
          <w:tcPr>
            <w:tcW w:w="4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-204470</wp:posOffset>
            </wp:positionV>
            <wp:extent cx="1714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1180" w:hanging="241"/>
        <w:spacing w:after="0" w:line="225" w:lineRule="auto"/>
        <w:tabs>
          <w:tab w:leader="none" w:pos="1180" w:val="left"/>
        </w:tabs>
        <w:numPr>
          <w:ilvl w:val="0"/>
          <w:numId w:val="6"/>
        </w:numPr>
        <w:rPr>
          <w:rFonts w:ascii="Times New Roman" w:cs="Times New Roman" w:eastAsia="Times New Roman" w:hAnsi="Times New Roman"/>
          <w:sz w:val="20"/>
          <w:szCs w:val="20"/>
          <w:color w:val="auto"/>
        </w:rPr>
      </w:pPr>
      <w:r>
        <w:rPr>
          <w:rFonts w:ascii="Arial" w:cs="Arial" w:eastAsia="Arial" w:hAnsi="Arial"/>
          <w:sz w:val="18"/>
          <w:szCs w:val="18"/>
          <w:color w:val="auto"/>
        </w:rPr>
        <w:t>Proposal to approve the advisory (non-binding) resolution relating to the</w:t>
      </w:r>
    </w:p>
    <w:tbl>
      <w:tblPr>
        <w:tblLayout w:type="fixed"/>
        <w:tblInd w:w="1180" w:type="dxa"/>
        <w:tblCellMar>
          <w:top w:w="0" w:type="dxa"/>
          <w:left w:w="0" w:type="dxa"/>
          <w:bottom w:w="0" w:type="dxa"/>
          <w:right w:w="0" w:type="dxa"/>
        </w:tblCellMar>
      </w:tblP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named executive officer compensation as disclosed in this proxy statement</w:t>
            </w:r>
          </w:p>
        </w:tc>
        <w:tc>
          <w:tcPr>
            <w:tcW w:w="780" w:type="dxa"/>
            <w:vAlign w:val="bottom"/>
            <w:vMerge w:val="restart"/>
          </w:tcPr>
          <w:p>
            <w:pPr>
              <w:ind w:left="260"/>
              <w:spacing w:after="0"/>
              <w:rPr>
                <w:sz w:val="20"/>
                <w:szCs w:val="20"/>
                <w:color w:val="auto"/>
              </w:rPr>
            </w:pPr>
            <w:r>
              <w:rPr>
                <w:rFonts w:ascii="Arial" w:cs="Arial" w:eastAsia="Arial" w:hAnsi="Arial"/>
                <w:sz w:val="18"/>
                <w:szCs w:val="18"/>
                <w:b w:val="1"/>
                <w:bCs w:val="1"/>
                <w:color w:val="auto"/>
                <w:w w:val="80"/>
              </w:rPr>
              <w:t xml:space="preserve">    </w:t>
            </w:r>
            <w:r>
              <w:rPr>
                <w:rFonts w:ascii="Arial" w:cs="Arial" w:eastAsia="Arial" w:hAnsi="Arial"/>
                <w:sz w:val="18"/>
                <w:szCs w:val="18"/>
                <w:b w:val="1"/>
                <w:bCs w:val="1"/>
                <w:color w:val="376DB5"/>
                <w:w w:val="80"/>
              </w:rPr>
              <w:t>For</w:t>
            </w:r>
          </w:p>
        </w:tc>
        <w:tc>
          <w:tcPr>
            <w:tcW w:w="0" w:type="dxa"/>
            <w:vAlign w:val="bottom"/>
          </w:tcPr>
          <w:p>
            <w:pPr>
              <w:spacing w:after="0"/>
              <w:rPr>
                <w:sz w:val="1"/>
                <w:szCs w:val="1"/>
                <w:color w:val="auto"/>
              </w:rPr>
            </w:pPr>
          </w:p>
        </w:tc>
      </w:tr>
      <w:tr>
        <w:trPr>
          <w:trHeight w:val="66"/>
        </w:trPr>
        <w:tc>
          <w:tcPr>
            <w:tcW w:w="6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-144145</wp:posOffset>
            </wp:positionV>
            <wp:extent cx="102870"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25" w:lineRule="exact"/>
        <w:rPr>
          <w:sz w:val="20"/>
          <w:szCs w:val="20"/>
          <w:color w:val="auto"/>
        </w:rPr>
      </w:pPr>
    </w:p>
    <w:p>
      <w:pPr>
        <w:ind w:left="1180" w:right="2620" w:hanging="241"/>
        <w:spacing w:after="0" w:line="245" w:lineRule="auto"/>
        <w:tabs>
          <w:tab w:leader="none" w:pos="1180" w:val="left"/>
        </w:tabs>
        <w:numPr>
          <w:ilvl w:val="0"/>
          <w:numId w:val="7"/>
        </w:numPr>
        <w:rPr>
          <w:rFonts w:ascii="Times New Roman" w:cs="Times New Roman" w:eastAsia="Times New Roman" w:hAnsi="Times New Roman"/>
          <w:sz w:val="20"/>
          <w:szCs w:val="20"/>
          <w:color w:val="auto"/>
        </w:rPr>
      </w:pPr>
      <w:r>
        <w:rPr>
          <w:rFonts w:ascii="Arial" w:cs="Arial" w:eastAsia="Arial" w:hAnsi="Arial"/>
          <w:sz w:val="18"/>
          <w:szCs w:val="18"/>
          <w:color w:val="auto"/>
        </w:rPr>
        <w:t>NEO compensation aligns with stockholder interests, including performance-based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97155</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440" w:type="dxa"/>
            <w:vAlign w:val="bottom"/>
            <w:vMerge w:val="restart"/>
          </w:tcPr>
          <w:p>
            <w:pPr>
              <w:spacing w:after="0"/>
              <w:rPr>
                <w:sz w:val="20"/>
                <w:szCs w:val="20"/>
                <w:color w:val="auto"/>
              </w:rPr>
            </w:pPr>
            <w:r>
              <w:rPr>
                <w:rFonts w:ascii="Arial" w:cs="Arial" w:eastAsia="Arial" w:hAnsi="Arial"/>
                <w:sz w:val="18"/>
                <w:szCs w:val="18"/>
                <w:color w:val="auto"/>
              </w:rPr>
              <w:t> </w:t>
            </w:r>
          </w:p>
        </w:tc>
        <w:tc>
          <w:tcPr>
            <w:tcW w:w="6540" w:type="dxa"/>
            <w:vAlign w:val="bottom"/>
          </w:tcPr>
          <w:p>
            <w:pPr>
              <w:ind w:left="380"/>
              <w:spacing w:after="0"/>
              <w:rPr>
                <w:sz w:val="20"/>
                <w:szCs w:val="20"/>
                <w:color w:val="auto"/>
              </w:rPr>
            </w:pPr>
            <w:r>
              <w:rPr>
                <w:rFonts w:ascii="Arial" w:cs="Arial" w:eastAsia="Arial" w:hAnsi="Arial"/>
                <w:sz w:val="18"/>
                <w:szCs w:val="18"/>
                <w:color w:val="376DB5"/>
                <w:w w:val="99"/>
              </w:rPr>
              <w:t>Ratification of Deloitte &amp; Touche LLP as Independent Auditors for Fiscal 2026</w:t>
            </w:r>
          </w:p>
        </w:tc>
        <w:tc>
          <w:tcPr>
            <w:tcW w:w="0" w:type="dxa"/>
            <w:vAlign w:val="bottom"/>
          </w:tcPr>
          <w:p>
            <w:pPr>
              <w:spacing w:after="0"/>
              <w:rPr>
                <w:sz w:val="1"/>
                <w:szCs w:val="1"/>
                <w:color w:val="auto"/>
              </w:rPr>
            </w:pPr>
          </w:p>
        </w:tc>
      </w:tr>
      <w:tr>
        <w:trPr>
          <w:trHeight w:val="103"/>
        </w:trPr>
        <w:tc>
          <w:tcPr>
            <w:tcW w:w="440" w:type="dxa"/>
            <w:vAlign w:val="bottom"/>
            <w:vMerge w:val="continue"/>
          </w:tcPr>
          <w:p>
            <w:pPr>
              <w:spacing w:after="0"/>
              <w:rPr>
                <w:sz w:val="8"/>
                <w:szCs w:val="8"/>
                <w:color w:val="auto"/>
              </w:rPr>
            </w:pPr>
          </w:p>
        </w:tc>
        <w:tc>
          <w:tcPr>
            <w:tcW w:w="6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-204470</wp:posOffset>
            </wp:positionV>
            <wp:extent cx="17145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1180" w:right="2700" w:hanging="241"/>
        <w:spacing w:after="0" w:line="242" w:lineRule="auto"/>
        <w:tabs>
          <w:tab w:leader="none" w:pos="1180" w:val="left"/>
        </w:tabs>
        <w:numPr>
          <w:ilvl w:val="0"/>
          <w:numId w:val="8"/>
        </w:numPr>
        <w:rPr>
          <w:rFonts w:ascii="Times New Roman" w:cs="Times New Roman" w:eastAsia="Times New Roman" w:hAnsi="Times New Roman"/>
          <w:sz w:val="19"/>
          <w:szCs w:val="19"/>
          <w:color w:val="auto"/>
        </w:rPr>
      </w:pPr>
      <w:r>
        <w:rPr>
          <w:rFonts w:ascii="Arial" w:cs="Arial" w:eastAsia="Arial" w:hAnsi="Arial"/>
          <w:sz w:val="17"/>
          <w:szCs w:val="17"/>
          <w:color w:val="auto"/>
        </w:rPr>
        <w:t>Proposal to ratify the appointment of Deloitte &amp; Touche LLP as the Company’s independent registered public accounting firm for the fiscal year</w:t>
      </w:r>
    </w:p>
    <w:p>
      <w:pPr>
        <w:spacing w:after="0" w:line="1" w:lineRule="exact"/>
        <w:rPr>
          <w:sz w:val="20"/>
          <w:szCs w:val="20"/>
          <w:color w:val="auto"/>
        </w:rPr>
      </w:pPr>
    </w:p>
    <w:tbl>
      <w:tblPr>
        <w:tblLayout w:type="fixed"/>
        <w:tblInd w:w="118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ending September 30, 2026</w:t>
            </w:r>
          </w:p>
        </w:tc>
        <w:tc>
          <w:tcPr>
            <w:tcW w:w="2660" w:type="dxa"/>
            <w:vAlign w:val="bottom"/>
            <w:vMerge w:val="restart"/>
          </w:tcPr>
          <w:p>
            <w:pPr>
              <w:ind w:left="2140"/>
              <w:spacing w:after="0"/>
              <w:rPr>
                <w:sz w:val="20"/>
                <w:szCs w:val="20"/>
                <w:color w:val="auto"/>
              </w:rPr>
            </w:pPr>
            <w:r>
              <w:rPr>
                <w:rFonts w:ascii="Arial" w:cs="Arial" w:eastAsia="Arial" w:hAnsi="Arial"/>
                <w:sz w:val="18"/>
                <w:szCs w:val="18"/>
                <w:b w:val="1"/>
                <w:bCs w:val="1"/>
                <w:color w:val="auto"/>
                <w:w w:val="80"/>
              </w:rPr>
              <w:t xml:space="preserve">    </w:t>
            </w:r>
            <w:r>
              <w:rPr>
                <w:rFonts w:ascii="Arial" w:cs="Arial" w:eastAsia="Arial" w:hAnsi="Arial"/>
                <w:sz w:val="18"/>
                <w:szCs w:val="18"/>
                <w:b w:val="1"/>
                <w:bCs w:val="1"/>
                <w:color w:val="376DB5"/>
                <w:w w:val="80"/>
              </w:rPr>
              <w:t>For</w:t>
            </w:r>
          </w:p>
        </w:tc>
        <w:tc>
          <w:tcPr>
            <w:tcW w:w="0" w:type="dxa"/>
            <w:vAlign w:val="bottom"/>
          </w:tcPr>
          <w:p>
            <w:pPr>
              <w:spacing w:after="0"/>
              <w:rPr>
                <w:sz w:val="1"/>
                <w:szCs w:val="1"/>
                <w:color w:val="auto"/>
              </w:rPr>
            </w:pPr>
          </w:p>
        </w:tc>
      </w:tr>
      <w:tr>
        <w:trPr>
          <w:trHeight w:val="66"/>
        </w:trPr>
        <w:tc>
          <w:tcPr>
            <w:tcW w:w="4340" w:type="dxa"/>
            <w:vAlign w:val="bottom"/>
          </w:tcPr>
          <w:p>
            <w:pPr>
              <w:spacing w:after="0"/>
              <w:rPr>
                <w:sz w:val="5"/>
                <w:szCs w:val="5"/>
                <w:color w:val="auto"/>
              </w:rPr>
            </w:pPr>
          </w:p>
        </w:tc>
        <w:tc>
          <w:tcPr>
            <w:tcW w:w="2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-144145</wp:posOffset>
            </wp:positionV>
            <wp:extent cx="102870" cy="10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25" w:lineRule="exact"/>
        <w:rPr>
          <w:sz w:val="20"/>
          <w:szCs w:val="20"/>
          <w:color w:val="auto"/>
        </w:rPr>
      </w:pPr>
    </w:p>
    <w:p>
      <w:pPr>
        <w:ind w:left="1180" w:right="2760" w:hanging="241"/>
        <w:spacing w:after="0" w:line="239" w:lineRule="auto"/>
        <w:tabs>
          <w:tab w:leader="none" w:pos="1180" w:val="left"/>
        </w:tabs>
        <w:numPr>
          <w:ilvl w:val="0"/>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While stockholder ratification of the appointment is not required, we are submitting the selection of Deloitte &amp; Touche LLP for ratification so that our stockholders may participate in this important corporate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213360</wp:posOffset>
            </wp:positionV>
            <wp:extent cx="6995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2" w:lineRule="exact"/>
        <w:rPr>
          <w:sz w:val="20"/>
          <w:szCs w:val="20"/>
          <w:color w:val="auto"/>
        </w:rPr>
      </w:pPr>
    </w:p>
    <w:p>
      <w:pPr>
        <w:ind w:left="940"/>
        <w:spacing w:after="0"/>
        <w:rPr>
          <w:sz w:val="20"/>
          <w:szCs w:val="20"/>
          <w:color w:val="auto"/>
        </w:rPr>
      </w:pPr>
      <w:r>
        <w:rPr>
          <w:rFonts w:ascii="Arial" w:cs="Arial" w:eastAsia="Arial" w:hAnsi="Arial"/>
          <w:sz w:val="18"/>
          <w:szCs w:val="18"/>
          <w:color w:val="376DB5"/>
        </w:rPr>
        <w:t>Approval of an Amendment to the Company’s Restated Certificate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-102235</wp:posOffset>
            </wp:positionV>
            <wp:extent cx="1714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940" w:right="3000" w:hanging="819"/>
        <w:spacing w:after="0" w:line="180" w:lineRule="auto"/>
        <w:tabs>
          <w:tab w:leader="none" w:pos="920" w:val="left"/>
        </w:tabs>
        <w:rPr>
          <w:sz w:val="20"/>
          <w:szCs w:val="20"/>
          <w:color w:val="auto"/>
        </w:rPr>
      </w:pPr>
      <w:r>
        <w:rPr>
          <w:rFonts w:ascii="Arial" w:cs="Arial" w:eastAsia="Arial" w:hAnsi="Arial"/>
          <w:sz w:val="34"/>
          <w:szCs w:val="34"/>
          <w:color w:val="auto"/>
          <w:vertAlign w:val="superscript"/>
        </w:rPr>
        <w:t> </w:t>
      </w:r>
      <w:r>
        <w:rPr>
          <w:sz w:val="20"/>
          <w:szCs w:val="20"/>
          <w:color w:val="auto"/>
        </w:rPr>
        <w:tab/>
      </w:r>
      <w:r>
        <w:rPr>
          <w:rFonts w:ascii="Arial" w:cs="Arial" w:eastAsia="Arial" w:hAnsi="Arial"/>
          <w:sz w:val="17"/>
          <w:szCs w:val="17"/>
          <w:color w:val="376DB5"/>
        </w:rPr>
        <w:t>Incorporation to Allow for Exculpation of Officers as Permitted by Delaware Law.</w:t>
      </w:r>
    </w:p>
    <w:p>
      <w:pPr>
        <w:spacing w:after="0" w:line="122" w:lineRule="exact"/>
        <w:rPr>
          <w:sz w:val="20"/>
          <w:szCs w:val="20"/>
          <w:color w:val="auto"/>
        </w:rPr>
      </w:pPr>
    </w:p>
    <w:p>
      <w:pPr>
        <w:ind w:left="1180" w:right="2640" w:hanging="241"/>
        <w:spacing w:after="0" w:line="217" w:lineRule="auto"/>
        <w:tabs>
          <w:tab w:leader="none" w:pos="118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18"/>
          <w:szCs w:val="18"/>
          <w:color w:val="auto"/>
        </w:rPr>
        <w:t>Proposal to approve an amendment to the Company’s Restated Certificate of Incorporation to allow for exculpation of officers as permitted by Delaware</w:t>
      </w:r>
    </w:p>
    <w:p>
      <w:pPr>
        <w:spacing w:after="0" w:line="1" w:lineRule="exact"/>
        <w:rPr>
          <w:sz w:val="20"/>
          <w:szCs w:val="20"/>
          <w:color w:val="auto"/>
        </w:rPr>
      </w:pPr>
    </w:p>
    <w:p>
      <w:pPr>
        <w:ind w:left="1180"/>
        <w:spacing w:after="0"/>
        <w:tabs>
          <w:tab w:leader="none" w:pos="7466" w:val="left"/>
        </w:tabs>
        <w:rPr>
          <w:sz w:val="20"/>
          <w:szCs w:val="20"/>
          <w:color w:val="auto"/>
        </w:rPr>
      </w:pPr>
      <w:r>
        <w:rPr>
          <w:rFonts w:ascii="Arial" w:cs="Arial" w:eastAsia="Arial" w:hAnsi="Arial"/>
          <w:sz w:val="18"/>
          <w:szCs w:val="18"/>
          <w:color w:val="auto"/>
        </w:rPr>
        <w:t>law</w:t>
      </w:r>
      <w:r>
        <w:rPr>
          <w:sz w:val="20"/>
          <w:szCs w:val="20"/>
          <w:color w:val="auto"/>
        </w:rPr>
        <w:tab/>
      </w:r>
      <w:r>
        <w:rPr>
          <w:sz w:val="1"/>
          <w:szCs w:val="1"/>
          <w:color w:val="auto"/>
        </w:rPr>
        <w:drawing>
          <wp:inline distT="0" distB="0" distL="0" distR="0">
            <wp:extent cx="102870" cy="1028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8"/>
          <w:szCs w:val="18"/>
          <w:b w:val="1"/>
          <w:bCs w:val="1"/>
          <w:color w:val="auto"/>
        </w:rPr>
        <w:t xml:space="preserve">    </w:t>
      </w:r>
      <w:r>
        <w:rPr>
          <w:rFonts w:ascii="Arial" w:cs="Arial" w:eastAsia="Arial" w:hAnsi="Arial"/>
          <w:sz w:val="18"/>
          <w:szCs w:val="18"/>
          <w:b w:val="1"/>
          <w:bCs w:val="1"/>
          <w:color w:val="376DB5"/>
        </w:rPr>
        <w:t>For</w:t>
      </w:r>
    </w:p>
    <w:p>
      <w:pPr>
        <w:spacing w:after="0" w:line="261" w:lineRule="exact"/>
        <w:rPr>
          <w:sz w:val="20"/>
          <w:szCs w:val="20"/>
          <w:color w:val="auto"/>
        </w:rPr>
      </w:pPr>
    </w:p>
    <w:p>
      <w:pPr>
        <w:ind w:left="1180" w:right="2880" w:hanging="241"/>
        <w:spacing w:after="0" w:line="238" w:lineRule="auto"/>
        <w:tabs>
          <w:tab w:leader="none" w:pos="118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18"/>
          <w:szCs w:val="18"/>
          <w:color w:val="auto"/>
        </w:rPr>
        <w:t>This amendment is aligned with the narrow class and type of claims for which certain officers’ liability can be exculpated under Delaware law and better aligns protections available to those officers with those available to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213360</wp:posOffset>
            </wp:positionV>
            <wp:extent cx="6995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89</w:t>
      </w:r>
    </w:p>
    <w:p>
      <w:pPr>
        <w:spacing w:after="0" w:line="1334" w:lineRule="exact"/>
        <w:rPr>
          <w:sz w:val="20"/>
          <w:szCs w:val="20"/>
          <w:color w:val="auto"/>
        </w:rPr>
      </w:pPr>
    </w:p>
    <w:p>
      <w:pPr>
        <w:sectPr>
          <w:pgSz w:w="11900" w:h="16838" w:orient="portrait"/>
          <w:cols w:equalWidth="0" w:num="2">
            <w:col w:w="9880" w:space="720"/>
            <w:col w:w="540"/>
          </w:cols>
          <w:pgMar w:left="320" w:top="482" w:right="439" w:bottom="1440" w:gutter="0" w:footer="0" w:header="0"/>
          <w:type w:val="continuous"/>
        </w:sectPr>
      </w:pPr>
    </w:p>
    <w:p>
      <w:pPr>
        <w:spacing w:after="0" w:line="279" w:lineRule="exact"/>
        <w:rPr>
          <w:sz w:val="20"/>
          <w:szCs w:val="20"/>
          <w:color w:val="auto"/>
        </w:rPr>
      </w:pPr>
    </w:p>
    <w:p>
      <w:pPr>
        <w:ind w:left="69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1</w:t>
      </w:r>
    </w:p>
    <w:p>
      <w:pPr>
        <w:sectPr>
          <w:pgSz w:w="11900" w:h="16838" w:orient="portrait"/>
          <w:cols w:equalWidth="0" w:num="1">
            <w:col w:w="11140"/>
          </w:cols>
          <w:pgMar w:left="320" w:top="482"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640" w:type="dxa"/>
            <w:vAlign w:val="bottom"/>
            <w:shd w:val="clear" w:color="auto" w:fill="F2F2F2"/>
          </w:tcPr>
          <w:p>
            <w:pPr>
              <w:spacing w:after="0"/>
              <w:rPr>
                <w:sz w:val="24"/>
                <w:szCs w:val="24"/>
                <w:color w:val="auto"/>
              </w:rPr>
            </w:pPr>
          </w:p>
        </w:tc>
        <w:tc>
          <w:tcPr>
            <w:tcW w:w="820" w:type="dxa"/>
            <w:vAlign w:val="bottom"/>
            <w:shd w:val="clear" w:color="auto" w:fill="F2F2F2"/>
          </w:tcPr>
          <w:p>
            <w:pPr>
              <w:spacing w:after="0"/>
              <w:rPr>
                <w:sz w:val="20"/>
                <w:szCs w:val="20"/>
                <w:color w:val="auto"/>
              </w:rPr>
            </w:pPr>
            <w:r>
              <w:rPr>
                <w:rFonts w:ascii="Arial" w:cs="Arial" w:eastAsia="Arial" w:hAnsi="Arial"/>
                <w:sz w:val="18"/>
                <w:szCs w:val="18"/>
                <w:b w:val="1"/>
                <w:bCs w:val="1"/>
                <w:color w:val="376DB5"/>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32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5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Stock</w:t>
            </w:r>
          </w:p>
        </w:tc>
        <w:tc>
          <w:tcPr>
            <w:tcW w:w="780" w:type="dxa"/>
            <w:vAlign w:val="bottom"/>
            <w:shd w:val="clear" w:color="auto" w:fill="F2F2F2"/>
          </w:tcPr>
          <w:p>
            <w:pPr>
              <w:ind w:left="160"/>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F2F2F2"/>
          </w:tcPr>
          <w:p>
            <w:pPr>
              <w:spacing w:after="0"/>
              <w:rPr>
                <w:sz w:val="24"/>
                <w:szCs w:val="24"/>
                <w:color w:val="auto"/>
              </w:rPr>
            </w:pPr>
          </w:p>
        </w:tc>
      </w:tr>
      <w:tr>
        <w:trPr>
          <w:trHeight w:val="203"/>
        </w:trPr>
        <w:tc>
          <w:tcPr>
            <w:tcW w:w="64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line="202" w:lineRule="exact"/>
              <w:rPr>
                <w:sz w:val="20"/>
                <w:szCs w:val="20"/>
                <w:color w:val="auto"/>
              </w:rPr>
            </w:pPr>
            <w:r>
              <w:rPr>
                <w:rFonts w:ascii="Arial" w:cs="Arial" w:eastAsia="Arial" w:hAnsi="Arial"/>
                <w:sz w:val="18"/>
                <w:szCs w:val="18"/>
                <w:b w:val="1"/>
                <w:bCs w:val="1"/>
                <w:color w:val="376DB5"/>
                <w:w w:val="97"/>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32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5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Ownership</w:t>
            </w:r>
          </w:p>
        </w:tc>
        <w:tc>
          <w:tcPr>
            <w:tcW w:w="78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w w:val="99"/>
              </w:rPr>
              <w:t>Matters</w:t>
            </w:r>
          </w:p>
        </w:tc>
        <w:tc>
          <w:tcPr>
            <w:tcW w:w="720" w:type="dxa"/>
            <w:vAlign w:val="bottom"/>
            <w:shd w:val="clear" w:color="auto" w:fill="F2F2F2"/>
          </w:tcPr>
          <w:p>
            <w:pPr>
              <w:spacing w:after="0"/>
              <w:rPr>
                <w:sz w:val="17"/>
                <w:szCs w:val="17"/>
                <w:color w:val="auto"/>
              </w:rPr>
            </w:pPr>
          </w:p>
        </w:tc>
      </w:tr>
      <w:tr>
        <w:trPr>
          <w:trHeight w:val="233"/>
        </w:trPr>
        <w:tc>
          <w:tcPr>
            <w:tcW w:w="640" w:type="dxa"/>
            <w:vAlign w:val="bottom"/>
            <w:tcBorders>
              <w:bottom w:val="single" w:sz="8" w:color="F2F2F2"/>
            </w:tcBorders>
            <w:shd w:val="clear" w:color="auto" w:fill="F2F2F2"/>
          </w:tcPr>
          <w:p>
            <w:pPr>
              <w:spacing w:after="0"/>
              <w:rPr>
                <w:sz w:val="19"/>
                <w:szCs w:val="19"/>
                <w:color w:val="auto"/>
              </w:rPr>
            </w:pPr>
          </w:p>
        </w:tc>
        <w:tc>
          <w:tcPr>
            <w:tcW w:w="820" w:type="dxa"/>
            <w:vAlign w:val="bottom"/>
            <w:tcBorders>
              <w:bottom w:val="single" w:sz="8" w:color="376DB5"/>
            </w:tcBorders>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000" w:type="dxa"/>
            <w:vAlign w:val="bottom"/>
            <w:tcBorders>
              <w:bottom w:val="single" w:sz="8" w:color="F2F2F2"/>
            </w:tcBorders>
            <w:shd w:val="clear" w:color="auto" w:fill="F2F2F2"/>
          </w:tcPr>
          <w:p>
            <w:pPr>
              <w:spacing w:after="0"/>
              <w:rPr>
                <w:sz w:val="19"/>
                <w:szCs w:val="19"/>
                <w:color w:val="auto"/>
              </w:rPr>
            </w:pPr>
          </w:p>
        </w:tc>
        <w:tc>
          <w:tcPr>
            <w:tcW w:w="1320" w:type="dxa"/>
            <w:vAlign w:val="bottom"/>
            <w:tcBorders>
              <w:bottom w:val="single" w:sz="8" w:color="F2F2F2"/>
            </w:tcBorders>
            <w:shd w:val="clear" w:color="auto" w:fill="F2F2F2"/>
          </w:tcPr>
          <w:p>
            <w:pPr>
              <w:spacing w:after="0"/>
              <w:rPr>
                <w:sz w:val="19"/>
                <w:szCs w:val="19"/>
                <w:color w:val="auto"/>
              </w:rPr>
            </w:pPr>
          </w:p>
        </w:tc>
        <w:tc>
          <w:tcPr>
            <w:tcW w:w="1500" w:type="dxa"/>
            <w:vAlign w:val="bottom"/>
            <w:tcBorders>
              <w:bottom w:val="single" w:sz="8" w:color="F2F2F2"/>
            </w:tcBorders>
            <w:shd w:val="clear" w:color="auto" w:fill="F2F2F2"/>
          </w:tcPr>
          <w:p>
            <w:pPr>
              <w:spacing w:after="0"/>
              <w:rPr>
                <w:sz w:val="19"/>
                <w:szCs w:val="19"/>
                <w:color w:val="auto"/>
              </w:rPr>
            </w:pPr>
          </w:p>
        </w:tc>
        <w:tc>
          <w:tcPr>
            <w:tcW w:w="1660" w:type="dxa"/>
            <w:vAlign w:val="bottom"/>
            <w:tcBorders>
              <w:bottom w:val="single" w:sz="8" w:color="F2F2F2"/>
            </w:tcBorders>
            <w:shd w:val="clear" w:color="auto" w:fill="F2F2F2"/>
          </w:tcPr>
          <w:p>
            <w:pPr>
              <w:spacing w:after="0"/>
              <w:rPr>
                <w:sz w:val="19"/>
                <w:szCs w:val="19"/>
                <w:color w:val="auto"/>
              </w:rPr>
            </w:pPr>
          </w:p>
        </w:tc>
        <w:tc>
          <w:tcPr>
            <w:tcW w:w="1380" w:type="dxa"/>
            <w:vAlign w:val="bottom"/>
            <w:tcBorders>
              <w:bottom w:val="single" w:sz="8" w:color="F2F2F2"/>
            </w:tcBorders>
            <w:shd w:val="clear" w:color="auto" w:fill="F2F2F2"/>
          </w:tcPr>
          <w:p>
            <w:pPr>
              <w:spacing w:after="0"/>
              <w:rPr>
                <w:sz w:val="19"/>
                <w:szCs w:val="19"/>
                <w:color w:val="auto"/>
              </w:rPr>
            </w:pPr>
          </w:p>
        </w:tc>
        <w:tc>
          <w:tcPr>
            <w:tcW w:w="1200" w:type="dxa"/>
            <w:vAlign w:val="bottom"/>
            <w:tcBorders>
              <w:bottom w:val="single" w:sz="8" w:color="F2F2F2"/>
            </w:tcBorders>
            <w:shd w:val="clear" w:color="auto" w:fill="F2F2F2"/>
          </w:tcPr>
          <w:p>
            <w:pPr>
              <w:spacing w:after="0"/>
              <w:rPr>
                <w:sz w:val="19"/>
                <w:szCs w:val="19"/>
                <w:color w:val="auto"/>
              </w:rPr>
            </w:pPr>
          </w:p>
        </w:tc>
        <w:tc>
          <w:tcPr>
            <w:tcW w:w="780" w:type="dxa"/>
            <w:vAlign w:val="bottom"/>
            <w:tcBorders>
              <w:bottom w:val="single" w:sz="8" w:color="F2F2F2"/>
            </w:tcBorders>
            <w:shd w:val="clear" w:color="auto" w:fill="F2F2F2"/>
          </w:tcPr>
          <w:p>
            <w:pPr>
              <w:spacing w:after="0"/>
              <w:rPr>
                <w:sz w:val="19"/>
                <w:szCs w:val="19"/>
                <w:color w:val="auto"/>
              </w:rPr>
            </w:pPr>
          </w:p>
        </w:tc>
        <w:tc>
          <w:tcPr>
            <w:tcW w:w="720" w:type="dxa"/>
            <w:vAlign w:val="bottom"/>
            <w:tcBorders>
              <w:bottom w:val="single" w:sz="8" w:color="F2F2F2"/>
            </w:tcBorders>
            <w:shd w:val="clear" w:color="auto" w:fill="F2F2F2"/>
          </w:tcPr>
          <w:p>
            <w:pPr>
              <w:spacing w:after="0"/>
              <w:rPr>
                <w:sz w:val="19"/>
                <w:szCs w:val="19"/>
                <w:color w:val="auto"/>
              </w:rPr>
            </w:pPr>
          </w:p>
        </w:tc>
      </w:tr>
      <w:tr>
        <w:trPr>
          <w:trHeight w:val="148"/>
        </w:trPr>
        <w:tc>
          <w:tcPr>
            <w:tcW w:w="1460" w:type="dxa"/>
            <w:vAlign w:val="bottom"/>
            <w:tcBorders>
              <w:top w:val="single" w:sz="8" w:color="F2F2F2"/>
              <w:bottom w:val="single" w:sz="8" w:color="376DB5"/>
            </w:tcBorders>
            <w:gridSpan w:val="2"/>
          </w:tcPr>
          <w:p>
            <w:pPr>
              <w:spacing w:after="0"/>
              <w:rPr>
                <w:sz w:val="12"/>
                <w:szCs w:val="12"/>
                <w:color w:val="auto"/>
              </w:rPr>
            </w:pPr>
          </w:p>
        </w:tc>
        <w:tc>
          <w:tcPr>
            <w:tcW w:w="1000" w:type="dxa"/>
            <w:vAlign w:val="bottom"/>
            <w:tcBorders>
              <w:top w:val="single" w:sz="8" w:color="F2F2F2"/>
              <w:bottom w:val="single" w:sz="8" w:color="376DB5"/>
            </w:tcBorders>
          </w:tcPr>
          <w:p>
            <w:pPr>
              <w:spacing w:after="0"/>
              <w:rPr>
                <w:sz w:val="12"/>
                <w:szCs w:val="12"/>
                <w:color w:val="auto"/>
              </w:rPr>
            </w:pPr>
          </w:p>
        </w:tc>
        <w:tc>
          <w:tcPr>
            <w:tcW w:w="1320" w:type="dxa"/>
            <w:vAlign w:val="bottom"/>
            <w:tcBorders>
              <w:top w:val="single" w:sz="8" w:color="F2F2F2"/>
              <w:bottom w:val="single" w:sz="8" w:color="376DB5"/>
            </w:tcBorders>
          </w:tcPr>
          <w:p>
            <w:pPr>
              <w:spacing w:after="0"/>
              <w:rPr>
                <w:sz w:val="12"/>
                <w:szCs w:val="12"/>
                <w:color w:val="auto"/>
              </w:rPr>
            </w:pPr>
          </w:p>
        </w:tc>
        <w:tc>
          <w:tcPr>
            <w:tcW w:w="1500" w:type="dxa"/>
            <w:vAlign w:val="bottom"/>
            <w:tcBorders>
              <w:top w:val="single" w:sz="8" w:color="F2F2F2"/>
              <w:bottom w:val="single" w:sz="8" w:color="376DB5"/>
            </w:tcBorders>
          </w:tcPr>
          <w:p>
            <w:pPr>
              <w:spacing w:after="0"/>
              <w:rPr>
                <w:sz w:val="12"/>
                <w:szCs w:val="12"/>
                <w:color w:val="auto"/>
              </w:rPr>
            </w:pPr>
          </w:p>
        </w:tc>
        <w:tc>
          <w:tcPr>
            <w:tcW w:w="1660" w:type="dxa"/>
            <w:vAlign w:val="bottom"/>
            <w:tcBorders>
              <w:top w:val="single" w:sz="8" w:color="F2F2F2"/>
              <w:bottom w:val="single" w:sz="8" w:color="376DB5"/>
            </w:tcBorders>
          </w:tcPr>
          <w:p>
            <w:pPr>
              <w:spacing w:after="0"/>
              <w:rPr>
                <w:sz w:val="12"/>
                <w:szCs w:val="12"/>
                <w:color w:val="auto"/>
              </w:rPr>
            </w:pPr>
          </w:p>
        </w:tc>
        <w:tc>
          <w:tcPr>
            <w:tcW w:w="3360" w:type="dxa"/>
            <w:vAlign w:val="bottom"/>
            <w:tcBorders>
              <w:top w:val="single" w:sz="8" w:color="F2F2F2"/>
              <w:bottom w:val="single" w:sz="8" w:color="376DB5"/>
            </w:tcBorders>
            <w:gridSpan w:val="3"/>
          </w:tcPr>
          <w:p>
            <w:pPr>
              <w:spacing w:after="0"/>
              <w:rPr>
                <w:sz w:val="12"/>
                <w:szCs w:val="12"/>
                <w:color w:val="auto"/>
              </w:rPr>
            </w:pPr>
          </w:p>
        </w:tc>
        <w:tc>
          <w:tcPr>
            <w:tcW w:w="720" w:type="dxa"/>
            <w:vAlign w:val="bottom"/>
            <w:tcBorders>
              <w:top w:val="single" w:sz="8" w:color="F2F2F2"/>
              <w:bottom w:val="single" w:sz="8" w:color="376DB5"/>
            </w:tcBorders>
          </w:tcPr>
          <w:p>
            <w:pPr>
              <w:spacing w:after="0"/>
              <w:rPr>
                <w:sz w:val="12"/>
                <w:szCs w:val="12"/>
                <w:color w:val="auto"/>
              </w:rPr>
            </w:pPr>
          </w:p>
        </w:tc>
      </w:tr>
      <w:tr>
        <w:trPr>
          <w:trHeight w:val="316"/>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  PROPOSAL</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360" w:type="dxa"/>
            <w:vAlign w:val="bottom"/>
            <w:gridSpan w:val="3"/>
          </w:tcPr>
          <w:p>
            <w:pPr>
              <w:ind w:left="420"/>
              <w:spacing w:after="0"/>
              <w:rPr>
                <w:sz w:val="20"/>
                <w:szCs w:val="20"/>
                <w:color w:val="auto"/>
              </w:rPr>
            </w:pPr>
            <w:r>
              <w:rPr>
                <w:rFonts w:ascii="Arial" w:cs="Arial" w:eastAsia="Arial" w:hAnsi="Arial"/>
                <w:sz w:val="18"/>
                <w:szCs w:val="18"/>
                <w:b w:val="1"/>
                <w:bCs w:val="1"/>
                <w:color w:val="auto"/>
              </w:rPr>
              <w:t>BOARD RECOMMENDATION</w:t>
            </w:r>
          </w:p>
        </w:tc>
        <w:tc>
          <w:tcPr>
            <w:tcW w:w="720" w:type="dxa"/>
            <w:vAlign w:val="bottom"/>
          </w:tcPr>
          <w:p>
            <w:pPr>
              <w:ind w:left="20"/>
              <w:spacing w:after="0"/>
              <w:rPr>
                <w:sz w:val="20"/>
                <w:szCs w:val="20"/>
                <w:color w:val="auto"/>
              </w:rPr>
            </w:pPr>
            <w:r>
              <w:rPr>
                <w:rFonts w:ascii="Arial" w:cs="Arial" w:eastAsia="Arial" w:hAnsi="Arial"/>
                <w:sz w:val="18"/>
                <w:szCs w:val="18"/>
                <w:b w:val="1"/>
                <w:bCs w:val="1"/>
                <w:color w:val="auto"/>
              </w:rPr>
              <w:t>PAGE</w:t>
            </w:r>
          </w:p>
        </w:tc>
      </w:tr>
    </w:tbl>
    <w:p>
      <w:pPr>
        <w:spacing w:after="0" w:line="172" w:lineRule="exact"/>
        <w:rPr>
          <w:sz w:val="20"/>
          <w:szCs w:val="20"/>
          <w:color w:val="auto"/>
        </w:rPr>
      </w:pPr>
    </w:p>
    <w:p>
      <w:pPr>
        <w:ind w:left="940" w:right="4740" w:hanging="824"/>
        <w:spacing w:after="0" w:line="180" w:lineRule="auto"/>
        <w:tabs>
          <w:tab w:leader="none" w:pos="940" w:val="left"/>
        </w:tabs>
        <w:numPr>
          <w:ilvl w:val="0"/>
          <w:numId w:val="12"/>
        </w:numPr>
        <w:rPr>
          <w:rFonts w:ascii="Arial" w:cs="Arial" w:eastAsia="Arial" w:hAnsi="Arial"/>
          <w:sz w:val="34"/>
          <w:szCs w:val="34"/>
          <w:color w:val="auto"/>
          <w:vertAlign w:val="subscript"/>
        </w:rPr>
      </w:pPr>
      <w:r>
        <w:rPr>
          <w:rFonts w:ascii="Arial" w:cs="Arial" w:eastAsia="Arial" w:hAnsi="Arial"/>
          <w:sz w:val="17"/>
          <w:szCs w:val="17"/>
          <w:color w:val="376DB5"/>
        </w:rPr>
        <w:t>Approval of an Amendment to the Company’s Restated Certificate of Incorporation to Eliminate the Supermajority Voting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-318135</wp:posOffset>
            </wp:positionV>
            <wp:extent cx="6995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-266700</wp:posOffset>
            </wp:positionV>
            <wp:extent cx="17145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0" cy="162560"/>
                    </a:xfrm>
                    <a:prstGeom prst="rect">
                      <a:avLst/>
                    </a:prstGeom>
                    <a:noFill/>
                  </pic:spPr>
                </pic:pic>
              </a:graphicData>
            </a:graphic>
          </wp:anchor>
        </w:drawing>
      </w:r>
    </w:p>
    <w:p>
      <w:pPr>
        <w:spacing w:after="0" w:line="80" w:lineRule="exact"/>
        <w:rPr>
          <w:sz w:val="20"/>
          <w:szCs w:val="20"/>
          <w:color w:val="auto"/>
        </w:rPr>
      </w:pPr>
    </w:p>
    <w:p>
      <w:pPr>
        <w:ind w:left="1180" w:right="3960" w:hanging="241"/>
        <w:spacing w:after="0" w:line="235" w:lineRule="auto"/>
        <w:tabs>
          <w:tab w:leader="none" w:pos="1180" w:val="left"/>
        </w:tabs>
        <w:numPr>
          <w:ilvl w:val="0"/>
          <w:numId w:val="13"/>
        </w:numPr>
        <w:rPr>
          <w:rFonts w:ascii="Times New Roman" w:cs="Times New Roman" w:eastAsia="Times New Roman" w:hAnsi="Times New Roman"/>
          <w:sz w:val="19"/>
          <w:szCs w:val="19"/>
          <w:color w:val="auto"/>
        </w:rPr>
      </w:pPr>
      <w:r>
        <w:rPr>
          <w:rFonts w:ascii="Arial" w:cs="Arial" w:eastAsia="Arial" w:hAnsi="Arial"/>
          <w:sz w:val="17"/>
          <w:szCs w:val="17"/>
          <w:color w:val="auto"/>
        </w:rPr>
        <w:t>Proposal to approve an amendment to the Company’s Restated Certificate of Incorporation to eliminate the supermajority voting requirement that requires at least 66-2/3% of the voting power of the Company’s outstanding</w:t>
      </w:r>
    </w:p>
    <w:p>
      <w:pPr>
        <w:spacing w:after="0" w:line="2" w:lineRule="exact"/>
        <w:rPr>
          <w:sz w:val="20"/>
          <w:szCs w:val="20"/>
          <w:color w:val="auto"/>
        </w:rPr>
      </w:pPr>
    </w:p>
    <w:tbl>
      <w:tblPr>
        <w:tblLayout w:type="fixed"/>
        <w:tblInd w:w="1180" w:type="dxa"/>
        <w:tblCellMar>
          <w:top w:w="0" w:type="dxa"/>
          <w:left w:w="0" w:type="dxa"/>
          <w:bottom w:w="0" w:type="dxa"/>
          <w:right w:w="0" w:type="dxa"/>
        </w:tblCellMar>
      </w:tblPr>
      <w:tr>
        <w:trPr>
          <w:trHeight w:val="211"/>
        </w:trPr>
        <w:tc>
          <w:tcPr>
            <w:tcW w:w="8200" w:type="dxa"/>
            <w:vAlign w:val="bottom"/>
          </w:tcPr>
          <w:p>
            <w:pPr>
              <w:spacing w:after="0"/>
              <w:rPr>
                <w:sz w:val="20"/>
                <w:szCs w:val="20"/>
                <w:color w:val="auto"/>
              </w:rPr>
            </w:pPr>
            <w:r>
              <w:rPr>
                <w:rFonts w:ascii="Arial" w:cs="Arial" w:eastAsia="Arial" w:hAnsi="Arial"/>
                <w:sz w:val="18"/>
                <w:szCs w:val="18"/>
                <w:color w:val="auto"/>
                <w:w w:val="83"/>
              </w:rPr>
              <w:t>shares to amend or repeal Article 6 of the Company’s Restated Certificate of</w:t>
            </w:r>
            <w:r>
              <w:rPr>
                <w:rFonts w:ascii="Arial" w:cs="Arial" w:eastAsia="Arial" w:hAnsi="Arial"/>
                <w:sz w:val="18"/>
                <w:szCs w:val="18"/>
                <w:b w:val="1"/>
                <w:bCs w:val="1"/>
                <w:color w:val="auto"/>
                <w:w w:val="83"/>
              </w:rPr>
              <w:t xml:space="preserve">    </w:t>
            </w:r>
            <w:r>
              <w:rPr>
                <w:rFonts w:ascii="Arial" w:cs="Arial" w:eastAsia="Arial" w:hAnsi="Arial"/>
                <w:sz w:val="18"/>
                <w:szCs w:val="18"/>
                <w:b w:val="1"/>
                <w:bCs w:val="1"/>
                <w:color w:val="376DB5"/>
                <w:w w:val="83"/>
              </w:rPr>
              <w:t>For</w:t>
            </w:r>
          </w:p>
        </w:tc>
        <w:tc>
          <w:tcPr>
            <w:tcW w:w="14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9"/>
        </w:trPr>
        <w:tc>
          <w:tcPr>
            <w:tcW w:w="8200" w:type="dxa"/>
            <w:vAlign w:val="bottom"/>
          </w:tcPr>
          <w:p>
            <w:pPr>
              <w:spacing w:after="0"/>
              <w:rPr>
                <w:sz w:val="20"/>
                <w:szCs w:val="20"/>
                <w:color w:val="auto"/>
              </w:rPr>
            </w:pPr>
            <w:r>
              <w:rPr>
                <w:rFonts w:ascii="Arial" w:cs="Arial" w:eastAsia="Arial" w:hAnsi="Arial"/>
                <w:sz w:val="18"/>
                <w:szCs w:val="18"/>
                <w:color w:val="auto"/>
              </w:rPr>
              <w:t>Incorporation</w:t>
            </w:r>
          </w:p>
        </w:tc>
        <w:tc>
          <w:tcPr>
            <w:tcW w:w="14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-285115</wp:posOffset>
            </wp:positionV>
            <wp:extent cx="10287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0" w:lineRule="exact"/>
        <w:rPr>
          <w:sz w:val="20"/>
          <w:szCs w:val="20"/>
          <w:color w:val="auto"/>
        </w:rPr>
      </w:pPr>
    </w:p>
    <w:p>
      <w:pPr>
        <w:ind w:left="1180" w:right="4060" w:hanging="241"/>
        <w:spacing w:after="0" w:line="239" w:lineRule="auto"/>
        <w:tabs>
          <w:tab w:leader="none" w:pos="1180" w:val="left"/>
        </w:tabs>
        <w:numPr>
          <w:ilvl w:val="0"/>
          <w:numId w:val="14"/>
        </w:numPr>
        <w:rPr>
          <w:rFonts w:ascii="Times New Roman" w:cs="Times New Roman" w:eastAsia="Times New Roman" w:hAnsi="Times New Roman"/>
          <w:sz w:val="20"/>
          <w:szCs w:val="20"/>
          <w:color w:val="auto"/>
        </w:rPr>
      </w:pPr>
      <w:r>
        <w:rPr>
          <w:rFonts w:ascii="Arial" w:cs="Arial" w:eastAsia="Arial" w:hAnsi="Arial"/>
          <w:sz w:val="18"/>
          <w:szCs w:val="18"/>
          <w:color w:val="auto"/>
        </w:rPr>
        <w:t>Removal of this requirement would result in any amendment or repeal of Article 6 being subject to the affirmative vote of the holders of a majority of the outstanding shares entitled to vote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213360</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9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2</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640" w:type="dxa"/>
            <w:vAlign w:val="bottom"/>
            <w:shd w:val="clear" w:color="auto" w:fill="F2F2F2"/>
          </w:tcPr>
          <w:p>
            <w:pPr>
              <w:spacing w:after="0"/>
              <w:rPr>
                <w:sz w:val="24"/>
                <w:szCs w:val="24"/>
                <w:color w:val="auto"/>
              </w:rPr>
            </w:pPr>
          </w:p>
        </w:tc>
        <w:tc>
          <w:tcPr>
            <w:tcW w:w="820" w:type="dxa"/>
            <w:vAlign w:val="bottom"/>
            <w:shd w:val="clear" w:color="auto" w:fill="F2F2F2"/>
          </w:tcPr>
          <w:p>
            <w:pPr>
              <w:spacing w:after="0"/>
              <w:rPr>
                <w:sz w:val="20"/>
                <w:szCs w:val="20"/>
                <w:color w:val="auto"/>
              </w:rPr>
            </w:pPr>
            <w:r>
              <w:rPr>
                <w:rFonts w:ascii="Arial" w:cs="Arial" w:eastAsia="Arial" w:hAnsi="Arial"/>
                <w:sz w:val="18"/>
                <w:szCs w:val="18"/>
                <w:b w:val="1"/>
                <w:bCs w:val="1"/>
                <w:color w:val="376DB5"/>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32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5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Stock</w:t>
            </w:r>
          </w:p>
        </w:tc>
        <w:tc>
          <w:tcPr>
            <w:tcW w:w="15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Other</w:t>
            </w:r>
          </w:p>
        </w:tc>
      </w:tr>
      <w:tr>
        <w:trPr>
          <w:trHeight w:val="203"/>
        </w:trPr>
        <w:tc>
          <w:tcPr>
            <w:tcW w:w="64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line="202" w:lineRule="exact"/>
              <w:rPr>
                <w:sz w:val="20"/>
                <w:szCs w:val="20"/>
                <w:color w:val="auto"/>
              </w:rPr>
            </w:pPr>
            <w:r>
              <w:rPr>
                <w:rFonts w:ascii="Arial" w:cs="Arial" w:eastAsia="Arial" w:hAnsi="Arial"/>
                <w:sz w:val="18"/>
                <w:szCs w:val="18"/>
                <w:b w:val="1"/>
                <w:bCs w:val="1"/>
                <w:color w:val="376DB5"/>
                <w:w w:val="97"/>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32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5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Ownership</w:t>
            </w:r>
          </w:p>
        </w:tc>
        <w:tc>
          <w:tcPr>
            <w:tcW w:w="15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640" w:type="dxa"/>
            <w:vAlign w:val="bottom"/>
            <w:tcBorders>
              <w:bottom w:val="single" w:sz="8" w:color="F2F2F2"/>
            </w:tcBorders>
            <w:shd w:val="clear" w:color="auto" w:fill="F2F2F2"/>
          </w:tcPr>
          <w:p>
            <w:pPr>
              <w:spacing w:after="0"/>
              <w:rPr>
                <w:sz w:val="16"/>
                <w:szCs w:val="16"/>
                <w:color w:val="auto"/>
              </w:rPr>
            </w:pPr>
          </w:p>
        </w:tc>
        <w:tc>
          <w:tcPr>
            <w:tcW w:w="820" w:type="dxa"/>
            <w:vAlign w:val="bottom"/>
            <w:tcBorders>
              <w:bottom w:val="single" w:sz="8" w:color="376DB5"/>
            </w:tcBorders>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000" w:type="dxa"/>
            <w:vAlign w:val="bottom"/>
            <w:tcBorders>
              <w:bottom w:val="single" w:sz="8" w:color="F2F2F2"/>
            </w:tcBorders>
            <w:shd w:val="clear" w:color="auto" w:fill="F2F2F2"/>
          </w:tcPr>
          <w:p>
            <w:pPr>
              <w:spacing w:after="0"/>
              <w:rPr>
                <w:sz w:val="16"/>
                <w:szCs w:val="16"/>
                <w:color w:val="auto"/>
              </w:rPr>
            </w:pPr>
          </w:p>
        </w:tc>
        <w:tc>
          <w:tcPr>
            <w:tcW w:w="1320" w:type="dxa"/>
            <w:vAlign w:val="bottom"/>
            <w:tcBorders>
              <w:bottom w:val="single" w:sz="8" w:color="F2F2F2"/>
            </w:tcBorders>
            <w:shd w:val="clear" w:color="auto" w:fill="F2F2F2"/>
          </w:tcPr>
          <w:p>
            <w:pPr>
              <w:spacing w:after="0"/>
              <w:rPr>
                <w:sz w:val="16"/>
                <w:szCs w:val="16"/>
                <w:color w:val="auto"/>
              </w:rPr>
            </w:pPr>
          </w:p>
        </w:tc>
        <w:tc>
          <w:tcPr>
            <w:tcW w:w="1500" w:type="dxa"/>
            <w:vAlign w:val="bottom"/>
            <w:tcBorders>
              <w:bottom w:val="single" w:sz="8" w:color="F2F2F2"/>
            </w:tcBorders>
            <w:shd w:val="clear" w:color="auto" w:fill="F2F2F2"/>
          </w:tcPr>
          <w:p>
            <w:pPr>
              <w:spacing w:after="0"/>
              <w:rPr>
                <w:sz w:val="16"/>
                <w:szCs w:val="16"/>
                <w:color w:val="auto"/>
              </w:rPr>
            </w:pPr>
          </w:p>
        </w:tc>
        <w:tc>
          <w:tcPr>
            <w:tcW w:w="1660" w:type="dxa"/>
            <w:vAlign w:val="bottom"/>
            <w:tcBorders>
              <w:bottom w:val="single" w:sz="8" w:color="F2F2F2"/>
            </w:tcBorders>
            <w:shd w:val="clear" w:color="auto" w:fill="F2F2F2"/>
          </w:tcPr>
          <w:p>
            <w:pPr>
              <w:spacing w:after="0"/>
              <w:rPr>
                <w:sz w:val="16"/>
                <w:szCs w:val="16"/>
                <w:color w:val="auto"/>
              </w:rPr>
            </w:pPr>
          </w:p>
        </w:tc>
        <w:tc>
          <w:tcPr>
            <w:tcW w:w="1380" w:type="dxa"/>
            <w:vAlign w:val="bottom"/>
            <w:tcBorders>
              <w:bottom w:val="single" w:sz="8" w:color="F2F2F2"/>
            </w:tcBorders>
            <w:shd w:val="clear" w:color="auto" w:fill="F2F2F2"/>
          </w:tcPr>
          <w:p>
            <w:pPr>
              <w:spacing w:after="0"/>
              <w:rPr>
                <w:sz w:val="16"/>
                <w:szCs w:val="16"/>
                <w:color w:val="auto"/>
              </w:rPr>
            </w:pPr>
          </w:p>
        </w:tc>
        <w:tc>
          <w:tcPr>
            <w:tcW w:w="1200" w:type="dxa"/>
            <w:vAlign w:val="bottom"/>
            <w:tcBorders>
              <w:bottom w:val="single" w:sz="8" w:color="F2F2F2"/>
            </w:tcBorders>
            <w:shd w:val="clear" w:color="auto" w:fill="F2F2F2"/>
          </w:tcPr>
          <w:p>
            <w:pPr>
              <w:spacing w:after="0"/>
              <w:rPr>
                <w:sz w:val="16"/>
                <w:szCs w:val="16"/>
                <w:color w:val="auto"/>
              </w:rPr>
            </w:pPr>
          </w:p>
        </w:tc>
        <w:tc>
          <w:tcPr>
            <w:tcW w:w="1500" w:type="dxa"/>
            <w:vAlign w:val="bottom"/>
            <w:tcBorders>
              <w:bottom w:val="single" w:sz="8" w:color="F2F2F2"/>
            </w:tcBorders>
            <w:shd w:val="clear" w:color="auto" w:fill="F2F2F2"/>
          </w:tcPr>
          <w:p>
            <w:pPr>
              <w:spacing w:after="0"/>
              <w:rPr>
                <w:sz w:val="16"/>
                <w:szCs w:val="16"/>
                <w:color w:val="auto"/>
              </w:rPr>
            </w:pPr>
          </w:p>
        </w:tc>
      </w:tr>
      <w:tr>
        <w:trPr>
          <w:trHeight w:val="34"/>
        </w:trPr>
        <w:tc>
          <w:tcPr>
            <w:tcW w:w="640" w:type="dxa"/>
            <w:vAlign w:val="bottom"/>
            <w:shd w:val="clear" w:color="auto" w:fill="F2F2F2"/>
          </w:tcPr>
          <w:p>
            <w:pPr>
              <w:spacing w:after="0"/>
              <w:rPr>
                <w:sz w:val="2"/>
                <w:szCs w:val="2"/>
                <w:color w:val="auto"/>
              </w:rPr>
            </w:pPr>
          </w:p>
        </w:tc>
        <w:tc>
          <w:tcPr>
            <w:tcW w:w="820" w:type="dxa"/>
            <w:vAlign w:val="bottom"/>
            <w:shd w:val="clear" w:color="auto" w:fill="F2F2F2"/>
          </w:tcPr>
          <w:p>
            <w:pPr>
              <w:spacing w:after="0"/>
              <w:rPr>
                <w:sz w:val="2"/>
                <w:szCs w:val="2"/>
                <w:color w:val="auto"/>
              </w:rPr>
            </w:pPr>
          </w:p>
        </w:tc>
        <w:tc>
          <w:tcPr>
            <w:tcW w:w="1000" w:type="dxa"/>
            <w:vAlign w:val="bottom"/>
            <w:shd w:val="clear" w:color="auto" w:fill="F2F2F2"/>
          </w:tcPr>
          <w:p>
            <w:pPr>
              <w:spacing w:after="0"/>
              <w:rPr>
                <w:sz w:val="2"/>
                <w:szCs w:val="2"/>
                <w:color w:val="auto"/>
              </w:rPr>
            </w:pPr>
          </w:p>
        </w:tc>
        <w:tc>
          <w:tcPr>
            <w:tcW w:w="1320" w:type="dxa"/>
            <w:vAlign w:val="bottom"/>
            <w:shd w:val="clear" w:color="auto" w:fill="F2F2F2"/>
          </w:tcPr>
          <w:p>
            <w:pPr>
              <w:spacing w:after="0"/>
              <w:rPr>
                <w:sz w:val="2"/>
                <w:szCs w:val="2"/>
                <w:color w:val="auto"/>
              </w:rPr>
            </w:pPr>
          </w:p>
        </w:tc>
        <w:tc>
          <w:tcPr>
            <w:tcW w:w="1500" w:type="dxa"/>
            <w:vAlign w:val="bottom"/>
            <w:shd w:val="clear" w:color="auto" w:fill="F2F2F2"/>
          </w:tcPr>
          <w:p>
            <w:pPr>
              <w:spacing w:after="0"/>
              <w:rPr>
                <w:sz w:val="2"/>
                <w:szCs w:val="2"/>
                <w:color w:val="auto"/>
              </w:rPr>
            </w:pPr>
          </w:p>
        </w:tc>
        <w:tc>
          <w:tcPr>
            <w:tcW w:w="1660" w:type="dxa"/>
            <w:vAlign w:val="bottom"/>
            <w:shd w:val="clear" w:color="auto" w:fill="F2F2F2"/>
          </w:tcPr>
          <w:p>
            <w:pPr>
              <w:spacing w:after="0"/>
              <w:rPr>
                <w:sz w:val="2"/>
                <w:szCs w:val="2"/>
                <w:color w:val="auto"/>
              </w:rPr>
            </w:pPr>
          </w:p>
        </w:tc>
        <w:tc>
          <w:tcPr>
            <w:tcW w:w="1380" w:type="dxa"/>
            <w:vAlign w:val="bottom"/>
            <w:shd w:val="clear" w:color="auto" w:fill="F2F2F2"/>
          </w:tcPr>
          <w:p>
            <w:pPr>
              <w:spacing w:after="0"/>
              <w:rPr>
                <w:sz w:val="2"/>
                <w:szCs w:val="2"/>
                <w:color w:val="auto"/>
              </w:rPr>
            </w:pPr>
          </w:p>
        </w:tc>
        <w:tc>
          <w:tcPr>
            <w:tcW w:w="1200" w:type="dxa"/>
            <w:vAlign w:val="bottom"/>
            <w:shd w:val="clear" w:color="auto" w:fill="F2F2F2"/>
          </w:tcPr>
          <w:p>
            <w:pPr>
              <w:spacing w:after="0"/>
              <w:rPr>
                <w:sz w:val="2"/>
                <w:szCs w:val="2"/>
                <w:color w:val="auto"/>
              </w:rPr>
            </w:pPr>
          </w:p>
        </w:tc>
        <w:tc>
          <w:tcPr>
            <w:tcW w:w="1500" w:type="dxa"/>
            <w:vAlign w:val="bottom"/>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About FICO</w:t>
      </w:r>
    </w:p>
    <w:p>
      <w:pPr>
        <w:spacing w:after="0" w:line="150" w:lineRule="exact"/>
        <w:rPr>
          <w:sz w:val="20"/>
          <w:szCs w:val="20"/>
          <w:color w:val="auto"/>
        </w:rPr>
      </w:pPr>
    </w:p>
    <w:p>
      <w:pPr>
        <w:jc w:val="both"/>
        <w:ind w:left="120" w:right="20" w:firstLine="551"/>
        <w:spacing w:after="0" w:line="228" w:lineRule="auto"/>
        <w:rPr>
          <w:sz w:val="20"/>
          <w:szCs w:val="20"/>
          <w:color w:val="auto"/>
        </w:rPr>
      </w:pPr>
      <w:r>
        <w:rPr>
          <w:rFonts w:ascii="Arial" w:cs="Arial" w:eastAsia="Arial" w:hAnsi="Arial"/>
          <w:sz w:val="18"/>
          <w:szCs w:val="18"/>
          <w:color w:val="auto"/>
        </w:rPr>
        <w:t>Fair Isaac Corporation (NYSE:FICO) (together with its consolidated subsidiaries, the “Company,” which may also be referred to in this proxy statement as “we,” “us,” “our,” and “FICO”) is a global analytics software leader. We were founded in 1956 on the premise that data, used intelligently, can improve business decisions. Today, FICO’s software and the widely used FICO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Score operationalize analytics, enabling thousands of businesses in more than 80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 Scores – the standard measure of consumer credit risk in the United States (“U.S.”) – empowering them to increase financial literacy and manage their financial health. Our business consists of two operating segments: Scores and Software.</w:t>
      </w:r>
    </w:p>
    <w:p>
      <w:pPr>
        <w:spacing w:after="0" w:line="154" w:lineRule="exact"/>
        <w:rPr>
          <w:sz w:val="20"/>
          <w:szCs w:val="20"/>
          <w:color w:val="auto"/>
        </w:rPr>
      </w:pPr>
    </w:p>
    <w:p>
      <w:pPr>
        <w:jc w:val="both"/>
        <w:ind w:left="120" w:firstLine="551"/>
        <w:spacing w:after="0" w:line="217" w:lineRule="auto"/>
        <w:rPr>
          <w:sz w:val="20"/>
          <w:szCs w:val="20"/>
          <w:color w:val="auto"/>
        </w:rPr>
      </w:pPr>
      <w:r>
        <w:rPr>
          <w:rFonts w:ascii="Arial" w:cs="Arial" w:eastAsia="Arial" w:hAnsi="Arial"/>
          <w:sz w:val="18"/>
          <w:szCs w:val="18"/>
          <w:b w:val="1"/>
          <w:bCs w:val="1"/>
          <w:color w:val="auto"/>
        </w:rPr>
        <w:t xml:space="preserve">Scores </w:t>
      </w:r>
      <w:r>
        <w:rPr>
          <w:rFonts w:ascii="Arial" w:cs="Arial" w:eastAsia="Arial" w:hAnsi="Arial"/>
          <w:sz w:val="18"/>
          <w:szCs w:val="18"/>
          <w:color w:val="auto"/>
        </w:rPr>
        <w:t>– Our Scores segment includes our business-to-business (“B2B”) scoring solutions and services which give our clients</w:t>
      </w:r>
      <w:r>
        <w:rPr>
          <w:rFonts w:ascii="Arial" w:cs="Arial" w:eastAsia="Arial" w:hAnsi="Arial"/>
          <w:sz w:val="18"/>
          <w:szCs w:val="18"/>
          <w:b w:val="1"/>
          <w:bCs w:val="1"/>
          <w:color w:val="auto"/>
        </w:rPr>
        <w:t xml:space="preserve"> </w:t>
      </w:r>
      <w:r>
        <w:rPr>
          <w:rFonts w:ascii="Arial" w:cs="Arial" w:eastAsia="Arial" w:hAnsi="Arial"/>
          <w:sz w:val="18"/>
          <w:szCs w:val="18"/>
          <w:color w:val="auto"/>
        </w:rPr>
        <w:t>access to predictive credit and other scores that can be easily integrated into their transaction streams and decision-making processes. Our B2B scoring solutions include the FICO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Score, which is the standard measure of consumer credit risk in the U.S. It is used in most U.S. credit decisions, by nearly all major banks, credit card issuers, mortgage lenders, and auto loan originators. This segment also includes our business-to-consumer scoring solutions, which includes scores distributed directly by FICO through myFICO.com subscription offering and indirectly through our licensed distribution partners, including Experian and certain lenders through the FICO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Score Open Access Program. The FICO Score is used by 90% of top U.S. lenders. For over three decades it has been the common framework for evaluating and communicating consumer credit risk across consumer credit markets, efficiently enabling billions of decisions across these markets every year in an objective and fair manner.</w:t>
      </w:r>
    </w:p>
    <w:p>
      <w:pPr>
        <w:spacing w:after="0" w:line="147" w:lineRule="exact"/>
        <w:rPr>
          <w:sz w:val="20"/>
          <w:szCs w:val="20"/>
          <w:color w:val="auto"/>
        </w:rPr>
      </w:pPr>
    </w:p>
    <w:p>
      <w:pPr>
        <w:jc w:val="both"/>
        <w:ind w:left="120" w:right="20" w:firstLine="551"/>
        <w:spacing w:after="0" w:line="229" w:lineRule="auto"/>
        <w:rPr>
          <w:sz w:val="20"/>
          <w:szCs w:val="20"/>
          <w:color w:val="auto"/>
        </w:rPr>
      </w:pPr>
      <w:r>
        <w:rPr>
          <w:rFonts w:ascii="Arial" w:cs="Arial" w:eastAsia="Arial" w:hAnsi="Arial"/>
          <w:sz w:val="18"/>
          <w:szCs w:val="18"/>
          <w:b w:val="1"/>
          <w:bCs w:val="1"/>
          <w:color w:val="auto"/>
        </w:rPr>
        <w:t xml:space="preserve">Software </w:t>
      </w:r>
      <w:r>
        <w:rPr>
          <w:rFonts w:ascii="Arial" w:cs="Arial" w:eastAsia="Arial" w:hAnsi="Arial"/>
          <w:sz w:val="18"/>
          <w:szCs w:val="18"/>
          <w:color w:val="auto"/>
        </w:rPr>
        <w:t>– Our software harnesses the power of analytics and digital decisioning technology to help businesses automate,</w:t>
      </w:r>
      <w:r>
        <w:rPr>
          <w:rFonts w:ascii="Arial" w:cs="Arial" w:eastAsia="Arial" w:hAnsi="Arial"/>
          <w:sz w:val="18"/>
          <w:szCs w:val="18"/>
          <w:b w:val="1"/>
          <w:bCs w:val="1"/>
          <w:color w:val="auto"/>
        </w:rPr>
        <w:t xml:space="preserve"> </w:t>
      </w:r>
      <w:r>
        <w:rPr>
          <w:rFonts w:ascii="Arial" w:cs="Arial" w:eastAsia="Arial" w:hAnsi="Arial"/>
          <w:sz w:val="18"/>
          <w:szCs w:val="18"/>
          <w:color w:val="auto"/>
        </w:rPr>
        <w:t>improve, and connect decisions across their enterprise. Our solutions address customer engagement, acquisition, origination, onboarding, servicing and management, and fraud protection. We also help businesses improve non-customer-facing decisions such as supply chain optimization, scheduling management and policy adherence. This segment includes FICO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Platform, the B2B AI decisioning platform of choice in the market, allowing businesses to optimize hyper-personalized interactions with end customers at scale. FICO Platform is a modular software offering designed to support advanced analytic and decisioning use cases, as well as stand-alone analytic and decisioning software that can be configured by our customers to address a wide variety of business use cases. Users of FICO Platform can bring together data from multiple sources, apply advanced analytics to derive insights, and translate those insights into actions and workflows that can be executed in real-time. By employing hyper-personalization, our customers can deliver on this expectation and others —at scale—across their business, throughout the lifetime of the customer relationship. It can help dissolve data silos, bring innovation and efficiency together, and achieve and maintain trustworthy AI.</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Scores Business Highlights During Fiscal 2025:</w:t>
      </w:r>
    </w:p>
    <w:p>
      <w:pPr>
        <w:spacing w:after="0" w:line="212" w:lineRule="exact"/>
        <w:rPr>
          <w:sz w:val="20"/>
          <w:szCs w:val="20"/>
          <w:color w:val="auto"/>
        </w:rPr>
      </w:pPr>
    </w:p>
    <w:p>
      <w:pPr>
        <w:ind w:left="1540" w:right="20" w:hanging="331"/>
        <w:spacing w:after="0" w:line="209" w:lineRule="auto"/>
        <w:tabs>
          <w:tab w:leader="none" w:pos="1540" w:val="left"/>
        </w:tabs>
        <w:numPr>
          <w:ilvl w:val="0"/>
          <w:numId w:val="15"/>
        </w:numPr>
        <w:rPr>
          <w:rFonts w:ascii="Times New Roman" w:cs="Times New Roman" w:eastAsia="Times New Roman" w:hAnsi="Times New Roman"/>
          <w:sz w:val="20"/>
          <w:szCs w:val="20"/>
          <w:color w:val="auto"/>
        </w:rPr>
      </w:pPr>
      <w:r>
        <w:rPr>
          <w:rFonts w:ascii="Arial" w:cs="Arial" w:eastAsia="Arial" w:hAnsi="Arial"/>
          <w:sz w:val="18"/>
          <w:szCs w:val="18"/>
          <w:color w:val="auto"/>
        </w:rPr>
        <w:t>We continued to see the market’s ongoing recognition of the FICO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Score as the standard measure of consumer credit risk in the U.S.</w:t>
      </w:r>
    </w:p>
    <w:p>
      <w:pPr>
        <w:spacing w:after="0" w:line="180" w:lineRule="exact"/>
        <w:rPr>
          <w:rFonts w:ascii="Times New Roman" w:cs="Times New Roman" w:eastAsia="Times New Roman" w:hAnsi="Times New Roman"/>
          <w:sz w:val="20"/>
          <w:szCs w:val="20"/>
          <w:color w:val="auto"/>
        </w:rPr>
      </w:pPr>
    </w:p>
    <w:p>
      <w:pPr>
        <w:jc w:val="both"/>
        <w:ind w:left="1540" w:right="20" w:hanging="331"/>
        <w:spacing w:after="0" w:line="216" w:lineRule="auto"/>
        <w:tabs>
          <w:tab w:leader="none" w:pos="1540" w:val="left"/>
        </w:tabs>
        <w:numPr>
          <w:ilvl w:val="0"/>
          <w:numId w:val="15"/>
        </w:numPr>
        <w:rPr>
          <w:rFonts w:ascii="Times New Roman" w:cs="Times New Roman" w:eastAsia="Times New Roman" w:hAnsi="Times New Roman"/>
          <w:sz w:val="20"/>
          <w:szCs w:val="20"/>
          <w:color w:val="auto"/>
        </w:rPr>
      </w:pPr>
      <w:r>
        <w:rPr>
          <w:rFonts w:ascii="Arial" w:cs="Arial" w:eastAsia="Arial" w:hAnsi="Arial"/>
          <w:sz w:val="18"/>
          <w:szCs w:val="18"/>
          <w:color w:val="auto"/>
        </w:rPr>
        <w:t>Through our Early Adopter Program, we saw significant adoption of our latest score, FICO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Score 10T for mortgages by non-government sponsored enterprises (“GSEs”). Lenders in the Program have been able to validate the power of FICO Score 10T in real-world mortgage underwriting, loan production, execution and servicing.</w:t>
      </w:r>
    </w:p>
    <w:p>
      <w:pPr>
        <w:spacing w:after="0" w:line="181" w:lineRule="exact"/>
        <w:rPr>
          <w:rFonts w:ascii="Times New Roman" w:cs="Times New Roman" w:eastAsia="Times New Roman" w:hAnsi="Times New Roman"/>
          <w:sz w:val="20"/>
          <w:szCs w:val="20"/>
          <w:color w:val="auto"/>
        </w:rPr>
      </w:pPr>
    </w:p>
    <w:p>
      <w:pPr>
        <w:jc w:val="both"/>
        <w:ind w:left="1540" w:right="20" w:hanging="331"/>
        <w:spacing w:after="0" w:line="210" w:lineRule="auto"/>
        <w:tabs>
          <w:tab w:leader="none" w:pos="1540" w:val="left"/>
        </w:tabs>
        <w:numPr>
          <w:ilvl w:val="0"/>
          <w:numId w:val="15"/>
        </w:numPr>
        <w:rPr>
          <w:rFonts w:ascii="Times New Roman" w:cs="Times New Roman" w:eastAsia="Times New Roman" w:hAnsi="Times New Roman"/>
          <w:sz w:val="20"/>
          <w:szCs w:val="20"/>
          <w:color w:val="auto"/>
        </w:rPr>
      </w:pPr>
      <w:r>
        <w:rPr>
          <w:rFonts w:ascii="Arial" w:cs="Arial" w:eastAsia="Arial" w:hAnsi="Arial"/>
          <w:sz w:val="18"/>
          <w:szCs w:val="18"/>
          <w:color w:val="auto"/>
        </w:rPr>
        <w:t>We recently launched our FICO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Mortgage Direct License Program, designed to drive competition, transparency, and cost savings in mortgage, while aligning with calls from policymakers and industry leaders to modernize credit infrastructure and promote affordability, liquidity, and access in the $12 trillion U.S. mortgage industry. We entered into a multi-year direct license and distribution agreement with Xactus, a fintech and market leader in verification solutions for the mortgage industry and the largest credit verification and tri-merge provider of FICO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Scores, for it to participate in the FICO Mortgage Direct License Program.</w:t>
      </w:r>
    </w:p>
    <w:p>
      <w:pPr>
        <w:spacing w:after="0" w:line="183" w:lineRule="exact"/>
        <w:rPr>
          <w:rFonts w:ascii="Times New Roman" w:cs="Times New Roman" w:eastAsia="Times New Roman" w:hAnsi="Times New Roman"/>
          <w:sz w:val="20"/>
          <w:szCs w:val="20"/>
          <w:color w:val="auto"/>
        </w:rPr>
      </w:pPr>
    </w:p>
    <w:p>
      <w:pPr>
        <w:ind w:left="1540" w:right="20" w:hanging="331"/>
        <w:spacing w:after="0" w:line="209" w:lineRule="auto"/>
        <w:tabs>
          <w:tab w:leader="none" w:pos="1540" w:val="left"/>
        </w:tabs>
        <w:numPr>
          <w:ilvl w:val="0"/>
          <w:numId w:val="15"/>
        </w:numPr>
        <w:rPr>
          <w:rFonts w:ascii="Times New Roman" w:cs="Times New Roman" w:eastAsia="Times New Roman" w:hAnsi="Times New Roman"/>
          <w:sz w:val="20"/>
          <w:szCs w:val="20"/>
          <w:color w:val="auto"/>
        </w:rPr>
      </w:pPr>
      <w:r>
        <w:rPr>
          <w:rFonts w:ascii="Arial" w:cs="Arial" w:eastAsia="Arial" w:hAnsi="Arial"/>
          <w:sz w:val="18"/>
          <w:szCs w:val="18"/>
          <w:color w:val="auto"/>
        </w:rPr>
        <w:t>In March, we launched the FICO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Score Mortgage Simulator for lender use through Xactus. This tool can allow mortgage professionals to run credit event scenarios by applying simulated changes to a current or</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3</w:t>
      </w:r>
    </w:p>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640" w:type="dxa"/>
            <w:vAlign w:val="bottom"/>
            <w:shd w:val="clear" w:color="auto" w:fill="F2F2F2"/>
          </w:tcPr>
          <w:p>
            <w:pPr>
              <w:spacing w:after="0"/>
              <w:rPr>
                <w:sz w:val="24"/>
                <w:szCs w:val="24"/>
                <w:color w:val="auto"/>
              </w:rPr>
            </w:pPr>
          </w:p>
        </w:tc>
        <w:tc>
          <w:tcPr>
            <w:tcW w:w="820" w:type="dxa"/>
            <w:vAlign w:val="bottom"/>
            <w:shd w:val="clear" w:color="auto" w:fill="F2F2F2"/>
          </w:tcPr>
          <w:p>
            <w:pPr>
              <w:spacing w:after="0"/>
              <w:rPr>
                <w:sz w:val="20"/>
                <w:szCs w:val="20"/>
                <w:color w:val="auto"/>
              </w:rPr>
            </w:pPr>
            <w:r>
              <w:rPr>
                <w:rFonts w:ascii="Arial" w:cs="Arial" w:eastAsia="Arial" w:hAnsi="Arial"/>
                <w:sz w:val="18"/>
                <w:szCs w:val="18"/>
                <w:b w:val="1"/>
                <w:bCs w:val="1"/>
                <w:color w:val="376DB5"/>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32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5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Stock</w:t>
            </w:r>
          </w:p>
        </w:tc>
        <w:tc>
          <w:tcPr>
            <w:tcW w:w="15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Other</w:t>
            </w:r>
          </w:p>
        </w:tc>
      </w:tr>
      <w:tr>
        <w:trPr>
          <w:trHeight w:val="203"/>
        </w:trPr>
        <w:tc>
          <w:tcPr>
            <w:tcW w:w="64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line="202" w:lineRule="exact"/>
              <w:rPr>
                <w:sz w:val="20"/>
                <w:szCs w:val="20"/>
                <w:color w:val="auto"/>
              </w:rPr>
            </w:pPr>
            <w:r>
              <w:rPr>
                <w:rFonts w:ascii="Arial" w:cs="Arial" w:eastAsia="Arial" w:hAnsi="Arial"/>
                <w:sz w:val="18"/>
                <w:szCs w:val="18"/>
                <w:b w:val="1"/>
                <w:bCs w:val="1"/>
                <w:color w:val="376DB5"/>
                <w:w w:val="97"/>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32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5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Ownership</w:t>
            </w:r>
          </w:p>
        </w:tc>
        <w:tc>
          <w:tcPr>
            <w:tcW w:w="15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640" w:type="dxa"/>
            <w:vAlign w:val="bottom"/>
            <w:tcBorders>
              <w:bottom w:val="single" w:sz="8" w:color="F2F2F2"/>
            </w:tcBorders>
            <w:shd w:val="clear" w:color="auto" w:fill="F2F2F2"/>
          </w:tcPr>
          <w:p>
            <w:pPr>
              <w:spacing w:after="0"/>
              <w:rPr>
                <w:sz w:val="16"/>
                <w:szCs w:val="16"/>
                <w:color w:val="auto"/>
              </w:rPr>
            </w:pPr>
          </w:p>
        </w:tc>
        <w:tc>
          <w:tcPr>
            <w:tcW w:w="820" w:type="dxa"/>
            <w:vAlign w:val="bottom"/>
            <w:tcBorders>
              <w:bottom w:val="single" w:sz="8" w:color="376DB5"/>
            </w:tcBorders>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000" w:type="dxa"/>
            <w:vAlign w:val="bottom"/>
            <w:tcBorders>
              <w:bottom w:val="single" w:sz="8" w:color="F2F2F2"/>
            </w:tcBorders>
            <w:shd w:val="clear" w:color="auto" w:fill="F2F2F2"/>
          </w:tcPr>
          <w:p>
            <w:pPr>
              <w:spacing w:after="0"/>
              <w:rPr>
                <w:sz w:val="16"/>
                <w:szCs w:val="16"/>
                <w:color w:val="auto"/>
              </w:rPr>
            </w:pPr>
          </w:p>
        </w:tc>
        <w:tc>
          <w:tcPr>
            <w:tcW w:w="1320" w:type="dxa"/>
            <w:vAlign w:val="bottom"/>
            <w:tcBorders>
              <w:bottom w:val="single" w:sz="8" w:color="F2F2F2"/>
            </w:tcBorders>
            <w:shd w:val="clear" w:color="auto" w:fill="F2F2F2"/>
          </w:tcPr>
          <w:p>
            <w:pPr>
              <w:spacing w:after="0"/>
              <w:rPr>
                <w:sz w:val="16"/>
                <w:szCs w:val="16"/>
                <w:color w:val="auto"/>
              </w:rPr>
            </w:pPr>
          </w:p>
        </w:tc>
        <w:tc>
          <w:tcPr>
            <w:tcW w:w="1500" w:type="dxa"/>
            <w:vAlign w:val="bottom"/>
            <w:tcBorders>
              <w:bottom w:val="single" w:sz="8" w:color="F2F2F2"/>
            </w:tcBorders>
            <w:shd w:val="clear" w:color="auto" w:fill="F2F2F2"/>
          </w:tcPr>
          <w:p>
            <w:pPr>
              <w:spacing w:after="0"/>
              <w:rPr>
                <w:sz w:val="16"/>
                <w:szCs w:val="16"/>
                <w:color w:val="auto"/>
              </w:rPr>
            </w:pPr>
          </w:p>
        </w:tc>
        <w:tc>
          <w:tcPr>
            <w:tcW w:w="1660" w:type="dxa"/>
            <w:vAlign w:val="bottom"/>
            <w:tcBorders>
              <w:bottom w:val="single" w:sz="8" w:color="F2F2F2"/>
            </w:tcBorders>
            <w:shd w:val="clear" w:color="auto" w:fill="F2F2F2"/>
          </w:tcPr>
          <w:p>
            <w:pPr>
              <w:spacing w:after="0"/>
              <w:rPr>
                <w:sz w:val="16"/>
                <w:szCs w:val="16"/>
                <w:color w:val="auto"/>
              </w:rPr>
            </w:pPr>
          </w:p>
        </w:tc>
        <w:tc>
          <w:tcPr>
            <w:tcW w:w="1380" w:type="dxa"/>
            <w:vAlign w:val="bottom"/>
            <w:tcBorders>
              <w:bottom w:val="single" w:sz="8" w:color="F2F2F2"/>
            </w:tcBorders>
            <w:shd w:val="clear" w:color="auto" w:fill="F2F2F2"/>
          </w:tcPr>
          <w:p>
            <w:pPr>
              <w:spacing w:after="0"/>
              <w:rPr>
                <w:sz w:val="16"/>
                <w:szCs w:val="16"/>
                <w:color w:val="auto"/>
              </w:rPr>
            </w:pPr>
          </w:p>
        </w:tc>
        <w:tc>
          <w:tcPr>
            <w:tcW w:w="1200" w:type="dxa"/>
            <w:vAlign w:val="bottom"/>
            <w:tcBorders>
              <w:bottom w:val="single" w:sz="8" w:color="F2F2F2"/>
            </w:tcBorders>
            <w:shd w:val="clear" w:color="auto" w:fill="F2F2F2"/>
          </w:tcPr>
          <w:p>
            <w:pPr>
              <w:spacing w:after="0"/>
              <w:rPr>
                <w:sz w:val="16"/>
                <w:szCs w:val="16"/>
                <w:color w:val="auto"/>
              </w:rPr>
            </w:pPr>
          </w:p>
        </w:tc>
        <w:tc>
          <w:tcPr>
            <w:tcW w:w="1500" w:type="dxa"/>
            <w:vAlign w:val="bottom"/>
            <w:tcBorders>
              <w:bottom w:val="single" w:sz="8" w:color="F2F2F2"/>
            </w:tcBorders>
            <w:shd w:val="clear" w:color="auto" w:fill="F2F2F2"/>
          </w:tcPr>
          <w:p>
            <w:pPr>
              <w:spacing w:after="0"/>
              <w:rPr>
                <w:sz w:val="16"/>
                <w:szCs w:val="16"/>
                <w:color w:val="auto"/>
              </w:rPr>
            </w:pPr>
          </w:p>
        </w:tc>
      </w:tr>
      <w:tr>
        <w:trPr>
          <w:trHeight w:val="34"/>
        </w:trPr>
        <w:tc>
          <w:tcPr>
            <w:tcW w:w="640" w:type="dxa"/>
            <w:vAlign w:val="bottom"/>
            <w:shd w:val="clear" w:color="auto" w:fill="F2F2F2"/>
          </w:tcPr>
          <w:p>
            <w:pPr>
              <w:spacing w:after="0"/>
              <w:rPr>
                <w:sz w:val="2"/>
                <w:szCs w:val="2"/>
                <w:color w:val="auto"/>
              </w:rPr>
            </w:pPr>
          </w:p>
        </w:tc>
        <w:tc>
          <w:tcPr>
            <w:tcW w:w="820" w:type="dxa"/>
            <w:vAlign w:val="bottom"/>
            <w:shd w:val="clear" w:color="auto" w:fill="F2F2F2"/>
          </w:tcPr>
          <w:p>
            <w:pPr>
              <w:spacing w:after="0"/>
              <w:rPr>
                <w:sz w:val="2"/>
                <w:szCs w:val="2"/>
                <w:color w:val="auto"/>
              </w:rPr>
            </w:pPr>
          </w:p>
        </w:tc>
        <w:tc>
          <w:tcPr>
            <w:tcW w:w="1000" w:type="dxa"/>
            <w:vAlign w:val="bottom"/>
            <w:shd w:val="clear" w:color="auto" w:fill="F2F2F2"/>
          </w:tcPr>
          <w:p>
            <w:pPr>
              <w:spacing w:after="0"/>
              <w:rPr>
                <w:sz w:val="2"/>
                <w:szCs w:val="2"/>
                <w:color w:val="auto"/>
              </w:rPr>
            </w:pPr>
          </w:p>
        </w:tc>
        <w:tc>
          <w:tcPr>
            <w:tcW w:w="1320" w:type="dxa"/>
            <w:vAlign w:val="bottom"/>
            <w:shd w:val="clear" w:color="auto" w:fill="F2F2F2"/>
          </w:tcPr>
          <w:p>
            <w:pPr>
              <w:spacing w:after="0"/>
              <w:rPr>
                <w:sz w:val="2"/>
                <w:szCs w:val="2"/>
                <w:color w:val="auto"/>
              </w:rPr>
            </w:pPr>
          </w:p>
        </w:tc>
        <w:tc>
          <w:tcPr>
            <w:tcW w:w="1500" w:type="dxa"/>
            <w:vAlign w:val="bottom"/>
            <w:shd w:val="clear" w:color="auto" w:fill="F2F2F2"/>
          </w:tcPr>
          <w:p>
            <w:pPr>
              <w:spacing w:after="0"/>
              <w:rPr>
                <w:sz w:val="2"/>
                <w:szCs w:val="2"/>
                <w:color w:val="auto"/>
              </w:rPr>
            </w:pPr>
          </w:p>
        </w:tc>
        <w:tc>
          <w:tcPr>
            <w:tcW w:w="1660" w:type="dxa"/>
            <w:vAlign w:val="bottom"/>
            <w:shd w:val="clear" w:color="auto" w:fill="F2F2F2"/>
          </w:tcPr>
          <w:p>
            <w:pPr>
              <w:spacing w:after="0"/>
              <w:rPr>
                <w:sz w:val="2"/>
                <w:szCs w:val="2"/>
                <w:color w:val="auto"/>
              </w:rPr>
            </w:pPr>
          </w:p>
        </w:tc>
        <w:tc>
          <w:tcPr>
            <w:tcW w:w="1380" w:type="dxa"/>
            <w:vAlign w:val="bottom"/>
            <w:shd w:val="clear" w:color="auto" w:fill="F2F2F2"/>
          </w:tcPr>
          <w:p>
            <w:pPr>
              <w:spacing w:after="0"/>
              <w:rPr>
                <w:sz w:val="2"/>
                <w:szCs w:val="2"/>
                <w:color w:val="auto"/>
              </w:rPr>
            </w:pPr>
          </w:p>
        </w:tc>
        <w:tc>
          <w:tcPr>
            <w:tcW w:w="1200" w:type="dxa"/>
            <w:vAlign w:val="bottom"/>
            <w:shd w:val="clear" w:color="auto" w:fill="F2F2F2"/>
          </w:tcPr>
          <w:p>
            <w:pPr>
              <w:spacing w:after="0"/>
              <w:rPr>
                <w:sz w:val="2"/>
                <w:szCs w:val="2"/>
                <w:color w:val="auto"/>
              </w:rPr>
            </w:pPr>
          </w:p>
        </w:tc>
        <w:tc>
          <w:tcPr>
            <w:tcW w:w="1500" w:type="dxa"/>
            <w:vAlign w:val="bottom"/>
            <w:shd w:val="clear" w:color="auto" w:fill="F2F2F2"/>
          </w:tcPr>
          <w:p>
            <w:pPr>
              <w:spacing w:after="0"/>
              <w:rPr>
                <w:sz w:val="2"/>
                <w:szCs w:val="2"/>
                <w:color w:val="auto"/>
              </w:rPr>
            </w:pPr>
          </w:p>
        </w:tc>
      </w:tr>
    </w:tbl>
    <w:p>
      <w:pPr>
        <w:spacing w:after="0" w:line="130" w:lineRule="exact"/>
        <w:rPr>
          <w:sz w:val="20"/>
          <w:szCs w:val="20"/>
          <w:color w:val="auto"/>
        </w:rPr>
      </w:pPr>
    </w:p>
    <w:p>
      <w:pPr>
        <w:jc w:val="both"/>
        <w:ind w:left="1540"/>
        <w:spacing w:after="0" w:line="216" w:lineRule="auto"/>
        <w:rPr>
          <w:sz w:val="20"/>
          <w:szCs w:val="20"/>
          <w:color w:val="auto"/>
        </w:rPr>
      </w:pPr>
      <w:r>
        <w:rPr>
          <w:rFonts w:ascii="Arial" w:cs="Arial" w:eastAsia="Arial" w:hAnsi="Arial"/>
          <w:sz w:val="18"/>
          <w:szCs w:val="18"/>
          <w:color w:val="auto"/>
        </w:rPr>
        <w:t>prospective applicant’s credit report data to estimate the potential impact on their FICO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Scores based on those actions. This can benefit both mortgage lenders and consumers by potentially enabling lenders to provide additional loan options and more favorable interest rates.</w:t>
      </w:r>
    </w:p>
    <w:p>
      <w:pPr>
        <w:spacing w:after="0" w:line="182" w:lineRule="exact"/>
        <w:rPr>
          <w:sz w:val="20"/>
          <w:szCs w:val="20"/>
          <w:color w:val="auto"/>
        </w:rPr>
      </w:pPr>
    </w:p>
    <w:p>
      <w:pPr>
        <w:jc w:val="both"/>
        <w:ind w:left="1540" w:hanging="331"/>
        <w:spacing w:after="0" w:line="220" w:lineRule="auto"/>
        <w:tabs>
          <w:tab w:leader="none" w:pos="1540" w:val="left"/>
        </w:tabs>
        <w:numPr>
          <w:ilvl w:val="0"/>
          <w:numId w:val="16"/>
        </w:numPr>
        <w:rPr>
          <w:rFonts w:ascii="Times New Roman" w:cs="Times New Roman" w:eastAsia="Times New Roman" w:hAnsi="Times New Roman"/>
          <w:sz w:val="20"/>
          <w:szCs w:val="20"/>
          <w:color w:val="auto"/>
        </w:rPr>
      </w:pPr>
      <w:r>
        <w:rPr>
          <w:rFonts w:ascii="Arial" w:cs="Arial" w:eastAsia="Arial" w:hAnsi="Arial"/>
          <w:sz w:val="18"/>
          <w:szCs w:val="18"/>
          <w:color w:val="auto"/>
        </w:rPr>
        <w:t>We launched FICO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Score 10 BNPL and FICO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Score 10T BNPL, the first credit scores from a leading credit scoring provider to incorporate Buy Now, Pay Later (“BNPL”) data. These scores can provide lenders with deeper insight into how consumers manage repayment on increasingly popular installment loans, enabling a more comprehensive view of their credit readiness.</w:t>
      </w:r>
    </w:p>
    <w:p>
      <w:pPr>
        <w:spacing w:after="0" w:line="182" w:lineRule="exact"/>
        <w:rPr>
          <w:rFonts w:ascii="Times New Roman" w:cs="Times New Roman" w:eastAsia="Times New Roman" w:hAnsi="Times New Roman"/>
          <w:sz w:val="20"/>
          <w:szCs w:val="20"/>
          <w:color w:val="auto"/>
        </w:rPr>
      </w:pPr>
    </w:p>
    <w:p>
      <w:pPr>
        <w:jc w:val="both"/>
        <w:ind w:left="1540" w:right="20" w:hanging="331"/>
        <w:spacing w:after="0" w:line="220" w:lineRule="auto"/>
        <w:tabs>
          <w:tab w:leader="none" w:pos="1540" w:val="left"/>
        </w:tabs>
        <w:numPr>
          <w:ilvl w:val="0"/>
          <w:numId w:val="16"/>
        </w:numPr>
        <w:rPr>
          <w:rFonts w:ascii="Times New Roman" w:cs="Times New Roman" w:eastAsia="Times New Roman" w:hAnsi="Times New Roman"/>
          <w:sz w:val="20"/>
          <w:szCs w:val="20"/>
          <w:color w:val="auto"/>
        </w:rPr>
      </w:pPr>
      <w:r>
        <w:rPr>
          <w:rFonts w:ascii="Arial" w:cs="Arial" w:eastAsia="Arial" w:hAnsi="Arial"/>
          <w:sz w:val="18"/>
          <w:szCs w:val="18"/>
          <w:color w:val="auto"/>
        </w:rPr>
        <w:t>In September, we released the inaugural FICO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Score Credit Insights report – a first-of-its-kind analysis offering a detailed look at how consumer credit behaviors are evolving across the U.S. The report highlights how inflation, resumed student loan payments, and evolving payment priorities are reshaping credit scores and delinquency patterns nationwide.</w:t>
      </w:r>
    </w:p>
    <w:p>
      <w:pPr>
        <w:spacing w:after="0" w:line="182" w:lineRule="exact"/>
        <w:rPr>
          <w:rFonts w:ascii="Times New Roman" w:cs="Times New Roman" w:eastAsia="Times New Roman" w:hAnsi="Times New Roman"/>
          <w:sz w:val="20"/>
          <w:szCs w:val="20"/>
          <w:color w:val="auto"/>
        </w:rPr>
      </w:pPr>
    </w:p>
    <w:p>
      <w:pPr>
        <w:jc w:val="both"/>
        <w:ind w:left="1540" w:right="20" w:hanging="331"/>
        <w:spacing w:after="0" w:line="202" w:lineRule="auto"/>
        <w:tabs>
          <w:tab w:leader="none" w:pos="1540" w:val="left"/>
        </w:tabs>
        <w:numPr>
          <w:ilvl w:val="0"/>
          <w:numId w:val="16"/>
        </w:numPr>
        <w:rPr>
          <w:rFonts w:ascii="Times New Roman" w:cs="Times New Roman" w:eastAsia="Times New Roman" w:hAnsi="Times New Roman"/>
          <w:sz w:val="20"/>
          <w:szCs w:val="20"/>
          <w:color w:val="auto"/>
        </w:rPr>
      </w:pPr>
      <w:r>
        <w:rPr>
          <w:rFonts w:ascii="Arial" w:cs="Arial" w:eastAsia="Arial" w:hAnsi="Arial"/>
          <w:sz w:val="18"/>
          <w:szCs w:val="18"/>
          <w:color w:val="auto"/>
        </w:rPr>
        <w:t>We recently announced a strategic partnership with Plaid, a leading financial data network, to deliver the next generation of the UltraFICO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Score, which utilizes cash flow data to provide additional information for lending decisions. This innovative solution will combine the proven reliability of the FICO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Score with real time cash-flow data from Plaid to provide lenders with a single, enhanced credit score that improves consumer risk assessment and minimizes operational complexity.</w:t>
      </w:r>
    </w:p>
    <w:p>
      <w:pPr>
        <w:spacing w:after="0" w:line="183" w:lineRule="exact"/>
        <w:rPr>
          <w:rFonts w:ascii="Times New Roman" w:cs="Times New Roman" w:eastAsia="Times New Roman" w:hAnsi="Times New Roman"/>
          <w:sz w:val="20"/>
          <w:szCs w:val="20"/>
          <w:color w:val="auto"/>
        </w:rPr>
      </w:pPr>
    </w:p>
    <w:p>
      <w:pPr>
        <w:jc w:val="both"/>
        <w:ind w:left="1540" w:right="20" w:hanging="331"/>
        <w:spacing w:after="0" w:line="191" w:lineRule="auto"/>
        <w:tabs>
          <w:tab w:leader="none" w:pos="1540" w:val="left"/>
        </w:tabs>
        <w:numPr>
          <w:ilvl w:val="0"/>
          <w:numId w:val="16"/>
        </w:numPr>
        <w:rPr>
          <w:rFonts w:ascii="Times New Roman" w:cs="Times New Roman" w:eastAsia="Times New Roman" w:hAnsi="Times New Roman"/>
          <w:sz w:val="20"/>
          <w:szCs w:val="20"/>
          <w:color w:val="auto"/>
        </w:rPr>
      </w:pPr>
      <w:r>
        <w:rPr>
          <w:rFonts w:ascii="Arial" w:cs="Arial" w:eastAsia="Arial" w:hAnsi="Arial"/>
          <w:sz w:val="18"/>
          <w:szCs w:val="18"/>
          <w:color w:val="auto"/>
        </w:rPr>
        <w:t>FICO remains committed to improving financial literacy. We do this in a variety of ways, including free access to FICO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Scores and credit education through our myFICO.com website and through our FICO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Score Open Access program with over 200 leading financial institutions.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Software Business Highlights During Fiscal 2025:</w:t>
      </w:r>
    </w:p>
    <w:p>
      <w:pPr>
        <w:spacing w:after="0" w:line="212" w:lineRule="exact"/>
        <w:rPr>
          <w:sz w:val="20"/>
          <w:szCs w:val="20"/>
          <w:color w:val="auto"/>
        </w:rPr>
      </w:pPr>
    </w:p>
    <w:p>
      <w:pPr>
        <w:jc w:val="both"/>
        <w:ind w:left="1540" w:right="20" w:hanging="331"/>
        <w:spacing w:after="0" w:line="216" w:lineRule="auto"/>
        <w:tabs>
          <w:tab w:leader="none" w:pos="1540" w:val="left"/>
        </w:tabs>
        <w:numPr>
          <w:ilvl w:val="0"/>
          <w:numId w:val="17"/>
        </w:numPr>
        <w:rPr>
          <w:rFonts w:ascii="Times New Roman" w:cs="Times New Roman" w:eastAsia="Times New Roman" w:hAnsi="Times New Roman"/>
          <w:sz w:val="20"/>
          <w:szCs w:val="20"/>
          <w:color w:val="auto"/>
        </w:rPr>
      </w:pPr>
      <w:r>
        <w:rPr>
          <w:rFonts w:ascii="Arial" w:cs="Arial" w:eastAsia="Arial" w:hAnsi="Arial"/>
          <w:sz w:val="18"/>
          <w:szCs w:val="18"/>
          <w:color w:val="auto"/>
        </w:rPr>
        <w:t>We continued to see strong demand for FICO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Platform through our “land and expand” strategy, which includes follow-on sales to existing FICO Platform customers and more sales to medium-sized businesses typically served through value-added resellers and systems integrators.</w:t>
      </w:r>
    </w:p>
    <w:p>
      <w:pPr>
        <w:spacing w:after="0" w:line="181" w:lineRule="exact"/>
        <w:rPr>
          <w:rFonts w:ascii="Times New Roman" w:cs="Times New Roman" w:eastAsia="Times New Roman" w:hAnsi="Times New Roman"/>
          <w:sz w:val="20"/>
          <w:szCs w:val="20"/>
          <w:color w:val="auto"/>
        </w:rPr>
      </w:pPr>
    </w:p>
    <w:p>
      <w:pPr>
        <w:jc w:val="both"/>
        <w:ind w:left="1540" w:right="20" w:hanging="331"/>
        <w:spacing w:after="0" w:line="206" w:lineRule="auto"/>
        <w:tabs>
          <w:tab w:leader="none" w:pos="1540" w:val="left"/>
        </w:tabs>
        <w:numPr>
          <w:ilvl w:val="0"/>
          <w:numId w:val="17"/>
        </w:numPr>
        <w:rPr>
          <w:rFonts w:ascii="Times New Roman" w:cs="Times New Roman" w:eastAsia="Times New Roman" w:hAnsi="Times New Roman"/>
          <w:sz w:val="20"/>
          <w:szCs w:val="20"/>
          <w:color w:val="auto"/>
        </w:rPr>
      </w:pPr>
      <w:r>
        <w:rPr>
          <w:rFonts w:ascii="Arial" w:cs="Arial" w:eastAsia="Arial" w:hAnsi="Arial"/>
          <w:sz w:val="18"/>
          <w:szCs w:val="18"/>
          <w:color w:val="auto"/>
        </w:rPr>
        <w:t>In May, we hosted a four-day FICO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World event at which we brought together industry professionals from around the world to connect, share best practices, and learn how FICO enables organizations to power customer connections at scale. Participants collaborated on how FICO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Platform can help make real-time decisions at scale and optimize interactions with consumers. On the mainstage, we unveiled innovations, provided demos, and spotlighted advancements that we believe will shape the future of decisioning and enterprise AI.</w:t>
      </w:r>
    </w:p>
    <w:p>
      <w:pPr>
        <w:spacing w:after="0" w:line="182" w:lineRule="exact"/>
        <w:rPr>
          <w:rFonts w:ascii="Times New Roman" w:cs="Times New Roman" w:eastAsia="Times New Roman" w:hAnsi="Times New Roman"/>
          <w:sz w:val="20"/>
          <w:szCs w:val="20"/>
          <w:color w:val="auto"/>
        </w:rPr>
      </w:pPr>
    </w:p>
    <w:p>
      <w:pPr>
        <w:jc w:val="both"/>
        <w:ind w:left="1540" w:hanging="331"/>
        <w:spacing w:after="0" w:line="191" w:lineRule="auto"/>
        <w:tabs>
          <w:tab w:leader="none" w:pos="1540" w:val="left"/>
        </w:tabs>
        <w:numPr>
          <w:ilvl w:val="0"/>
          <w:numId w:val="17"/>
        </w:numPr>
        <w:rPr>
          <w:rFonts w:ascii="Times New Roman" w:cs="Times New Roman" w:eastAsia="Times New Roman" w:hAnsi="Times New Roman"/>
          <w:sz w:val="20"/>
          <w:szCs w:val="20"/>
          <w:color w:val="auto"/>
        </w:rPr>
      </w:pPr>
      <w:r>
        <w:rPr>
          <w:rFonts w:ascii="Arial" w:cs="Arial" w:eastAsia="Arial" w:hAnsi="Arial"/>
          <w:sz w:val="18"/>
          <w:szCs w:val="18"/>
          <w:color w:val="auto"/>
        </w:rPr>
        <w:t>On the AI front, we launched the general availability of the FICO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Focused Foundation Model, the FICO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Focused Language Model, and the FICO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Focused Sequence Model, built for financial services and designed to reduce hallucinations and increase accuracy over conventional Generative AI models.</w:t>
      </w:r>
    </w:p>
    <w:p>
      <w:pPr>
        <w:spacing w:after="0" w:line="182" w:lineRule="exact"/>
        <w:rPr>
          <w:rFonts w:ascii="Times New Roman" w:cs="Times New Roman" w:eastAsia="Times New Roman" w:hAnsi="Times New Roman"/>
          <w:sz w:val="20"/>
          <w:szCs w:val="20"/>
          <w:color w:val="auto"/>
        </w:rPr>
      </w:pPr>
    </w:p>
    <w:p>
      <w:pPr>
        <w:jc w:val="both"/>
        <w:ind w:left="1540" w:hanging="331"/>
        <w:spacing w:after="0" w:line="215" w:lineRule="auto"/>
        <w:tabs>
          <w:tab w:leader="none" w:pos="1540" w:val="left"/>
        </w:tabs>
        <w:numPr>
          <w:ilvl w:val="0"/>
          <w:numId w:val="17"/>
        </w:numPr>
        <w:rPr>
          <w:rFonts w:ascii="Times New Roman" w:cs="Times New Roman" w:eastAsia="Times New Roman" w:hAnsi="Times New Roman"/>
          <w:sz w:val="20"/>
          <w:szCs w:val="20"/>
          <w:color w:val="auto"/>
        </w:rPr>
      </w:pPr>
      <w:r>
        <w:rPr>
          <w:rFonts w:ascii="Arial" w:cs="Arial" w:eastAsia="Arial" w:hAnsi="Arial"/>
          <w:sz w:val="18"/>
          <w:szCs w:val="18"/>
          <w:color w:val="auto"/>
        </w:rPr>
        <w:t>We signed a new strategic collaboration agreement with Amazon Web Services (“AWS”). Under the new agreement, FICO and AWS will amplify their work to bring more organizations worldwide the power of AI-driven, automated decision workflows with FICO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Platform, and FICO will broaden its participation in AWS partner programs to accelerate client adoption of FICO Platform.</w:t>
      </w:r>
    </w:p>
    <w:p>
      <w:pPr>
        <w:spacing w:after="0" w:line="181" w:lineRule="exact"/>
        <w:rPr>
          <w:rFonts w:ascii="Times New Roman" w:cs="Times New Roman" w:eastAsia="Times New Roman" w:hAnsi="Times New Roman"/>
          <w:sz w:val="20"/>
          <w:szCs w:val="20"/>
          <w:color w:val="auto"/>
        </w:rPr>
      </w:pPr>
    </w:p>
    <w:p>
      <w:pPr>
        <w:jc w:val="both"/>
        <w:ind w:left="1540" w:hanging="331"/>
        <w:spacing w:after="0" w:line="239" w:lineRule="auto"/>
        <w:tabs>
          <w:tab w:leader="none" w:pos="1540" w:val="left"/>
        </w:tabs>
        <w:numPr>
          <w:ilvl w:val="0"/>
          <w:numId w:val="17"/>
        </w:numPr>
        <w:rPr>
          <w:rFonts w:ascii="Times New Roman" w:cs="Times New Roman" w:eastAsia="Times New Roman" w:hAnsi="Times New Roman"/>
          <w:sz w:val="20"/>
          <w:szCs w:val="20"/>
          <w:color w:val="auto"/>
        </w:rPr>
      </w:pPr>
      <w:r>
        <w:rPr>
          <w:rFonts w:ascii="Arial" w:cs="Arial" w:eastAsia="Arial" w:hAnsi="Arial"/>
          <w:sz w:val="18"/>
          <w:szCs w:val="18"/>
          <w:color w:val="auto"/>
        </w:rPr>
        <w:t>We were granted more patents this year and as of September 30, 2025 held 230 U.S. and foreign patents and had nearly 80 patents pending. Many of these issued and pending patents relate to advancing responsible AI, machine learning, and applied intelligence technology.</w:t>
      </w:r>
    </w:p>
    <w:p>
      <w:pPr>
        <w:spacing w:after="0" w:line="182" w:lineRule="exact"/>
        <w:rPr>
          <w:rFonts w:ascii="Times New Roman" w:cs="Times New Roman" w:eastAsia="Times New Roman" w:hAnsi="Times New Roman"/>
          <w:sz w:val="20"/>
          <w:szCs w:val="20"/>
          <w:color w:val="auto"/>
        </w:rPr>
      </w:pPr>
    </w:p>
    <w:p>
      <w:pPr>
        <w:ind w:left="1540" w:hanging="331"/>
        <w:spacing w:after="0"/>
        <w:tabs>
          <w:tab w:leader="none" w:pos="1540" w:val="left"/>
        </w:tabs>
        <w:numPr>
          <w:ilvl w:val="0"/>
          <w:numId w:val="17"/>
        </w:numPr>
        <w:rPr>
          <w:rFonts w:ascii="Times New Roman" w:cs="Times New Roman" w:eastAsia="Times New Roman" w:hAnsi="Times New Roman"/>
          <w:sz w:val="20"/>
          <w:szCs w:val="20"/>
          <w:color w:val="auto"/>
        </w:rPr>
      </w:pPr>
      <w:r>
        <w:rPr>
          <w:rFonts w:ascii="Arial" w:cs="Arial" w:eastAsia="Arial" w:hAnsi="Arial"/>
          <w:sz w:val="18"/>
          <w:szCs w:val="18"/>
          <w:color w:val="auto"/>
        </w:rPr>
        <w:t>We continued to see positive industry recognition for our Software Business this year:</w:t>
      </w:r>
    </w:p>
    <w:p>
      <w:pPr>
        <w:spacing w:after="0" w:line="17" w:lineRule="exact"/>
        <w:rPr>
          <w:rFonts w:ascii="Times New Roman" w:cs="Times New Roman" w:eastAsia="Times New Roman" w:hAnsi="Times New Roman"/>
          <w:sz w:val="20"/>
          <w:szCs w:val="20"/>
          <w:color w:val="auto"/>
        </w:rPr>
      </w:pPr>
    </w:p>
    <w:p>
      <w:pPr>
        <w:ind w:left="2300" w:hanging="321"/>
        <w:spacing w:after="0" w:line="183" w:lineRule="auto"/>
        <w:tabs>
          <w:tab w:leader="none" w:pos="2300" w:val="left"/>
        </w:tabs>
        <w:numPr>
          <w:ilvl w:val="1"/>
          <w:numId w:val="17"/>
        </w:numPr>
        <w:rPr>
          <w:rFonts w:ascii="Arial" w:cs="Arial" w:eastAsia="Arial" w:hAnsi="Arial"/>
          <w:sz w:val="15"/>
          <w:szCs w:val="15"/>
          <w:color w:val="auto"/>
        </w:rPr>
      </w:pPr>
      <w:r>
        <w:rPr>
          <w:rFonts w:ascii="Arial" w:cs="Arial" w:eastAsia="Arial" w:hAnsi="Arial"/>
          <w:sz w:val="16"/>
          <w:szCs w:val="16"/>
          <w:color w:val="auto"/>
        </w:rPr>
        <w:t>FICO</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Platform named as a Leader in AI Decisioning Platforms for the fourth time by Forrester Research</w:t>
      </w:r>
    </w:p>
    <w:p>
      <w:pPr>
        <w:ind w:left="2300" w:hanging="321"/>
        <w:spacing w:after="0" w:line="234" w:lineRule="auto"/>
        <w:tabs>
          <w:tab w:leader="none" w:pos="2300" w:val="left"/>
        </w:tabs>
        <w:numPr>
          <w:ilvl w:val="1"/>
          <w:numId w:val="17"/>
        </w:numPr>
        <w:rPr>
          <w:rFonts w:ascii="Arial" w:cs="Arial" w:eastAsia="Arial" w:hAnsi="Arial"/>
          <w:sz w:val="17"/>
          <w:szCs w:val="17"/>
          <w:color w:val="auto"/>
        </w:rPr>
      </w:pPr>
      <w:r>
        <w:rPr>
          <w:rFonts w:ascii="Arial" w:cs="Arial" w:eastAsia="Arial" w:hAnsi="Arial"/>
          <w:sz w:val="18"/>
          <w:szCs w:val="18"/>
          <w:color w:val="auto"/>
        </w:rPr>
        <w:t>Awarded “Best Anti-Fraud Solution” at the Credit &amp; Collections Technology Awards</w:t>
      </w:r>
    </w:p>
    <w:p>
      <w:pPr>
        <w:ind w:left="2300" w:hanging="321"/>
        <w:spacing w:after="0" w:line="234" w:lineRule="auto"/>
        <w:tabs>
          <w:tab w:leader="none" w:pos="2300" w:val="left"/>
        </w:tabs>
        <w:numPr>
          <w:ilvl w:val="1"/>
          <w:numId w:val="17"/>
        </w:numPr>
        <w:rPr>
          <w:rFonts w:ascii="Arial" w:cs="Arial" w:eastAsia="Arial" w:hAnsi="Arial"/>
          <w:sz w:val="17"/>
          <w:szCs w:val="17"/>
          <w:color w:val="auto"/>
        </w:rPr>
      </w:pPr>
      <w:r>
        <w:rPr>
          <w:rFonts w:ascii="Arial" w:cs="Arial" w:eastAsia="Arial" w:hAnsi="Arial"/>
          <w:sz w:val="18"/>
          <w:szCs w:val="18"/>
          <w:color w:val="auto"/>
        </w:rPr>
        <w:t>Awarded “Tech of the Future – Blockchain and Tokenisation” award at the Banking Tech Awards</w:t>
      </w:r>
    </w:p>
    <w:p>
      <w:pPr>
        <w:ind w:left="2300" w:hanging="321"/>
        <w:spacing w:after="0" w:line="234" w:lineRule="auto"/>
        <w:tabs>
          <w:tab w:leader="none" w:pos="2300" w:val="left"/>
        </w:tabs>
        <w:numPr>
          <w:ilvl w:val="1"/>
          <w:numId w:val="17"/>
        </w:numPr>
        <w:rPr>
          <w:rFonts w:ascii="Arial" w:cs="Arial" w:eastAsia="Arial" w:hAnsi="Arial"/>
          <w:sz w:val="17"/>
          <w:szCs w:val="17"/>
          <w:color w:val="auto"/>
        </w:rPr>
      </w:pPr>
      <w:r>
        <w:rPr>
          <w:rFonts w:ascii="Arial" w:cs="Arial" w:eastAsia="Arial" w:hAnsi="Arial"/>
          <w:sz w:val="18"/>
          <w:szCs w:val="18"/>
          <w:color w:val="auto"/>
        </w:rPr>
        <w:t>Won a Software category transformative product award at the BIG Innovation Awards</w:t>
      </w:r>
    </w:p>
    <w:p>
      <w:pPr>
        <w:ind w:left="2300" w:right="20" w:hanging="321"/>
        <w:spacing w:after="0" w:line="250" w:lineRule="auto"/>
        <w:tabs>
          <w:tab w:leader="none" w:pos="2300" w:val="left"/>
        </w:tabs>
        <w:numPr>
          <w:ilvl w:val="1"/>
          <w:numId w:val="17"/>
        </w:numPr>
        <w:rPr>
          <w:rFonts w:ascii="Arial" w:cs="Arial" w:eastAsia="Arial" w:hAnsi="Arial"/>
          <w:sz w:val="17"/>
          <w:szCs w:val="17"/>
          <w:color w:val="auto"/>
        </w:rPr>
      </w:pPr>
      <w:r>
        <w:rPr>
          <w:rFonts w:ascii="Arial" w:cs="Arial" w:eastAsia="Arial" w:hAnsi="Arial"/>
          <w:sz w:val="18"/>
          <w:szCs w:val="18"/>
          <w:color w:val="auto"/>
        </w:rPr>
        <w:t>Named category leader for enterprise fraud solutions for the fifth time in a row in Chartis’ Enterprise and Payment Fraud Solutions 2025</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4</w:t>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640" w:type="dxa"/>
            <w:vAlign w:val="bottom"/>
            <w:shd w:val="clear" w:color="auto" w:fill="F2F2F2"/>
          </w:tcPr>
          <w:p>
            <w:pPr>
              <w:spacing w:after="0"/>
              <w:rPr>
                <w:sz w:val="24"/>
                <w:szCs w:val="24"/>
                <w:color w:val="auto"/>
              </w:rPr>
            </w:pPr>
          </w:p>
        </w:tc>
        <w:tc>
          <w:tcPr>
            <w:tcW w:w="820" w:type="dxa"/>
            <w:vAlign w:val="bottom"/>
            <w:shd w:val="clear" w:color="auto" w:fill="F2F2F2"/>
          </w:tcPr>
          <w:p>
            <w:pPr>
              <w:spacing w:after="0"/>
              <w:rPr>
                <w:sz w:val="20"/>
                <w:szCs w:val="20"/>
                <w:color w:val="auto"/>
              </w:rPr>
            </w:pPr>
            <w:r>
              <w:rPr>
                <w:rFonts w:ascii="Arial" w:cs="Arial" w:eastAsia="Arial" w:hAnsi="Arial"/>
                <w:sz w:val="18"/>
                <w:szCs w:val="18"/>
                <w:b w:val="1"/>
                <w:bCs w:val="1"/>
                <w:color w:val="376DB5"/>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32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5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Stock</w:t>
            </w:r>
          </w:p>
        </w:tc>
        <w:tc>
          <w:tcPr>
            <w:tcW w:w="15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Other</w:t>
            </w:r>
          </w:p>
        </w:tc>
      </w:tr>
      <w:tr>
        <w:trPr>
          <w:trHeight w:val="203"/>
        </w:trPr>
        <w:tc>
          <w:tcPr>
            <w:tcW w:w="64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line="202" w:lineRule="exact"/>
              <w:rPr>
                <w:sz w:val="20"/>
                <w:szCs w:val="20"/>
                <w:color w:val="auto"/>
              </w:rPr>
            </w:pPr>
            <w:r>
              <w:rPr>
                <w:rFonts w:ascii="Arial" w:cs="Arial" w:eastAsia="Arial" w:hAnsi="Arial"/>
                <w:sz w:val="18"/>
                <w:szCs w:val="18"/>
                <w:b w:val="1"/>
                <w:bCs w:val="1"/>
                <w:color w:val="376DB5"/>
                <w:w w:val="97"/>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32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5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Ownership</w:t>
            </w:r>
          </w:p>
        </w:tc>
        <w:tc>
          <w:tcPr>
            <w:tcW w:w="15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640" w:type="dxa"/>
            <w:vAlign w:val="bottom"/>
            <w:tcBorders>
              <w:bottom w:val="single" w:sz="8" w:color="F2F2F2"/>
            </w:tcBorders>
            <w:shd w:val="clear" w:color="auto" w:fill="F2F2F2"/>
          </w:tcPr>
          <w:p>
            <w:pPr>
              <w:spacing w:after="0"/>
              <w:rPr>
                <w:sz w:val="16"/>
                <w:szCs w:val="16"/>
                <w:color w:val="auto"/>
              </w:rPr>
            </w:pPr>
          </w:p>
        </w:tc>
        <w:tc>
          <w:tcPr>
            <w:tcW w:w="820" w:type="dxa"/>
            <w:vAlign w:val="bottom"/>
            <w:tcBorders>
              <w:bottom w:val="single" w:sz="8" w:color="376DB5"/>
            </w:tcBorders>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000" w:type="dxa"/>
            <w:vAlign w:val="bottom"/>
            <w:tcBorders>
              <w:bottom w:val="single" w:sz="8" w:color="F2F2F2"/>
            </w:tcBorders>
            <w:shd w:val="clear" w:color="auto" w:fill="F2F2F2"/>
          </w:tcPr>
          <w:p>
            <w:pPr>
              <w:spacing w:after="0"/>
              <w:rPr>
                <w:sz w:val="16"/>
                <w:szCs w:val="16"/>
                <w:color w:val="auto"/>
              </w:rPr>
            </w:pPr>
          </w:p>
        </w:tc>
        <w:tc>
          <w:tcPr>
            <w:tcW w:w="1320" w:type="dxa"/>
            <w:vAlign w:val="bottom"/>
            <w:tcBorders>
              <w:bottom w:val="single" w:sz="8" w:color="F2F2F2"/>
            </w:tcBorders>
            <w:shd w:val="clear" w:color="auto" w:fill="F2F2F2"/>
          </w:tcPr>
          <w:p>
            <w:pPr>
              <w:spacing w:after="0"/>
              <w:rPr>
                <w:sz w:val="16"/>
                <w:szCs w:val="16"/>
                <w:color w:val="auto"/>
              </w:rPr>
            </w:pPr>
          </w:p>
        </w:tc>
        <w:tc>
          <w:tcPr>
            <w:tcW w:w="1500" w:type="dxa"/>
            <w:vAlign w:val="bottom"/>
            <w:tcBorders>
              <w:bottom w:val="single" w:sz="8" w:color="F2F2F2"/>
            </w:tcBorders>
            <w:shd w:val="clear" w:color="auto" w:fill="F2F2F2"/>
          </w:tcPr>
          <w:p>
            <w:pPr>
              <w:spacing w:after="0"/>
              <w:rPr>
                <w:sz w:val="16"/>
                <w:szCs w:val="16"/>
                <w:color w:val="auto"/>
              </w:rPr>
            </w:pPr>
          </w:p>
        </w:tc>
        <w:tc>
          <w:tcPr>
            <w:tcW w:w="1660" w:type="dxa"/>
            <w:vAlign w:val="bottom"/>
            <w:tcBorders>
              <w:bottom w:val="single" w:sz="8" w:color="F2F2F2"/>
            </w:tcBorders>
            <w:shd w:val="clear" w:color="auto" w:fill="F2F2F2"/>
          </w:tcPr>
          <w:p>
            <w:pPr>
              <w:spacing w:after="0"/>
              <w:rPr>
                <w:sz w:val="16"/>
                <w:szCs w:val="16"/>
                <w:color w:val="auto"/>
              </w:rPr>
            </w:pPr>
          </w:p>
        </w:tc>
        <w:tc>
          <w:tcPr>
            <w:tcW w:w="1380" w:type="dxa"/>
            <w:vAlign w:val="bottom"/>
            <w:tcBorders>
              <w:bottom w:val="single" w:sz="8" w:color="F2F2F2"/>
            </w:tcBorders>
            <w:shd w:val="clear" w:color="auto" w:fill="F2F2F2"/>
          </w:tcPr>
          <w:p>
            <w:pPr>
              <w:spacing w:after="0"/>
              <w:rPr>
                <w:sz w:val="16"/>
                <w:szCs w:val="16"/>
                <w:color w:val="auto"/>
              </w:rPr>
            </w:pPr>
          </w:p>
        </w:tc>
        <w:tc>
          <w:tcPr>
            <w:tcW w:w="1200" w:type="dxa"/>
            <w:vAlign w:val="bottom"/>
            <w:tcBorders>
              <w:bottom w:val="single" w:sz="8" w:color="F2F2F2"/>
            </w:tcBorders>
            <w:shd w:val="clear" w:color="auto" w:fill="F2F2F2"/>
          </w:tcPr>
          <w:p>
            <w:pPr>
              <w:spacing w:after="0"/>
              <w:rPr>
                <w:sz w:val="16"/>
                <w:szCs w:val="16"/>
                <w:color w:val="auto"/>
              </w:rPr>
            </w:pPr>
          </w:p>
        </w:tc>
        <w:tc>
          <w:tcPr>
            <w:tcW w:w="1500" w:type="dxa"/>
            <w:vAlign w:val="bottom"/>
            <w:tcBorders>
              <w:bottom w:val="single" w:sz="8" w:color="F2F2F2"/>
            </w:tcBorders>
            <w:shd w:val="clear" w:color="auto" w:fill="F2F2F2"/>
          </w:tcPr>
          <w:p>
            <w:pPr>
              <w:spacing w:after="0"/>
              <w:rPr>
                <w:sz w:val="16"/>
                <w:szCs w:val="16"/>
                <w:color w:val="auto"/>
              </w:rPr>
            </w:pPr>
          </w:p>
        </w:tc>
      </w:tr>
      <w:tr>
        <w:trPr>
          <w:trHeight w:val="34"/>
        </w:trPr>
        <w:tc>
          <w:tcPr>
            <w:tcW w:w="640" w:type="dxa"/>
            <w:vAlign w:val="bottom"/>
            <w:shd w:val="clear" w:color="auto" w:fill="F2F2F2"/>
          </w:tcPr>
          <w:p>
            <w:pPr>
              <w:spacing w:after="0"/>
              <w:rPr>
                <w:sz w:val="2"/>
                <w:szCs w:val="2"/>
                <w:color w:val="auto"/>
              </w:rPr>
            </w:pPr>
          </w:p>
        </w:tc>
        <w:tc>
          <w:tcPr>
            <w:tcW w:w="820" w:type="dxa"/>
            <w:vAlign w:val="bottom"/>
            <w:shd w:val="clear" w:color="auto" w:fill="F2F2F2"/>
          </w:tcPr>
          <w:p>
            <w:pPr>
              <w:spacing w:after="0"/>
              <w:rPr>
                <w:sz w:val="2"/>
                <w:szCs w:val="2"/>
                <w:color w:val="auto"/>
              </w:rPr>
            </w:pPr>
          </w:p>
        </w:tc>
        <w:tc>
          <w:tcPr>
            <w:tcW w:w="1000" w:type="dxa"/>
            <w:vAlign w:val="bottom"/>
            <w:shd w:val="clear" w:color="auto" w:fill="F2F2F2"/>
          </w:tcPr>
          <w:p>
            <w:pPr>
              <w:spacing w:after="0"/>
              <w:rPr>
                <w:sz w:val="2"/>
                <w:szCs w:val="2"/>
                <w:color w:val="auto"/>
              </w:rPr>
            </w:pPr>
          </w:p>
        </w:tc>
        <w:tc>
          <w:tcPr>
            <w:tcW w:w="1320" w:type="dxa"/>
            <w:vAlign w:val="bottom"/>
            <w:shd w:val="clear" w:color="auto" w:fill="F2F2F2"/>
          </w:tcPr>
          <w:p>
            <w:pPr>
              <w:spacing w:after="0"/>
              <w:rPr>
                <w:sz w:val="2"/>
                <w:szCs w:val="2"/>
                <w:color w:val="auto"/>
              </w:rPr>
            </w:pPr>
          </w:p>
        </w:tc>
        <w:tc>
          <w:tcPr>
            <w:tcW w:w="1500" w:type="dxa"/>
            <w:vAlign w:val="bottom"/>
            <w:shd w:val="clear" w:color="auto" w:fill="F2F2F2"/>
          </w:tcPr>
          <w:p>
            <w:pPr>
              <w:spacing w:after="0"/>
              <w:rPr>
                <w:sz w:val="2"/>
                <w:szCs w:val="2"/>
                <w:color w:val="auto"/>
              </w:rPr>
            </w:pPr>
          </w:p>
        </w:tc>
        <w:tc>
          <w:tcPr>
            <w:tcW w:w="1660" w:type="dxa"/>
            <w:vAlign w:val="bottom"/>
            <w:shd w:val="clear" w:color="auto" w:fill="F2F2F2"/>
          </w:tcPr>
          <w:p>
            <w:pPr>
              <w:spacing w:after="0"/>
              <w:rPr>
                <w:sz w:val="2"/>
                <w:szCs w:val="2"/>
                <w:color w:val="auto"/>
              </w:rPr>
            </w:pPr>
          </w:p>
        </w:tc>
        <w:tc>
          <w:tcPr>
            <w:tcW w:w="1380" w:type="dxa"/>
            <w:vAlign w:val="bottom"/>
            <w:shd w:val="clear" w:color="auto" w:fill="F2F2F2"/>
          </w:tcPr>
          <w:p>
            <w:pPr>
              <w:spacing w:after="0"/>
              <w:rPr>
                <w:sz w:val="2"/>
                <w:szCs w:val="2"/>
                <w:color w:val="auto"/>
              </w:rPr>
            </w:pPr>
          </w:p>
        </w:tc>
        <w:tc>
          <w:tcPr>
            <w:tcW w:w="1200" w:type="dxa"/>
            <w:vAlign w:val="bottom"/>
            <w:shd w:val="clear" w:color="auto" w:fill="F2F2F2"/>
          </w:tcPr>
          <w:p>
            <w:pPr>
              <w:spacing w:after="0"/>
              <w:rPr>
                <w:sz w:val="2"/>
                <w:szCs w:val="2"/>
                <w:color w:val="auto"/>
              </w:rPr>
            </w:pPr>
          </w:p>
        </w:tc>
        <w:tc>
          <w:tcPr>
            <w:tcW w:w="1500" w:type="dxa"/>
            <w:vAlign w:val="bottom"/>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175895</wp:posOffset>
            </wp:positionV>
            <wp:extent cx="5143500" cy="33686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right="20" w:hanging="4"/>
        <w:spacing w:after="0" w:line="252" w:lineRule="auto"/>
        <w:tabs>
          <w:tab w:leader="none" w:pos="336"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Adjusted EBITDA is a non-GAAP financial measure and is defined as GAAP net income, adjusted for: interest expense, net; provision for income taxes; other expense (income), net; amortization of intangible assets; depreciation; share-based compensation expense; and restructuring charges, as further adjusted for any impact on revenues related to acquisitions, divestitures or other events deemed by the Leadership Development and Compensation Committee to have been out of management’s control or that may not be indicative of recurring business results and occurring in the measurement year. See </w:t>
      </w:r>
      <w:r>
        <w:rPr>
          <w:rFonts w:ascii="Arial" w:cs="Arial" w:eastAsia="Arial" w:hAnsi="Arial"/>
          <w:sz w:val="14"/>
          <w:szCs w:val="14"/>
          <w:u w:val="single" w:color="auto"/>
          <w:color w:val="auto"/>
        </w:rPr>
        <w:t>Appendix A</w:t>
      </w:r>
      <w:r>
        <w:rPr>
          <w:rFonts w:ascii="Arial" w:cs="Arial" w:eastAsia="Arial" w:hAnsi="Arial"/>
          <w:sz w:val="14"/>
          <w:szCs w:val="14"/>
          <w:color w:val="auto"/>
        </w:rPr>
        <w:t xml:space="preserve"> to this proxy statement for a reconciliation of Adjusted EBITDA to GAAP net income, the most directly comparable GAAP financial measure.</w:t>
      </w:r>
    </w:p>
    <w:p>
      <w:pPr>
        <w:spacing w:after="0" w:line="18" w:lineRule="exact"/>
        <w:rPr>
          <w:rFonts w:ascii="Arial" w:cs="Arial" w:eastAsia="Arial" w:hAnsi="Arial"/>
          <w:sz w:val="14"/>
          <w:szCs w:val="14"/>
          <w:color w:val="auto"/>
        </w:rPr>
      </w:pPr>
    </w:p>
    <w:p>
      <w:pPr>
        <w:ind w:left="120" w:right="360" w:hanging="4"/>
        <w:spacing w:after="0" w:line="281" w:lineRule="auto"/>
        <w:tabs>
          <w:tab w:leader="none" w:pos="336"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Free cash flow is a non-GAAP financial measure and is defined as GAAP net cash provided by operating activities, less capital expenditures. See </w:t>
      </w:r>
      <w:r>
        <w:rPr>
          <w:rFonts w:ascii="Arial" w:cs="Arial" w:eastAsia="Arial" w:hAnsi="Arial"/>
          <w:sz w:val="14"/>
          <w:szCs w:val="14"/>
          <w:u w:val="single" w:color="auto"/>
          <w:color w:val="auto"/>
        </w:rPr>
        <w:t>Appendix A</w:t>
      </w:r>
      <w:r>
        <w:rPr>
          <w:rFonts w:ascii="Arial" w:cs="Arial" w:eastAsia="Arial" w:hAnsi="Arial"/>
          <w:sz w:val="14"/>
          <w:szCs w:val="14"/>
          <w:color w:val="auto"/>
        </w:rPr>
        <w:t xml:space="preserve"> to this proxy statement for a reconciliation of free cash flow to GAAP net cash provided by operating activities, the most directly comparable GAAP financial measure.</w:t>
      </w:r>
    </w:p>
    <w:p>
      <w:pPr>
        <w:spacing w:after="0" w:line="1" w:lineRule="exact"/>
        <w:rPr>
          <w:rFonts w:ascii="Arial" w:cs="Arial" w:eastAsia="Arial" w:hAnsi="Arial"/>
          <w:sz w:val="14"/>
          <w:szCs w:val="14"/>
          <w:color w:val="auto"/>
        </w:rPr>
      </w:pPr>
    </w:p>
    <w:p>
      <w:pPr>
        <w:ind w:left="340" w:hanging="224"/>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30-day Average Closing Price as of FICO’s September 30 fiscal year end.</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5</w:t>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640" w:type="dxa"/>
            <w:vAlign w:val="bottom"/>
            <w:shd w:val="clear" w:color="auto" w:fill="F2F2F2"/>
          </w:tcPr>
          <w:p>
            <w:pPr>
              <w:spacing w:after="0"/>
              <w:rPr>
                <w:sz w:val="24"/>
                <w:szCs w:val="24"/>
                <w:color w:val="auto"/>
              </w:rPr>
            </w:pPr>
          </w:p>
        </w:tc>
        <w:tc>
          <w:tcPr>
            <w:tcW w:w="820" w:type="dxa"/>
            <w:vAlign w:val="bottom"/>
            <w:shd w:val="clear" w:color="auto" w:fill="F2F2F2"/>
          </w:tcPr>
          <w:p>
            <w:pPr>
              <w:spacing w:after="0"/>
              <w:rPr>
                <w:sz w:val="20"/>
                <w:szCs w:val="20"/>
                <w:color w:val="auto"/>
              </w:rPr>
            </w:pPr>
            <w:r>
              <w:rPr>
                <w:rFonts w:ascii="Arial" w:cs="Arial" w:eastAsia="Arial" w:hAnsi="Arial"/>
                <w:sz w:val="18"/>
                <w:szCs w:val="18"/>
                <w:b w:val="1"/>
                <w:bCs w:val="1"/>
                <w:color w:val="376DB5"/>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32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5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Stock</w:t>
            </w:r>
          </w:p>
        </w:tc>
        <w:tc>
          <w:tcPr>
            <w:tcW w:w="15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Other</w:t>
            </w:r>
          </w:p>
        </w:tc>
      </w:tr>
      <w:tr>
        <w:trPr>
          <w:trHeight w:val="203"/>
        </w:trPr>
        <w:tc>
          <w:tcPr>
            <w:tcW w:w="64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line="202" w:lineRule="exact"/>
              <w:rPr>
                <w:sz w:val="20"/>
                <w:szCs w:val="20"/>
                <w:color w:val="auto"/>
              </w:rPr>
            </w:pPr>
            <w:r>
              <w:rPr>
                <w:rFonts w:ascii="Arial" w:cs="Arial" w:eastAsia="Arial" w:hAnsi="Arial"/>
                <w:sz w:val="18"/>
                <w:szCs w:val="18"/>
                <w:b w:val="1"/>
                <w:bCs w:val="1"/>
                <w:color w:val="376DB5"/>
                <w:w w:val="97"/>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32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5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Ownership</w:t>
            </w:r>
          </w:p>
        </w:tc>
        <w:tc>
          <w:tcPr>
            <w:tcW w:w="15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640" w:type="dxa"/>
            <w:vAlign w:val="bottom"/>
            <w:tcBorders>
              <w:bottom w:val="single" w:sz="8" w:color="F2F2F2"/>
            </w:tcBorders>
            <w:shd w:val="clear" w:color="auto" w:fill="F2F2F2"/>
          </w:tcPr>
          <w:p>
            <w:pPr>
              <w:spacing w:after="0"/>
              <w:rPr>
                <w:sz w:val="16"/>
                <w:szCs w:val="16"/>
                <w:color w:val="auto"/>
              </w:rPr>
            </w:pPr>
          </w:p>
        </w:tc>
        <w:tc>
          <w:tcPr>
            <w:tcW w:w="820" w:type="dxa"/>
            <w:vAlign w:val="bottom"/>
            <w:tcBorders>
              <w:bottom w:val="single" w:sz="8" w:color="376DB5"/>
            </w:tcBorders>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000" w:type="dxa"/>
            <w:vAlign w:val="bottom"/>
            <w:tcBorders>
              <w:bottom w:val="single" w:sz="8" w:color="F2F2F2"/>
            </w:tcBorders>
            <w:shd w:val="clear" w:color="auto" w:fill="F2F2F2"/>
          </w:tcPr>
          <w:p>
            <w:pPr>
              <w:spacing w:after="0"/>
              <w:rPr>
                <w:sz w:val="16"/>
                <w:szCs w:val="16"/>
                <w:color w:val="auto"/>
              </w:rPr>
            </w:pPr>
          </w:p>
        </w:tc>
        <w:tc>
          <w:tcPr>
            <w:tcW w:w="1320" w:type="dxa"/>
            <w:vAlign w:val="bottom"/>
            <w:tcBorders>
              <w:bottom w:val="single" w:sz="8" w:color="F2F2F2"/>
            </w:tcBorders>
            <w:shd w:val="clear" w:color="auto" w:fill="F2F2F2"/>
          </w:tcPr>
          <w:p>
            <w:pPr>
              <w:spacing w:after="0"/>
              <w:rPr>
                <w:sz w:val="16"/>
                <w:szCs w:val="16"/>
                <w:color w:val="auto"/>
              </w:rPr>
            </w:pPr>
          </w:p>
        </w:tc>
        <w:tc>
          <w:tcPr>
            <w:tcW w:w="1500" w:type="dxa"/>
            <w:vAlign w:val="bottom"/>
            <w:tcBorders>
              <w:bottom w:val="single" w:sz="8" w:color="F2F2F2"/>
            </w:tcBorders>
            <w:shd w:val="clear" w:color="auto" w:fill="F2F2F2"/>
          </w:tcPr>
          <w:p>
            <w:pPr>
              <w:spacing w:after="0"/>
              <w:rPr>
                <w:sz w:val="16"/>
                <w:szCs w:val="16"/>
                <w:color w:val="auto"/>
              </w:rPr>
            </w:pPr>
          </w:p>
        </w:tc>
        <w:tc>
          <w:tcPr>
            <w:tcW w:w="1660" w:type="dxa"/>
            <w:vAlign w:val="bottom"/>
            <w:tcBorders>
              <w:bottom w:val="single" w:sz="8" w:color="F2F2F2"/>
            </w:tcBorders>
            <w:shd w:val="clear" w:color="auto" w:fill="F2F2F2"/>
          </w:tcPr>
          <w:p>
            <w:pPr>
              <w:spacing w:after="0"/>
              <w:rPr>
                <w:sz w:val="16"/>
                <w:szCs w:val="16"/>
                <w:color w:val="auto"/>
              </w:rPr>
            </w:pPr>
          </w:p>
        </w:tc>
        <w:tc>
          <w:tcPr>
            <w:tcW w:w="1380" w:type="dxa"/>
            <w:vAlign w:val="bottom"/>
            <w:tcBorders>
              <w:bottom w:val="single" w:sz="8" w:color="F2F2F2"/>
            </w:tcBorders>
            <w:shd w:val="clear" w:color="auto" w:fill="F2F2F2"/>
          </w:tcPr>
          <w:p>
            <w:pPr>
              <w:spacing w:after="0"/>
              <w:rPr>
                <w:sz w:val="16"/>
                <w:szCs w:val="16"/>
                <w:color w:val="auto"/>
              </w:rPr>
            </w:pPr>
          </w:p>
        </w:tc>
        <w:tc>
          <w:tcPr>
            <w:tcW w:w="1200" w:type="dxa"/>
            <w:vAlign w:val="bottom"/>
            <w:tcBorders>
              <w:bottom w:val="single" w:sz="8" w:color="F2F2F2"/>
            </w:tcBorders>
            <w:shd w:val="clear" w:color="auto" w:fill="F2F2F2"/>
          </w:tcPr>
          <w:p>
            <w:pPr>
              <w:spacing w:after="0"/>
              <w:rPr>
                <w:sz w:val="16"/>
                <w:szCs w:val="16"/>
                <w:color w:val="auto"/>
              </w:rPr>
            </w:pPr>
          </w:p>
        </w:tc>
        <w:tc>
          <w:tcPr>
            <w:tcW w:w="1500" w:type="dxa"/>
            <w:vAlign w:val="bottom"/>
            <w:tcBorders>
              <w:bottom w:val="single" w:sz="8" w:color="F2F2F2"/>
            </w:tcBorders>
            <w:shd w:val="clear" w:color="auto" w:fill="F2F2F2"/>
          </w:tcPr>
          <w:p>
            <w:pPr>
              <w:spacing w:after="0"/>
              <w:rPr>
                <w:sz w:val="16"/>
                <w:szCs w:val="16"/>
                <w:color w:val="auto"/>
              </w:rPr>
            </w:pPr>
          </w:p>
        </w:tc>
      </w:tr>
      <w:tr>
        <w:trPr>
          <w:trHeight w:val="34"/>
        </w:trPr>
        <w:tc>
          <w:tcPr>
            <w:tcW w:w="640" w:type="dxa"/>
            <w:vAlign w:val="bottom"/>
            <w:shd w:val="clear" w:color="auto" w:fill="F2F2F2"/>
          </w:tcPr>
          <w:p>
            <w:pPr>
              <w:spacing w:after="0"/>
              <w:rPr>
                <w:sz w:val="2"/>
                <w:szCs w:val="2"/>
                <w:color w:val="auto"/>
              </w:rPr>
            </w:pPr>
          </w:p>
        </w:tc>
        <w:tc>
          <w:tcPr>
            <w:tcW w:w="820" w:type="dxa"/>
            <w:vAlign w:val="bottom"/>
            <w:shd w:val="clear" w:color="auto" w:fill="F2F2F2"/>
          </w:tcPr>
          <w:p>
            <w:pPr>
              <w:spacing w:after="0"/>
              <w:rPr>
                <w:sz w:val="2"/>
                <w:szCs w:val="2"/>
                <w:color w:val="auto"/>
              </w:rPr>
            </w:pPr>
          </w:p>
        </w:tc>
        <w:tc>
          <w:tcPr>
            <w:tcW w:w="1000" w:type="dxa"/>
            <w:vAlign w:val="bottom"/>
            <w:shd w:val="clear" w:color="auto" w:fill="F2F2F2"/>
          </w:tcPr>
          <w:p>
            <w:pPr>
              <w:spacing w:after="0"/>
              <w:rPr>
                <w:sz w:val="2"/>
                <w:szCs w:val="2"/>
                <w:color w:val="auto"/>
              </w:rPr>
            </w:pPr>
          </w:p>
        </w:tc>
        <w:tc>
          <w:tcPr>
            <w:tcW w:w="1320" w:type="dxa"/>
            <w:vAlign w:val="bottom"/>
            <w:shd w:val="clear" w:color="auto" w:fill="F2F2F2"/>
          </w:tcPr>
          <w:p>
            <w:pPr>
              <w:spacing w:after="0"/>
              <w:rPr>
                <w:sz w:val="2"/>
                <w:szCs w:val="2"/>
                <w:color w:val="auto"/>
              </w:rPr>
            </w:pPr>
          </w:p>
        </w:tc>
        <w:tc>
          <w:tcPr>
            <w:tcW w:w="1500" w:type="dxa"/>
            <w:vAlign w:val="bottom"/>
            <w:shd w:val="clear" w:color="auto" w:fill="F2F2F2"/>
          </w:tcPr>
          <w:p>
            <w:pPr>
              <w:spacing w:after="0"/>
              <w:rPr>
                <w:sz w:val="2"/>
                <w:szCs w:val="2"/>
                <w:color w:val="auto"/>
              </w:rPr>
            </w:pPr>
          </w:p>
        </w:tc>
        <w:tc>
          <w:tcPr>
            <w:tcW w:w="1660" w:type="dxa"/>
            <w:vAlign w:val="bottom"/>
            <w:shd w:val="clear" w:color="auto" w:fill="F2F2F2"/>
          </w:tcPr>
          <w:p>
            <w:pPr>
              <w:spacing w:after="0"/>
              <w:rPr>
                <w:sz w:val="2"/>
                <w:szCs w:val="2"/>
                <w:color w:val="auto"/>
              </w:rPr>
            </w:pPr>
          </w:p>
        </w:tc>
        <w:tc>
          <w:tcPr>
            <w:tcW w:w="1380" w:type="dxa"/>
            <w:vAlign w:val="bottom"/>
            <w:shd w:val="clear" w:color="auto" w:fill="F2F2F2"/>
          </w:tcPr>
          <w:p>
            <w:pPr>
              <w:spacing w:after="0"/>
              <w:rPr>
                <w:sz w:val="2"/>
                <w:szCs w:val="2"/>
                <w:color w:val="auto"/>
              </w:rPr>
            </w:pPr>
          </w:p>
        </w:tc>
        <w:tc>
          <w:tcPr>
            <w:tcW w:w="1200" w:type="dxa"/>
            <w:vAlign w:val="bottom"/>
            <w:shd w:val="clear" w:color="auto" w:fill="F2F2F2"/>
          </w:tcPr>
          <w:p>
            <w:pPr>
              <w:spacing w:after="0"/>
              <w:rPr>
                <w:sz w:val="2"/>
                <w:szCs w:val="2"/>
                <w:color w:val="auto"/>
              </w:rPr>
            </w:pPr>
          </w:p>
        </w:tc>
        <w:tc>
          <w:tcPr>
            <w:tcW w:w="1500" w:type="dxa"/>
            <w:vAlign w:val="bottom"/>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175895</wp:posOffset>
            </wp:positionV>
            <wp:extent cx="6442075" cy="6484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42075" cy="6484620"/>
                    </a:xfrm>
                    <a:prstGeom prst="rect">
                      <a:avLst/>
                    </a:prstGeom>
                    <a:noFill/>
                  </pic:spPr>
                </pic:pic>
              </a:graphicData>
            </a:graphic>
          </wp:anchor>
        </w:drawing>
      </w:r>
    </w:p>
    <w:p>
      <w:pPr>
        <w:spacing w:after="0" w:line="30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376DB5"/>
        </w:rPr>
        <w:t>Board and Committee Summary</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9"/>
        </w:trPr>
        <w:tc>
          <w:tcPr>
            <w:tcW w:w="8800" w:type="dxa"/>
            <w:vAlign w:val="bottom"/>
          </w:tcPr>
          <w:p>
            <w:pPr>
              <w:ind w:left="180"/>
              <w:spacing w:after="0"/>
              <w:rPr>
                <w:sz w:val="20"/>
                <w:szCs w:val="20"/>
                <w:color w:val="auto"/>
              </w:rPr>
            </w:pPr>
            <w:r>
              <w:rPr>
                <w:rFonts w:ascii="Arial" w:cs="Arial" w:eastAsia="Arial" w:hAnsi="Arial"/>
                <w:sz w:val="18"/>
                <w:szCs w:val="18"/>
                <w:color w:val="auto"/>
              </w:rPr>
              <w:t>Number of Director Nominees</w:t>
            </w:r>
          </w:p>
        </w:tc>
        <w:tc>
          <w:tcPr>
            <w:tcW w:w="1320" w:type="dxa"/>
            <w:vAlign w:val="bottom"/>
          </w:tcPr>
          <w:p>
            <w:pPr>
              <w:jc w:val="center"/>
              <w:ind w:left="10"/>
              <w:spacing w:after="0"/>
              <w:rPr>
                <w:sz w:val="20"/>
                <w:szCs w:val="20"/>
                <w:color w:val="auto"/>
              </w:rPr>
            </w:pPr>
            <w:r>
              <w:rPr>
                <w:rFonts w:ascii="Arial" w:cs="Arial" w:eastAsia="Arial" w:hAnsi="Arial"/>
                <w:sz w:val="18"/>
                <w:szCs w:val="18"/>
                <w:color w:val="376DB5"/>
                <w:w w:val="99"/>
              </w:rPr>
              <w:t>8</w:t>
            </w:r>
          </w:p>
        </w:tc>
      </w:tr>
      <w:tr>
        <w:trPr>
          <w:trHeight w:val="378"/>
        </w:trPr>
        <w:tc>
          <w:tcPr>
            <w:tcW w:w="8800" w:type="dxa"/>
            <w:vAlign w:val="bottom"/>
          </w:tcPr>
          <w:p>
            <w:pPr>
              <w:ind w:left="180"/>
              <w:spacing w:after="0"/>
              <w:rPr>
                <w:sz w:val="20"/>
                <w:szCs w:val="20"/>
                <w:color w:val="auto"/>
              </w:rPr>
            </w:pPr>
            <w:r>
              <w:rPr>
                <w:rFonts w:ascii="Arial" w:cs="Arial" w:eastAsia="Arial" w:hAnsi="Arial"/>
                <w:sz w:val="18"/>
                <w:szCs w:val="18"/>
                <w:color w:val="auto"/>
              </w:rPr>
              <w:t>Number of Independent Director Nominees</w:t>
            </w:r>
          </w:p>
        </w:tc>
        <w:tc>
          <w:tcPr>
            <w:tcW w:w="1320" w:type="dxa"/>
            <w:vAlign w:val="bottom"/>
          </w:tcPr>
          <w:p>
            <w:pPr>
              <w:jc w:val="center"/>
              <w:ind w:left="10"/>
              <w:spacing w:after="0"/>
              <w:rPr>
                <w:sz w:val="20"/>
                <w:szCs w:val="20"/>
                <w:color w:val="auto"/>
              </w:rPr>
            </w:pPr>
            <w:r>
              <w:rPr>
                <w:rFonts w:ascii="Arial" w:cs="Arial" w:eastAsia="Arial" w:hAnsi="Arial"/>
                <w:sz w:val="18"/>
                <w:szCs w:val="18"/>
                <w:color w:val="376DB5"/>
                <w:w w:val="99"/>
              </w:rPr>
              <w:t>7</w:t>
            </w:r>
          </w:p>
        </w:tc>
      </w:tr>
      <w:tr>
        <w:trPr>
          <w:trHeight w:val="378"/>
        </w:trPr>
        <w:tc>
          <w:tcPr>
            <w:tcW w:w="8800" w:type="dxa"/>
            <w:vAlign w:val="bottom"/>
          </w:tcPr>
          <w:p>
            <w:pPr>
              <w:ind w:left="180"/>
              <w:spacing w:after="0"/>
              <w:rPr>
                <w:sz w:val="20"/>
                <w:szCs w:val="20"/>
                <w:color w:val="auto"/>
              </w:rPr>
            </w:pPr>
            <w:r>
              <w:rPr>
                <w:rFonts w:ascii="Arial" w:cs="Arial" w:eastAsia="Arial" w:hAnsi="Arial"/>
                <w:sz w:val="18"/>
                <w:szCs w:val="18"/>
                <w:color w:val="auto"/>
              </w:rPr>
              <w:t>Board Committees Consist Entirely of Independent Directors</w:t>
            </w:r>
          </w:p>
        </w:tc>
        <w:tc>
          <w:tcPr>
            <w:tcW w:w="1320" w:type="dxa"/>
            <w:vAlign w:val="bottom"/>
          </w:tcPr>
          <w:p>
            <w:pPr>
              <w:jc w:val="center"/>
              <w:ind w:left="30"/>
              <w:spacing w:after="0"/>
              <w:rPr>
                <w:sz w:val="20"/>
                <w:szCs w:val="20"/>
                <w:color w:val="auto"/>
              </w:rPr>
            </w:pPr>
            <w:r>
              <w:rPr>
                <w:rFonts w:ascii="Arial" w:cs="Arial" w:eastAsia="Arial" w:hAnsi="Arial"/>
                <w:sz w:val="18"/>
                <w:szCs w:val="18"/>
                <w:color w:val="376DB5"/>
                <w:w w:val="90"/>
              </w:rPr>
              <w:t>Yes</w:t>
            </w:r>
          </w:p>
        </w:tc>
      </w:tr>
      <w:tr>
        <w:trPr>
          <w:trHeight w:val="378"/>
        </w:trPr>
        <w:tc>
          <w:tcPr>
            <w:tcW w:w="8800" w:type="dxa"/>
            <w:vAlign w:val="bottom"/>
          </w:tcPr>
          <w:p>
            <w:pPr>
              <w:ind w:left="180"/>
              <w:spacing w:after="0"/>
              <w:rPr>
                <w:sz w:val="20"/>
                <w:szCs w:val="20"/>
                <w:color w:val="auto"/>
              </w:rPr>
            </w:pPr>
            <w:r>
              <w:rPr>
                <w:rFonts w:ascii="Arial" w:cs="Arial" w:eastAsia="Arial" w:hAnsi="Arial"/>
                <w:sz w:val="18"/>
                <w:szCs w:val="18"/>
                <w:color w:val="auto"/>
              </w:rPr>
              <w:t>All Directors Attended at least 75% of Meetings Held</w:t>
            </w:r>
          </w:p>
        </w:tc>
        <w:tc>
          <w:tcPr>
            <w:tcW w:w="1320" w:type="dxa"/>
            <w:vAlign w:val="bottom"/>
          </w:tcPr>
          <w:p>
            <w:pPr>
              <w:jc w:val="center"/>
              <w:ind w:left="30"/>
              <w:spacing w:after="0"/>
              <w:rPr>
                <w:sz w:val="20"/>
                <w:szCs w:val="20"/>
                <w:color w:val="auto"/>
              </w:rPr>
            </w:pPr>
            <w:r>
              <w:rPr>
                <w:rFonts w:ascii="Arial" w:cs="Arial" w:eastAsia="Arial" w:hAnsi="Arial"/>
                <w:sz w:val="18"/>
                <w:szCs w:val="18"/>
                <w:color w:val="376DB5"/>
                <w:w w:val="90"/>
              </w:rPr>
              <w:t>Yes</w:t>
            </w:r>
          </w:p>
        </w:tc>
      </w:tr>
      <w:tr>
        <w:trPr>
          <w:trHeight w:val="378"/>
        </w:trPr>
        <w:tc>
          <w:tcPr>
            <w:tcW w:w="8800" w:type="dxa"/>
            <w:vAlign w:val="bottom"/>
          </w:tcPr>
          <w:p>
            <w:pPr>
              <w:ind w:left="180"/>
              <w:spacing w:after="0"/>
              <w:rPr>
                <w:sz w:val="20"/>
                <w:szCs w:val="20"/>
                <w:color w:val="auto"/>
              </w:rPr>
            </w:pPr>
            <w:r>
              <w:rPr>
                <w:rFonts w:ascii="Arial" w:cs="Arial" w:eastAsia="Arial" w:hAnsi="Arial"/>
                <w:sz w:val="18"/>
                <w:szCs w:val="18"/>
                <w:color w:val="auto"/>
              </w:rPr>
              <w:t>Annual Election of All Directors</w:t>
            </w:r>
          </w:p>
        </w:tc>
        <w:tc>
          <w:tcPr>
            <w:tcW w:w="1320" w:type="dxa"/>
            <w:vAlign w:val="bottom"/>
          </w:tcPr>
          <w:p>
            <w:pPr>
              <w:jc w:val="center"/>
              <w:ind w:left="30"/>
              <w:spacing w:after="0"/>
              <w:rPr>
                <w:sz w:val="20"/>
                <w:szCs w:val="20"/>
                <w:color w:val="auto"/>
              </w:rPr>
            </w:pPr>
            <w:r>
              <w:rPr>
                <w:rFonts w:ascii="Arial" w:cs="Arial" w:eastAsia="Arial" w:hAnsi="Arial"/>
                <w:sz w:val="18"/>
                <w:szCs w:val="18"/>
                <w:color w:val="376DB5"/>
                <w:w w:val="90"/>
              </w:rPr>
              <w:t>Yes</w:t>
            </w:r>
          </w:p>
        </w:tc>
      </w:tr>
      <w:tr>
        <w:trPr>
          <w:trHeight w:val="378"/>
        </w:trPr>
        <w:tc>
          <w:tcPr>
            <w:tcW w:w="8800" w:type="dxa"/>
            <w:vAlign w:val="bottom"/>
          </w:tcPr>
          <w:p>
            <w:pPr>
              <w:ind w:left="180"/>
              <w:spacing w:after="0"/>
              <w:rPr>
                <w:sz w:val="20"/>
                <w:szCs w:val="20"/>
                <w:color w:val="auto"/>
              </w:rPr>
            </w:pPr>
            <w:r>
              <w:rPr>
                <w:rFonts w:ascii="Arial" w:cs="Arial" w:eastAsia="Arial" w:hAnsi="Arial"/>
                <w:sz w:val="18"/>
                <w:szCs w:val="18"/>
                <w:color w:val="auto"/>
              </w:rPr>
              <w:t>Majority Voting for Directors</w:t>
            </w:r>
          </w:p>
        </w:tc>
        <w:tc>
          <w:tcPr>
            <w:tcW w:w="1320" w:type="dxa"/>
            <w:vAlign w:val="bottom"/>
          </w:tcPr>
          <w:p>
            <w:pPr>
              <w:jc w:val="center"/>
              <w:ind w:left="30"/>
              <w:spacing w:after="0"/>
              <w:rPr>
                <w:sz w:val="20"/>
                <w:szCs w:val="20"/>
                <w:color w:val="auto"/>
              </w:rPr>
            </w:pPr>
            <w:r>
              <w:rPr>
                <w:rFonts w:ascii="Arial" w:cs="Arial" w:eastAsia="Arial" w:hAnsi="Arial"/>
                <w:sz w:val="18"/>
                <w:szCs w:val="18"/>
                <w:color w:val="376DB5"/>
                <w:w w:val="90"/>
              </w:rPr>
              <w:t>Yes</w:t>
            </w:r>
          </w:p>
        </w:tc>
      </w:tr>
      <w:tr>
        <w:trPr>
          <w:trHeight w:val="378"/>
        </w:trPr>
        <w:tc>
          <w:tcPr>
            <w:tcW w:w="8800" w:type="dxa"/>
            <w:vAlign w:val="bottom"/>
          </w:tcPr>
          <w:p>
            <w:pPr>
              <w:ind w:left="180"/>
              <w:spacing w:after="0"/>
              <w:rPr>
                <w:sz w:val="20"/>
                <w:szCs w:val="20"/>
                <w:color w:val="auto"/>
              </w:rPr>
            </w:pPr>
            <w:r>
              <w:rPr>
                <w:rFonts w:ascii="Arial" w:cs="Arial" w:eastAsia="Arial" w:hAnsi="Arial"/>
                <w:sz w:val="18"/>
                <w:szCs w:val="18"/>
                <w:color w:val="auto"/>
              </w:rPr>
              <w:t>Plurality Carveout for Contested Elections</w:t>
            </w:r>
          </w:p>
        </w:tc>
        <w:tc>
          <w:tcPr>
            <w:tcW w:w="1320" w:type="dxa"/>
            <w:vAlign w:val="bottom"/>
          </w:tcPr>
          <w:p>
            <w:pPr>
              <w:jc w:val="center"/>
              <w:ind w:left="30"/>
              <w:spacing w:after="0"/>
              <w:rPr>
                <w:sz w:val="20"/>
                <w:szCs w:val="20"/>
                <w:color w:val="auto"/>
              </w:rPr>
            </w:pPr>
            <w:r>
              <w:rPr>
                <w:rFonts w:ascii="Arial" w:cs="Arial" w:eastAsia="Arial" w:hAnsi="Arial"/>
                <w:sz w:val="18"/>
                <w:szCs w:val="18"/>
                <w:color w:val="376DB5"/>
                <w:w w:val="90"/>
              </w:rPr>
              <w:t>Yes</w:t>
            </w:r>
          </w:p>
        </w:tc>
      </w:tr>
      <w:tr>
        <w:trPr>
          <w:trHeight w:val="378"/>
        </w:trPr>
        <w:tc>
          <w:tcPr>
            <w:tcW w:w="8800" w:type="dxa"/>
            <w:vAlign w:val="bottom"/>
          </w:tcPr>
          <w:p>
            <w:pPr>
              <w:ind w:left="180"/>
              <w:spacing w:after="0"/>
              <w:rPr>
                <w:sz w:val="20"/>
                <w:szCs w:val="20"/>
                <w:color w:val="auto"/>
              </w:rPr>
            </w:pPr>
            <w:r>
              <w:rPr>
                <w:rFonts w:ascii="Arial" w:cs="Arial" w:eastAsia="Arial" w:hAnsi="Arial"/>
                <w:sz w:val="18"/>
                <w:szCs w:val="18"/>
                <w:color w:val="auto"/>
              </w:rPr>
              <w:t>Director Resignation Policy</w:t>
            </w:r>
          </w:p>
        </w:tc>
        <w:tc>
          <w:tcPr>
            <w:tcW w:w="1320" w:type="dxa"/>
            <w:vAlign w:val="bottom"/>
          </w:tcPr>
          <w:p>
            <w:pPr>
              <w:jc w:val="center"/>
              <w:ind w:left="30"/>
              <w:spacing w:after="0"/>
              <w:rPr>
                <w:sz w:val="20"/>
                <w:szCs w:val="20"/>
                <w:color w:val="auto"/>
              </w:rPr>
            </w:pPr>
            <w:r>
              <w:rPr>
                <w:rFonts w:ascii="Arial" w:cs="Arial" w:eastAsia="Arial" w:hAnsi="Arial"/>
                <w:sz w:val="18"/>
                <w:szCs w:val="18"/>
                <w:color w:val="376DB5"/>
                <w:w w:val="90"/>
              </w:rPr>
              <w:t>Yes</w:t>
            </w:r>
          </w:p>
        </w:tc>
      </w:tr>
      <w:tr>
        <w:trPr>
          <w:trHeight w:val="378"/>
        </w:trPr>
        <w:tc>
          <w:tcPr>
            <w:tcW w:w="8800" w:type="dxa"/>
            <w:vAlign w:val="bottom"/>
          </w:tcPr>
          <w:p>
            <w:pPr>
              <w:ind w:left="180"/>
              <w:spacing w:after="0"/>
              <w:rPr>
                <w:sz w:val="20"/>
                <w:szCs w:val="20"/>
                <w:color w:val="auto"/>
              </w:rPr>
            </w:pPr>
            <w:r>
              <w:rPr>
                <w:rFonts w:ascii="Arial" w:cs="Arial" w:eastAsia="Arial" w:hAnsi="Arial"/>
                <w:sz w:val="18"/>
                <w:szCs w:val="18"/>
                <w:color w:val="auto"/>
              </w:rPr>
              <w:t>Separate Chairman and CEO</w:t>
            </w:r>
          </w:p>
        </w:tc>
        <w:tc>
          <w:tcPr>
            <w:tcW w:w="1320" w:type="dxa"/>
            <w:vAlign w:val="bottom"/>
          </w:tcPr>
          <w:p>
            <w:pPr>
              <w:jc w:val="center"/>
              <w:ind w:left="30"/>
              <w:spacing w:after="0"/>
              <w:rPr>
                <w:sz w:val="20"/>
                <w:szCs w:val="20"/>
                <w:color w:val="auto"/>
              </w:rPr>
            </w:pPr>
            <w:r>
              <w:rPr>
                <w:rFonts w:ascii="Arial" w:cs="Arial" w:eastAsia="Arial" w:hAnsi="Arial"/>
                <w:sz w:val="18"/>
                <w:szCs w:val="18"/>
                <w:color w:val="376DB5"/>
                <w:w w:val="90"/>
              </w:rPr>
              <w:t>Yes</w:t>
            </w:r>
          </w:p>
        </w:tc>
      </w:tr>
      <w:tr>
        <w:trPr>
          <w:trHeight w:val="378"/>
        </w:trPr>
        <w:tc>
          <w:tcPr>
            <w:tcW w:w="8800" w:type="dxa"/>
            <w:vAlign w:val="bottom"/>
          </w:tcPr>
          <w:p>
            <w:pPr>
              <w:ind w:left="180"/>
              <w:spacing w:after="0"/>
              <w:rPr>
                <w:sz w:val="20"/>
                <w:szCs w:val="20"/>
                <w:color w:val="auto"/>
              </w:rPr>
            </w:pPr>
            <w:r>
              <w:rPr>
                <w:rFonts w:ascii="Arial" w:cs="Arial" w:eastAsia="Arial" w:hAnsi="Arial"/>
                <w:sz w:val="18"/>
                <w:szCs w:val="18"/>
                <w:color w:val="auto"/>
              </w:rPr>
              <w:t>Chairman is Independent Director</w:t>
            </w:r>
          </w:p>
        </w:tc>
        <w:tc>
          <w:tcPr>
            <w:tcW w:w="1320" w:type="dxa"/>
            <w:vAlign w:val="bottom"/>
          </w:tcPr>
          <w:p>
            <w:pPr>
              <w:jc w:val="center"/>
              <w:ind w:left="30"/>
              <w:spacing w:after="0"/>
              <w:rPr>
                <w:sz w:val="20"/>
                <w:szCs w:val="20"/>
                <w:color w:val="auto"/>
              </w:rPr>
            </w:pPr>
            <w:r>
              <w:rPr>
                <w:rFonts w:ascii="Arial" w:cs="Arial" w:eastAsia="Arial" w:hAnsi="Arial"/>
                <w:sz w:val="18"/>
                <w:szCs w:val="18"/>
                <w:color w:val="376DB5"/>
                <w:w w:val="90"/>
              </w:rPr>
              <w:t>Yes</w:t>
            </w:r>
          </w:p>
        </w:tc>
      </w:tr>
      <w:tr>
        <w:trPr>
          <w:trHeight w:val="378"/>
        </w:trPr>
        <w:tc>
          <w:tcPr>
            <w:tcW w:w="8800" w:type="dxa"/>
            <w:vAlign w:val="bottom"/>
          </w:tcPr>
          <w:p>
            <w:pPr>
              <w:ind w:left="180"/>
              <w:spacing w:after="0"/>
              <w:rPr>
                <w:sz w:val="20"/>
                <w:szCs w:val="20"/>
                <w:color w:val="auto"/>
              </w:rPr>
            </w:pPr>
            <w:r>
              <w:rPr>
                <w:rFonts w:ascii="Arial" w:cs="Arial" w:eastAsia="Arial" w:hAnsi="Arial"/>
                <w:sz w:val="18"/>
                <w:szCs w:val="18"/>
                <w:color w:val="auto"/>
              </w:rPr>
              <w:t>Independent Directors Meet Regularly in Executive Session</w:t>
            </w:r>
          </w:p>
        </w:tc>
        <w:tc>
          <w:tcPr>
            <w:tcW w:w="1320" w:type="dxa"/>
            <w:vAlign w:val="bottom"/>
          </w:tcPr>
          <w:p>
            <w:pPr>
              <w:jc w:val="center"/>
              <w:ind w:left="30"/>
              <w:spacing w:after="0"/>
              <w:rPr>
                <w:sz w:val="20"/>
                <w:szCs w:val="20"/>
                <w:color w:val="auto"/>
              </w:rPr>
            </w:pPr>
            <w:r>
              <w:rPr>
                <w:rFonts w:ascii="Arial" w:cs="Arial" w:eastAsia="Arial" w:hAnsi="Arial"/>
                <w:sz w:val="18"/>
                <w:szCs w:val="18"/>
                <w:color w:val="376DB5"/>
                <w:w w:val="90"/>
              </w:rPr>
              <w:t>Yes</w:t>
            </w:r>
          </w:p>
        </w:tc>
      </w:tr>
      <w:tr>
        <w:trPr>
          <w:trHeight w:val="378"/>
        </w:trPr>
        <w:tc>
          <w:tcPr>
            <w:tcW w:w="8800" w:type="dxa"/>
            <w:vAlign w:val="bottom"/>
          </w:tcPr>
          <w:p>
            <w:pPr>
              <w:ind w:left="180"/>
              <w:spacing w:after="0"/>
              <w:rPr>
                <w:sz w:val="20"/>
                <w:szCs w:val="20"/>
                <w:color w:val="auto"/>
              </w:rPr>
            </w:pPr>
            <w:r>
              <w:rPr>
                <w:rFonts w:ascii="Arial" w:cs="Arial" w:eastAsia="Arial" w:hAnsi="Arial"/>
                <w:sz w:val="18"/>
                <w:szCs w:val="18"/>
                <w:color w:val="auto"/>
              </w:rPr>
              <w:t>Annual Board and Committee Self-Evaluations</w:t>
            </w:r>
          </w:p>
        </w:tc>
        <w:tc>
          <w:tcPr>
            <w:tcW w:w="1320" w:type="dxa"/>
            <w:vAlign w:val="bottom"/>
          </w:tcPr>
          <w:p>
            <w:pPr>
              <w:jc w:val="center"/>
              <w:ind w:left="30"/>
              <w:spacing w:after="0"/>
              <w:rPr>
                <w:sz w:val="20"/>
                <w:szCs w:val="20"/>
                <w:color w:val="auto"/>
              </w:rPr>
            </w:pPr>
            <w:r>
              <w:rPr>
                <w:rFonts w:ascii="Arial" w:cs="Arial" w:eastAsia="Arial" w:hAnsi="Arial"/>
                <w:sz w:val="18"/>
                <w:szCs w:val="18"/>
                <w:color w:val="376DB5"/>
                <w:w w:val="90"/>
              </w:rPr>
              <w:t>Yes</w:t>
            </w:r>
          </w:p>
        </w:tc>
      </w:tr>
      <w:tr>
        <w:trPr>
          <w:trHeight w:val="378"/>
        </w:trPr>
        <w:tc>
          <w:tcPr>
            <w:tcW w:w="8800" w:type="dxa"/>
            <w:vAlign w:val="bottom"/>
          </w:tcPr>
          <w:p>
            <w:pPr>
              <w:ind w:left="180"/>
              <w:spacing w:after="0"/>
              <w:rPr>
                <w:sz w:val="20"/>
                <w:szCs w:val="20"/>
                <w:color w:val="auto"/>
              </w:rPr>
            </w:pPr>
            <w:r>
              <w:rPr>
                <w:rFonts w:ascii="Arial" w:cs="Arial" w:eastAsia="Arial" w:hAnsi="Arial"/>
                <w:sz w:val="18"/>
                <w:szCs w:val="18"/>
                <w:color w:val="auto"/>
              </w:rPr>
              <w:t>Risk Oversight by Full Board and Committees</w:t>
            </w:r>
          </w:p>
        </w:tc>
        <w:tc>
          <w:tcPr>
            <w:tcW w:w="1320" w:type="dxa"/>
            <w:vAlign w:val="bottom"/>
          </w:tcPr>
          <w:p>
            <w:pPr>
              <w:jc w:val="center"/>
              <w:ind w:left="30"/>
              <w:spacing w:after="0"/>
              <w:rPr>
                <w:sz w:val="20"/>
                <w:szCs w:val="20"/>
                <w:color w:val="auto"/>
              </w:rPr>
            </w:pPr>
            <w:r>
              <w:rPr>
                <w:rFonts w:ascii="Arial" w:cs="Arial" w:eastAsia="Arial" w:hAnsi="Arial"/>
                <w:sz w:val="18"/>
                <w:szCs w:val="18"/>
                <w:color w:val="376DB5"/>
                <w:w w:val="90"/>
              </w:rPr>
              <w:t>Yes</w:t>
            </w:r>
          </w:p>
        </w:tc>
      </w:tr>
      <w:tr>
        <w:trPr>
          <w:trHeight w:val="378"/>
        </w:trPr>
        <w:tc>
          <w:tcPr>
            <w:tcW w:w="8800" w:type="dxa"/>
            <w:vAlign w:val="bottom"/>
          </w:tcPr>
          <w:p>
            <w:pPr>
              <w:ind w:left="180"/>
              <w:spacing w:after="0"/>
              <w:rPr>
                <w:sz w:val="20"/>
                <w:szCs w:val="20"/>
                <w:color w:val="auto"/>
              </w:rPr>
            </w:pPr>
            <w:r>
              <w:rPr>
                <w:rFonts w:ascii="Arial" w:cs="Arial" w:eastAsia="Arial" w:hAnsi="Arial"/>
                <w:sz w:val="18"/>
                <w:szCs w:val="18"/>
                <w:color w:val="auto"/>
              </w:rPr>
              <w:t>Annual Advisory Vote on Executive Compensation</w:t>
            </w:r>
          </w:p>
        </w:tc>
        <w:tc>
          <w:tcPr>
            <w:tcW w:w="1320" w:type="dxa"/>
            <w:vAlign w:val="bottom"/>
          </w:tcPr>
          <w:p>
            <w:pPr>
              <w:jc w:val="center"/>
              <w:ind w:left="30"/>
              <w:spacing w:after="0"/>
              <w:rPr>
                <w:sz w:val="20"/>
                <w:szCs w:val="20"/>
                <w:color w:val="auto"/>
              </w:rPr>
            </w:pPr>
            <w:r>
              <w:rPr>
                <w:rFonts w:ascii="Arial" w:cs="Arial" w:eastAsia="Arial" w:hAnsi="Arial"/>
                <w:sz w:val="18"/>
                <w:szCs w:val="18"/>
                <w:color w:val="376DB5"/>
                <w:w w:val="90"/>
              </w:rPr>
              <w:t>Yes</w:t>
            </w:r>
          </w:p>
        </w:tc>
      </w:tr>
      <w:tr>
        <w:trPr>
          <w:trHeight w:val="378"/>
        </w:trPr>
        <w:tc>
          <w:tcPr>
            <w:tcW w:w="8800" w:type="dxa"/>
            <w:vAlign w:val="bottom"/>
          </w:tcPr>
          <w:p>
            <w:pPr>
              <w:ind w:left="180"/>
              <w:spacing w:after="0"/>
              <w:rPr>
                <w:sz w:val="20"/>
                <w:szCs w:val="20"/>
                <w:color w:val="auto"/>
              </w:rPr>
            </w:pPr>
            <w:r>
              <w:rPr>
                <w:rFonts w:ascii="Arial" w:cs="Arial" w:eastAsia="Arial" w:hAnsi="Arial"/>
                <w:sz w:val="18"/>
                <w:szCs w:val="18"/>
                <w:color w:val="auto"/>
              </w:rPr>
              <w:t>Prohibit Hedging and Short Sales of FICO Securities</w:t>
            </w:r>
          </w:p>
        </w:tc>
        <w:tc>
          <w:tcPr>
            <w:tcW w:w="1320" w:type="dxa"/>
            <w:vAlign w:val="bottom"/>
          </w:tcPr>
          <w:p>
            <w:pPr>
              <w:jc w:val="center"/>
              <w:ind w:left="30"/>
              <w:spacing w:after="0"/>
              <w:rPr>
                <w:sz w:val="20"/>
                <w:szCs w:val="20"/>
                <w:color w:val="auto"/>
              </w:rPr>
            </w:pPr>
            <w:r>
              <w:rPr>
                <w:rFonts w:ascii="Arial" w:cs="Arial" w:eastAsia="Arial" w:hAnsi="Arial"/>
                <w:sz w:val="18"/>
                <w:szCs w:val="18"/>
                <w:color w:val="376DB5"/>
                <w:w w:val="90"/>
              </w:rPr>
              <w:t>Yes</w:t>
            </w:r>
          </w:p>
        </w:tc>
      </w:tr>
      <w:tr>
        <w:trPr>
          <w:trHeight w:val="378"/>
        </w:trPr>
        <w:tc>
          <w:tcPr>
            <w:tcW w:w="8800" w:type="dxa"/>
            <w:vAlign w:val="bottom"/>
          </w:tcPr>
          <w:p>
            <w:pPr>
              <w:ind w:left="180"/>
              <w:spacing w:after="0"/>
              <w:rPr>
                <w:sz w:val="20"/>
                <w:szCs w:val="20"/>
                <w:color w:val="auto"/>
              </w:rPr>
            </w:pPr>
            <w:r>
              <w:rPr>
                <w:rFonts w:ascii="Arial" w:cs="Arial" w:eastAsia="Arial" w:hAnsi="Arial"/>
                <w:sz w:val="18"/>
                <w:szCs w:val="18"/>
                <w:color w:val="auto"/>
              </w:rPr>
              <w:t>Stock Ownership Requirements for Directors and Executive Officers</w:t>
            </w:r>
          </w:p>
        </w:tc>
        <w:tc>
          <w:tcPr>
            <w:tcW w:w="1320" w:type="dxa"/>
            <w:vAlign w:val="bottom"/>
          </w:tcPr>
          <w:p>
            <w:pPr>
              <w:jc w:val="center"/>
              <w:ind w:left="30"/>
              <w:spacing w:after="0"/>
              <w:rPr>
                <w:sz w:val="20"/>
                <w:szCs w:val="20"/>
                <w:color w:val="auto"/>
              </w:rPr>
            </w:pPr>
            <w:r>
              <w:rPr>
                <w:rFonts w:ascii="Arial" w:cs="Arial" w:eastAsia="Arial" w:hAnsi="Arial"/>
                <w:sz w:val="18"/>
                <w:szCs w:val="18"/>
                <w:color w:val="376DB5"/>
                <w:w w:val="90"/>
              </w:rPr>
              <w:t>Yes</w:t>
            </w:r>
          </w:p>
        </w:tc>
      </w:tr>
      <w:tr>
        <w:trPr>
          <w:trHeight w:val="378"/>
        </w:trPr>
        <w:tc>
          <w:tcPr>
            <w:tcW w:w="8800" w:type="dxa"/>
            <w:vAlign w:val="bottom"/>
          </w:tcPr>
          <w:p>
            <w:pPr>
              <w:ind w:left="180"/>
              <w:spacing w:after="0"/>
              <w:rPr>
                <w:sz w:val="20"/>
                <w:szCs w:val="20"/>
                <w:color w:val="auto"/>
              </w:rPr>
            </w:pPr>
            <w:r>
              <w:rPr>
                <w:rFonts w:ascii="Arial" w:cs="Arial" w:eastAsia="Arial" w:hAnsi="Arial"/>
                <w:sz w:val="18"/>
                <w:szCs w:val="18"/>
                <w:color w:val="auto"/>
              </w:rPr>
              <w:t>Executive Compensation Recovery Policy</w:t>
            </w:r>
          </w:p>
        </w:tc>
        <w:tc>
          <w:tcPr>
            <w:tcW w:w="1320" w:type="dxa"/>
            <w:vAlign w:val="bottom"/>
          </w:tcPr>
          <w:p>
            <w:pPr>
              <w:jc w:val="center"/>
              <w:ind w:left="30"/>
              <w:spacing w:after="0"/>
              <w:rPr>
                <w:sz w:val="20"/>
                <w:szCs w:val="20"/>
                <w:color w:val="auto"/>
              </w:rPr>
            </w:pPr>
            <w:r>
              <w:rPr>
                <w:rFonts w:ascii="Arial" w:cs="Arial" w:eastAsia="Arial" w:hAnsi="Arial"/>
                <w:sz w:val="18"/>
                <w:szCs w:val="18"/>
                <w:color w:val="376DB5"/>
                <w:w w:val="90"/>
              </w:rPr>
              <w:t>Yes</w:t>
            </w:r>
          </w:p>
        </w:tc>
      </w:tr>
      <w:tr>
        <w:trPr>
          <w:trHeight w:val="90"/>
        </w:trPr>
        <w:tc>
          <w:tcPr>
            <w:tcW w:w="8800" w:type="dxa"/>
            <w:vAlign w:val="bottom"/>
          </w:tcPr>
          <w:p>
            <w:pPr>
              <w:spacing w:after="0"/>
              <w:rPr>
                <w:sz w:val="7"/>
                <w:szCs w:val="7"/>
                <w:color w:val="auto"/>
              </w:rPr>
            </w:pPr>
          </w:p>
        </w:tc>
        <w:tc>
          <w:tcPr>
            <w:tcW w:w="1320" w:type="dxa"/>
            <w:vAlign w:val="bottom"/>
          </w:tcPr>
          <w:p>
            <w:pPr>
              <w:spacing w:after="0"/>
              <w:rPr>
                <w:sz w:val="7"/>
                <w:szCs w:val="7"/>
                <w:color w:val="auto"/>
              </w:rPr>
            </w:pPr>
          </w:p>
        </w:tc>
      </w:tr>
      <w:tr>
        <w:trPr>
          <w:trHeight w:val="358"/>
        </w:trPr>
        <w:tc>
          <w:tcPr>
            <w:tcW w:w="880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8"/>
                <w:szCs w:val="18"/>
                <w:b w:val="1"/>
                <w:bCs w:val="1"/>
                <w:color w:val="376DB5"/>
              </w:rPr>
              <w:t>Stockholder Rights Summary</w:t>
            </w:r>
          </w:p>
        </w:tc>
        <w:tc>
          <w:tcPr>
            <w:tcW w:w="1320" w:type="dxa"/>
            <w:vAlign w:val="bottom"/>
          </w:tcPr>
          <w:p>
            <w:pPr>
              <w:spacing w:after="0"/>
              <w:rPr>
                <w:sz w:val="24"/>
                <w:szCs w:val="24"/>
                <w:color w:val="auto"/>
              </w:rPr>
            </w:pPr>
          </w:p>
        </w:tc>
      </w:tr>
      <w:tr>
        <w:trPr>
          <w:trHeight w:val="274"/>
        </w:trPr>
        <w:tc>
          <w:tcPr>
            <w:tcW w:w="8800" w:type="dxa"/>
            <w:vAlign w:val="bottom"/>
            <w:tcBorders>
              <w:top w:val="single" w:sz="8" w:color="82B5FF"/>
            </w:tcBorders>
          </w:tcPr>
          <w:p>
            <w:pPr>
              <w:ind w:left="180"/>
              <w:spacing w:after="0"/>
              <w:rPr>
                <w:sz w:val="20"/>
                <w:szCs w:val="20"/>
                <w:color w:val="auto"/>
              </w:rPr>
            </w:pPr>
            <w:r>
              <w:rPr>
                <w:rFonts w:ascii="Arial" w:cs="Arial" w:eastAsia="Arial" w:hAnsi="Arial"/>
                <w:sz w:val="18"/>
                <w:szCs w:val="18"/>
                <w:color w:val="auto"/>
              </w:rPr>
              <w:t>Controlled Company</w:t>
            </w:r>
          </w:p>
        </w:tc>
        <w:tc>
          <w:tcPr>
            <w:tcW w:w="1320" w:type="dxa"/>
            <w:vAlign w:val="bottom"/>
            <w:tcBorders>
              <w:top w:val="single" w:sz="8" w:color="82B5FF"/>
            </w:tcBorders>
          </w:tcPr>
          <w:p>
            <w:pPr>
              <w:jc w:val="center"/>
              <w:ind w:left="30"/>
              <w:spacing w:after="0"/>
              <w:rPr>
                <w:sz w:val="20"/>
                <w:szCs w:val="20"/>
                <w:color w:val="auto"/>
              </w:rPr>
            </w:pPr>
            <w:r>
              <w:rPr>
                <w:rFonts w:ascii="Arial" w:cs="Arial" w:eastAsia="Arial" w:hAnsi="Arial"/>
                <w:sz w:val="18"/>
                <w:szCs w:val="18"/>
                <w:color w:val="376DB5"/>
              </w:rPr>
              <w:t>No</w:t>
            </w:r>
          </w:p>
        </w:tc>
      </w:tr>
      <w:tr>
        <w:trPr>
          <w:trHeight w:val="378"/>
        </w:trPr>
        <w:tc>
          <w:tcPr>
            <w:tcW w:w="8800" w:type="dxa"/>
            <w:vAlign w:val="bottom"/>
          </w:tcPr>
          <w:p>
            <w:pPr>
              <w:ind w:left="180"/>
              <w:spacing w:after="0"/>
              <w:rPr>
                <w:sz w:val="20"/>
                <w:szCs w:val="20"/>
                <w:color w:val="auto"/>
              </w:rPr>
            </w:pPr>
            <w:r>
              <w:rPr>
                <w:rFonts w:ascii="Arial" w:cs="Arial" w:eastAsia="Arial" w:hAnsi="Arial"/>
                <w:sz w:val="18"/>
                <w:szCs w:val="18"/>
                <w:color w:val="auto"/>
              </w:rPr>
              <w:t>Classified Board</w:t>
            </w:r>
          </w:p>
        </w:tc>
        <w:tc>
          <w:tcPr>
            <w:tcW w:w="1320" w:type="dxa"/>
            <w:vAlign w:val="bottom"/>
          </w:tcPr>
          <w:p>
            <w:pPr>
              <w:jc w:val="center"/>
              <w:ind w:left="30"/>
              <w:spacing w:after="0"/>
              <w:rPr>
                <w:sz w:val="20"/>
                <w:szCs w:val="20"/>
                <w:color w:val="auto"/>
              </w:rPr>
            </w:pPr>
            <w:r>
              <w:rPr>
                <w:rFonts w:ascii="Arial" w:cs="Arial" w:eastAsia="Arial" w:hAnsi="Arial"/>
                <w:sz w:val="18"/>
                <w:szCs w:val="18"/>
                <w:color w:val="376DB5"/>
              </w:rPr>
              <w:t>No</w:t>
            </w:r>
          </w:p>
        </w:tc>
      </w:tr>
      <w:tr>
        <w:trPr>
          <w:trHeight w:val="378"/>
        </w:trPr>
        <w:tc>
          <w:tcPr>
            <w:tcW w:w="8800" w:type="dxa"/>
            <w:vAlign w:val="bottom"/>
          </w:tcPr>
          <w:p>
            <w:pPr>
              <w:ind w:left="180"/>
              <w:spacing w:after="0"/>
              <w:rPr>
                <w:sz w:val="20"/>
                <w:szCs w:val="20"/>
                <w:color w:val="auto"/>
              </w:rPr>
            </w:pPr>
            <w:r>
              <w:rPr>
                <w:rFonts w:ascii="Arial" w:cs="Arial" w:eastAsia="Arial" w:hAnsi="Arial"/>
                <w:sz w:val="18"/>
                <w:szCs w:val="18"/>
                <w:color w:val="auto"/>
              </w:rPr>
              <w:t>Vote Standard for Charter or Bylaw Amendment</w:t>
            </w:r>
          </w:p>
        </w:tc>
        <w:tc>
          <w:tcPr>
            <w:tcW w:w="1320" w:type="dxa"/>
            <w:vAlign w:val="bottom"/>
          </w:tcPr>
          <w:p>
            <w:pPr>
              <w:jc w:val="center"/>
              <w:ind w:left="10"/>
              <w:spacing w:after="0"/>
              <w:rPr>
                <w:sz w:val="20"/>
                <w:szCs w:val="20"/>
                <w:color w:val="auto"/>
              </w:rPr>
            </w:pPr>
            <w:r>
              <w:rPr>
                <w:rFonts w:ascii="Arial" w:cs="Arial" w:eastAsia="Arial" w:hAnsi="Arial"/>
                <w:sz w:val="18"/>
                <w:szCs w:val="18"/>
                <w:color w:val="376DB5"/>
                <w:w w:val="99"/>
              </w:rPr>
              <w:t>Majority*</w:t>
            </w:r>
          </w:p>
        </w:tc>
      </w:tr>
      <w:tr>
        <w:trPr>
          <w:trHeight w:val="378"/>
        </w:trPr>
        <w:tc>
          <w:tcPr>
            <w:tcW w:w="8800" w:type="dxa"/>
            <w:vAlign w:val="bottom"/>
          </w:tcPr>
          <w:p>
            <w:pPr>
              <w:ind w:left="180"/>
              <w:spacing w:after="0"/>
              <w:rPr>
                <w:sz w:val="20"/>
                <w:szCs w:val="20"/>
                <w:color w:val="auto"/>
              </w:rPr>
            </w:pPr>
            <w:r>
              <w:rPr>
                <w:rFonts w:ascii="Arial" w:cs="Arial" w:eastAsia="Arial" w:hAnsi="Arial"/>
                <w:sz w:val="18"/>
                <w:szCs w:val="18"/>
                <w:color w:val="auto"/>
              </w:rPr>
              <w:t>Stockholder Ability to Call Special Meetings</w:t>
            </w:r>
          </w:p>
        </w:tc>
        <w:tc>
          <w:tcPr>
            <w:tcW w:w="1320" w:type="dxa"/>
            <w:vAlign w:val="bottom"/>
          </w:tcPr>
          <w:p>
            <w:pPr>
              <w:jc w:val="center"/>
              <w:ind w:left="30"/>
              <w:spacing w:after="0"/>
              <w:rPr>
                <w:sz w:val="20"/>
                <w:szCs w:val="20"/>
                <w:color w:val="auto"/>
              </w:rPr>
            </w:pPr>
            <w:r>
              <w:rPr>
                <w:rFonts w:ascii="Arial" w:cs="Arial" w:eastAsia="Arial" w:hAnsi="Arial"/>
                <w:sz w:val="18"/>
                <w:szCs w:val="18"/>
                <w:color w:val="376DB5"/>
              </w:rPr>
              <w:t>No</w:t>
            </w:r>
          </w:p>
        </w:tc>
      </w:tr>
      <w:tr>
        <w:trPr>
          <w:trHeight w:val="378"/>
        </w:trPr>
        <w:tc>
          <w:tcPr>
            <w:tcW w:w="8800" w:type="dxa"/>
            <w:vAlign w:val="bottom"/>
          </w:tcPr>
          <w:p>
            <w:pPr>
              <w:ind w:left="180"/>
              <w:spacing w:after="0"/>
              <w:rPr>
                <w:sz w:val="20"/>
                <w:szCs w:val="20"/>
                <w:color w:val="auto"/>
              </w:rPr>
            </w:pPr>
            <w:r>
              <w:rPr>
                <w:rFonts w:ascii="Arial" w:cs="Arial" w:eastAsia="Arial" w:hAnsi="Arial"/>
                <w:sz w:val="18"/>
                <w:szCs w:val="18"/>
                <w:color w:val="auto"/>
              </w:rPr>
              <w:t>Stockholder Ability to Act by Written Consent</w:t>
            </w:r>
          </w:p>
        </w:tc>
        <w:tc>
          <w:tcPr>
            <w:tcW w:w="1320" w:type="dxa"/>
            <w:vAlign w:val="bottom"/>
          </w:tcPr>
          <w:p>
            <w:pPr>
              <w:jc w:val="center"/>
              <w:ind w:left="30"/>
              <w:spacing w:after="0"/>
              <w:rPr>
                <w:sz w:val="20"/>
                <w:szCs w:val="20"/>
                <w:color w:val="auto"/>
              </w:rPr>
            </w:pPr>
            <w:r>
              <w:rPr>
                <w:rFonts w:ascii="Arial" w:cs="Arial" w:eastAsia="Arial" w:hAnsi="Arial"/>
                <w:sz w:val="18"/>
                <w:szCs w:val="18"/>
                <w:color w:val="376DB5"/>
                <w:w w:val="90"/>
              </w:rPr>
              <w:t>Yes</w:t>
            </w:r>
          </w:p>
        </w:tc>
      </w:tr>
      <w:tr>
        <w:trPr>
          <w:trHeight w:val="378"/>
        </w:trPr>
        <w:tc>
          <w:tcPr>
            <w:tcW w:w="8800" w:type="dxa"/>
            <w:vAlign w:val="bottom"/>
          </w:tcPr>
          <w:p>
            <w:pPr>
              <w:ind w:left="180"/>
              <w:spacing w:after="0"/>
              <w:rPr>
                <w:sz w:val="20"/>
                <w:szCs w:val="20"/>
                <w:color w:val="auto"/>
              </w:rPr>
            </w:pPr>
            <w:r>
              <w:rPr>
                <w:rFonts w:ascii="Arial" w:cs="Arial" w:eastAsia="Arial" w:hAnsi="Arial"/>
                <w:sz w:val="18"/>
                <w:szCs w:val="18"/>
                <w:color w:val="auto"/>
              </w:rPr>
              <w:t>Cumulative Voting</w:t>
            </w:r>
          </w:p>
        </w:tc>
        <w:tc>
          <w:tcPr>
            <w:tcW w:w="1320" w:type="dxa"/>
            <w:vAlign w:val="bottom"/>
          </w:tcPr>
          <w:p>
            <w:pPr>
              <w:jc w:val="center"/>
              <w:ind w:left="30"/>
              <w:spacing w:after="0"/>
              <w:rPr>
                <w:sz w:val="20"/>
                <w:szCs w:val="20"/>
                <w:color w:val="auto"/>
              </w:rPr>
            </w:pPr>
            <w:r>
              <w:rPr>
                <w:rFonts w:ascii="Arial" w:cs="Arial" w:eastAsia="Arial" w:hAnsi="Arial"/>
                <w:sz w:val="18"/>
                <w:szCs w:val="18"/>
                <w:color w:val="376DB5"/>
              </w:rPr>
              <w:t>No</w:t>
            </w:r>
          </w:p>
        </w:tc>
      </w:tr>
      <w:tr>
        <w:trPr>
          <w:trHeight w:val="378"/>
        </w:trPr>
        <w:tc>
          <w:tcPr>
            <w:tcW w:w="8800" w:type="dxa"/>
            <w:vAlign w:val="bottom"/>
          </w:tcPr>
          <w:p>
            <w:pPr>
              <w:ind w:left="180"/>
              <w:spacing w:after="0"/>
              <w:rPr>
                <w:sz w:val="20"/>
                <w:szCs w:val="20"/>
                <w:color w:val="auto"/>
              </w:rPr>
            </w:pPr>
            <w:r>
              <w:rPr>
                <w:rFonts w:ascii="Arial" w:cs="Arial" w:eastAsia="Arial" w:hAnsi="Arial"/>
                <w:sz w:val="18"/>
                <w:szCs w:val="18"/>
                <w:color w:val="auto"/>
              </w:rPr>
              <w:t>Board Ability to Issue Blank-Check Preferred Stock</w:t>
            </w:r>
          </w:p>
        </w:tc>
        <w:tc>
          <w:tcPr>
            <w:tcW w:w="1320" w:type="dxa"/>
            <w:vAlign w:val="bottom"/>
          </w:tcPr>
          <w:p>
            <w:pPr>
              <w:jc w:val="center"/>
              <w:ind w:left="30"/>
              <w:spacing w:after="0"/>
              <w:rPr>
                <w:sz w:val="20"/>
                <w:szCs w:val="20"/>
                <w:color w:val="auto"/>
              </w:rPr>
            </w:pPr>
            <w:r>
              <w:rPr>
                <w:rFonts w:ascii="Arial" w:cs="Arial" w:eastAsia="Arial" w:hAnsi="Arial"/>
                <w:sz w:val="18"/>
                <w:szCs w:val="18"/>
                <w:color w:val="376DB5"/>
                <w:w w:val="90"/>
              </w:rPr>
              <w:t>Yes</w:t>
            </w:r>
          </w:p>
        </w:tc>
      </w:tr>
      <w:tr>
        <w:trPr>
          <w:trHeight w:val="378"/>
        </w:trPr>
        <w:tc>
          <w:tcPr>
            <w:tcW w:w="8800" w:type="dxa"/>
            <w:vAlign w:val="bottom"/>
          </w:tcPr>
          <w:p>
            <w:pPr>
              <w:ind w:left="180"/>
              <w:spacing w:after="0"/>
              <w:rPr>
                <w:sz w:val="20"/>
                <w:szCs w:val="20"/>
                <w:color w:val="auto"/>
              </w:rPr>
            </w:pPr>
            <w:r>
              <w:rPr>
                <w:rFonts w:ascii="Arial" w:cs="Arial" w:eastAsia="Arial" w:hAnsi="Arial"/>
                <w:sz w:val="18"/>
                <w:szCs w:val="18"/>
                <w:color w:val="auto"/>
              </w:rPr>
              <w:t>Poison Pill</w:t>
            </w:r>
          </w:p>
        </w:tc>
        <w:tc>
          <w:tcPr>
            <w:tcW w:w="1320" w:type="dxa"/>
            <w:vAlign w:val="bottom"/>
          </w:tcPr>
          <w:p>
            <w:pPr>
              <w:jc w:val="center"/>
              <w:ind w:left="30"/>
              <w:spacing w:after="0"/>
              <w:rPr>
                <w:sz w:val="20"/>
                <w:szCs w:val="20"/>
                <w:color w:val="auto"/>
              </w:rPr>
            </w:pPr>
            <w:r>
              <w:rPr>
                <w:rFonts w:ascii="Arial" w:cs="Arial" w:eastAsia="Arial" w:hAnsi="Arial"/>
                <w:sz w:val="18"/>
                <w:szCs w:val="18"/>
                <w:color w:val="376DB5"/>
              </w:rPr>
              <w:t>No</w:t>
            </w:r>
          </w:p>
        </w:tc>
      </w:tr>
    </w:tbl>
    <w:p>
      <w:pPr>
        <w:spacing w:after="0" w:line="311" w:lineRule="exact"/>
        <w:rPr>
          <w:sz w:val="20"/>
          <w:szCs w:val="20"/>
          <w:color w:val="auto"/>
        </w:rPr>
      </w:pPr>
    </w:p>
    <w:p>
      <w:pPr>
        <w:ind w:left="120" w:right="180" w:hanging="4"/>
        <w:spacing w:after="0" w:line="263" w:lineRule="auto"/>
        <w:tabs>
          <w:tab w:leader="none" w:pos="2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“Majority” with respect to the vote standard for a charter or bylaw amendment refers to the affirmative vote of the holders of a majority of the outstanding shares of the Company entitled to vote thereon. It further assumes that the sole supermajority provision in the Company’s Charter is eliminated, as further described in Proposal 5 in this proxy statement.</w:t>
      </w:r>
    </w:p>
    <w:p>
      <w:pPr>
        <w:sectPr>
          <w:pgSz w:w="11900" w:h="16838" w:orient="portrait"/>
          <w:cols w:equalWidth="0" w:num="1">
            <w:col w:w="11140"/>
          </w:cols>
          <w:pgMar w:left="320" w:top="482" w:right="439" w:bottom="1440" w:gutter="0" w:footer="0" w:header="0"/>
        </w:sectPr>
      </w:pPr>
    </w:p>
    <w:p>
      <w:pPr>
        <w:spacing w:after="0" w:line="96" w:lineRule="exact"/>
        <w:rPr>
          <w:sz w:val="20"/>
          <w:szCs w:val="20"/>
          <w:color w:val="auto"/>
        </w:rPr>
      </w:pPr>
    </w:p>
    <w:p>
      <w:pPr>
        <w:ind w:left="69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6</w:t>
      </w:r>
    </w:p>
    <w:p>
      <w:pPr>
        <w:sectPr>
          <w:pgSz w:w="11900" w:h="16838" w:orient="portrait"/>
          <w:cols w:equalWidth="0" w:num="1">
            <w:col w:w="11140"/>
          </w:cols>
          <w:pgMar w:left="320" w:top="482" w:right="4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640" w:type="dxa"/>
            <w:vAlign w:val="bottom"/>
            <w:shd w:val="clear" w:color="auto" w:fill="F2F2F2"/>
          </w:tcPr>
          <w:p>
            <w:pPr>
              <w:spacing w:after="0"/>
              <w:rPr>
                <w:sz w:val="24"/>
                <w:szCs w:val="24"/>
                <w:color w:val="auto"/>
              </w:rPr>
            </w:pPr>
          </w:p>
        </w:tc>
        <w:tc>
          <w:tcPr>
            <w:tcW w:w="820" w:type="dxa"/>
            <w:vAlign w:val="bottom"/>
            <w:shd w:val="clear" w:color="auto" w:fill="F2F2F2"/>
          </w:tcPr>
          <w:p>
            <w:pPr>
              <w:spacing w:after="0"/>
              <w:rPr>
                <w:sz w:val="20"/>
                <w:szCs w:val="20"/>
                <w:color w:val="auto"/>
              </w:rPr>
            </w:pPr>
            <w:r>
              <w:rPr>
                <w:rFonts w:ascii="Arial" w:cs="Arial" w:eastAsia="Arial" w:hAnsi="Arial"/>
                <w:sz w:val="18"/>
                <w:szCs w:val="18"/>
                <w:b w:val="1"/>
                <w:bCs w:val="1"/>
                <w:color w:val="376DB5"/>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32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5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Stock</w:t>
            </w:r>
          </w:p>
        </w:tc>
        <w:tc>
          <w:tcPr>
            <w:tcW w:w="15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Other</w:t>
            </w:r>
          </w:p>
        </w:tc>
      </w:tr>
      <w:tr>
        <w:trPr>
          <w:trHeight w:val="203"/>
        </w:trPr>
        <w:tc>
          <w:tcPr>
            <w:tcW w:w="64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line="202" w:lineRule="exact"/>
              <w:rPr>
                <w:sz w:val="20"/>
                <w:szCs w:val="20"/>
                <w:color w:val="auto"/>
              </w:rPr>
            </w:pPr>
            <w:r>
              <w:rPr>
                <w:rFonts w:ascii="Arial" w:cs="Arial" w:eastAsia="Arial" w:hAnsi="Arial"/>
                <w:sz w:val="18"/>
                <w:szCs w:val="18"/>
                <w:b w:val="1"/>
                <w:bCs w:val="1"/>
                <w:color w:val="376DB5"/>
                <w:w w:val="97"/>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32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5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Ownership</w:t>
            </w:r>
          </w:p>
        </w:tc>
        <w:tc>
          <w:tcPr>
            <w:tcW w:w="15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640" w:type="dxa"/>
            <w:vAlign w:val="bottom"/>
            <w:tcBorders>
              <w:bottom w:val="single" w:sz="8" w:color="F2F2F2"/>
            </w:tcBorders>
            <w:shd w:val="clear" w:color="auto" w:fill="F2F2F2"/>
          </w:tcPr>
          <w:p>
            <w:pPr>
              <w:spacing w:after="0"/>
              <w:rPr>
                <w:sz w:val="16"/>
                <w:szCs w:val="16"/>
                <w:color w:val="auto"/>
              </w:rPr>
            </w:pPr>
          </w:p>
        </w:tc>
        <w:tc>
          <w:tcPr>
            <w:tcW w:w="820" w:type="dxa"/>
            <w:vAlign w:val="bottom"/>
            <w:tcBorders>
              <w:bottom w:val="single" w:sz="8" w:color="376DB5"/>
            </w:tcBorders>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000" w:type="dxa"/>
            <w:vAlign w:val="bottom"/>
            <w:tcBorders>
              <w:bottom w:val="single" w:sz="8" w:color="F2F2F2"/>
            </w:tcBorders>
            <w:shd w:val="clear" w:color="auto" w:fill="F2F2F2"/>
          </w:tcPr>
          <w:p>
            <w:pPr>
              <w:spacing w:after="0"/>
              <w:rPr>
                <w:sz w:val="16"/>
                <w:szCs w:val="16"/>
                <w:color w:val="auto"/>
              </w:rPr>
            </w:pPr>
          </w:p>
        </w:tc>
        <w:tc>
          <w:tcPr>
            <w:tcW w:w="1320" w:type="dxa"/>
            <w:vAlign w:val="bottom"/>
            <w:tcBorders>
              <w:bottom w:val="single" w:sz="8" w:color="F2F2F2"/>
            </w:tcBorders>
            <w:shd w:val="clear" w:color="auto" w:fill="F2F2F2"/>
          </w:tcPr>
          <w:p>
            <w:pPr>
              <w:spacing w:after="0"/>
              <w:rPr>
                <w:sz w:val="16"/>
                <w:szCs w:val="16"/>
                <w:color w:val="auto"/>
              </w:rPr>
            </w:pPr>
          </w:p>
        </w:tc>
        <w:tc>
          <w:tcPr>
            <w:tcW w:w="1500" w:type="dxa"/>
            <w:vAlign w:val="bottom"/>
            <w:tcBorders>
              <w:bottom w:val="single" w:sz="8" w:color="F2F2F2"/>
            </w:tcBorders>
            <w:shd w:val="clear" w:color="auto" w:fill="F2F2F2"/>
          </w:tcPr>
          <w:p>
            <w:pPr>
              <w:spacing w:after="0"/>
              <w:rPr>
                <w:sz w:val="16"/>
                <w:szCs w:val="16"/>
                <w:color w:val="auto"/>
              </w:rPr>
            </w:pPr>
          </w:p>
        </w:tc>
        <w:tc>
          <w:tcPr>
            <w:tcW w:w="1660" w:type="dxa"/>
            <w:vAlign w:val="bottom"/>
            <w:tcBorders>
              <w:bottom w:val="single" w:sz="8" w:color="F2F2F2"/>
            </w:tcBorders>
            <w:shd w:val="clear" w:color="auto" w:fill="F2F2F2"/>
          </w:tcPr>
          <w:p>
            <w:pPr>
              <w:spacing w:after="0"/>
              <w:rPr>
                <w:sz w:val="16"/>
                <w:szCs w:val="16"/>
                <w:color w:val="auto"/>
              </w:rPr>
            </w:pPr>
          </w:p>
        </w:tc>
        <w:tc>
          <w:tcPr>
            <w:tcW w:w="1380" w:type="dxa"/>
            <w:vAlign w:val="bottom"/>
            <w:tcBorders>
              <w:bottom w:val="single" w:sz="8" w:color="F2F2F2"/>
            </w:tcBorders>
            <w:shd w:val="clear" w:color="auto" w:fill="F2F2F2"/>
          </w:tcPr>
          <w:p>
            <w:pPr>
              <w:spacing w:after="0"/>
              <w:rPr>
                <w:sz w:val="16"/>
                <w:szCs w:val="16"/>
                <w:color w:val="auto"/>
              </w:rPr>
            </w:pPr>
          </w:p>
        </w:tc>
        <w:tc>
          <w:tcPr>
            <w:tcW w:w="1200" w:type="dxa"/>
            <w:vAlign w:val="bottom"/>
            <w:tcBorders>
              <w:bottom w:val="single" w:sz="8" w:color="F2F2F2"/>
            </w:tcBorders>
            <w:shd w:val="clear" w:color="auto" w:fill="F2F2F2"/>
          </w:tcPr>
          <w:p>
            <w:pPr>
              <w:spacing w:after="0"/>
              <w:rPr>
                <w:sz w:val="16"/>
                <w:szCs w:val="16"/>
                <w:color w:val="auto"/>
              </w:rPr>
            </w:pPr>
          </w:p>
        </w:tc>
        <w:tc>
          <w:tcPr>
            <w:tcW w:w="1500" w:type="dxa"/>
            <w:vAlign w:val="bottom"/>
            <w:tcBorders>
              <w:bottom w:val="single" w:sz="8" w:color="F2F2F2"/>
            </w:tcBorders>
            <w:shd w:val="clear" w:color="auto" w:fill="F2F2F2"/>
          </w:tcPr>
          <w:p>
            <w:pPr>
              <w:spacing w:after="0"/>
              <w:rPr>
                <w:sz w:val="16"/>
                <w:szCs w:val="16"/>
                <w:color w:val="auto"/>
              </w:rPr>
            </w:pPr>
          </w:p>
        </w:tc>
      </w:tr>
      <w:tr>
        <w:trPr>
          <w:trHeight w:val="34"/>
        </w:trPr>
        <w:tc>
          <w:tcPr>
            <w:tcW w:w="640" w:type="dxa"/>
            <w:vAlign w:val="bottom"/>
            <w:shd w:val="clear" w:color="auto" w:fill="F2F2F2"/>
          </w:tcPr>
          <w:p>
            <w:pPr>
              <w:spacing w:after="0"/>
              <w:rPr>
                <w:sz w:val="2"/>
                <w:szCs w:val="2"/>
                <w:color w:val="auto"/>
              </w:rPr>
            </w:pPr>
          </w:p>
        </w:tc>
        <w:tc>
          <w:tcPr>
            <w:tcW w:w="820" w:type="dxa"/>
            <w:vAlign w:val="bottom"/>
            <w:shd w:val="clear" w:color="auto" w:fill="F2F2F2"/>
          </w:tcPr>
          <w:p>
            <w:pPr>
              <w:spacing w:after="0"/>
              <w:rPr>
                <w:sz w:val="2"/>
                <w:szCs w:val="2"/>
                <w:color w:val="auto"/>
              </w:rPr>
            </w:pPr>
          </w:p>
        </w:tc>
        <w:tc>
          <w:tcPr>
            <w:tcW w:w="1000" w:type="dxa"/>
            <w:vAlign w:val="bottom"/>
            <w:shd w:val="clear" w:color="auto" w:fill="F2F2F2"/>
          </w:tcPr>
          <w:p>
            <w:pPr>
              <w:spacing w:after="0"/>
              <w:rPr>
                <w:sz w:val="2"/>
                <w:szCs w:val="2"/>
                <w:color w:val="auto"/>
              </w:rPr>
            </w:pPr>
          </w:p>
        </w:tc>
        <w:tc>
          <w:tcPr>
            <w:tcW w:w="1320" w:type="dxa"/>
            <w:vAlign w:val="bottom"/>
            <w:shd w:val="clear" w:color="auto" w:fill="F2F2F2"/>
          </w:tcPr>
          <w:p>
            <w:pPr>
              <w:spacing w:after="0"/>
              <w:rPr>
                <w:sz w:val="2"/>
                <w:szCs w:val="2"/>
                <w:color w:val="auto"/>
              </w:rPr>
            </w:pPr>
          </w:p>
        </w:tc>
        <w:tc>
          <w:tcPr>
            <w:tcW w:w="1500" w:type="dxa"/>
            <w:vAlign w:val="bottom"/>
            <w:shd w:val="clear" w:color="auto" w:fill="F2F2F2"/>
          </w:tcPr>
          <w:p>
            <w:pPr>
              <w:spacing w:after="0"/>
              <w:rPr>
                <w:sz w:val="2"/>
                <w:szCs w:val="2"/>
                <w:color w:val="auto"/>
              </w:rPr>
            </w:pPr>
          </w:p>
        </w:tc>
        <w:tc>
          <w:tcPr>
            <w:tcW w:w="1660" w:type="dxa"/>
            <w:vAlign w:val="bottom"/>
            <w:shd w:val="clear" w:color="auto" w:fill="F2F2F2"/>
          </w:tcPr>
          <w:p>
            <w:pPr>
              <w:spacing w:after="0"/>
              <w:rPr>
                <w:sz w:val="2"/>
                <w:szCs w:val="2"/>
                <w:color w:val="auto"/>
              </w:rPr>
            </w:pPr>
          </w:p>
        </w:tc>
        <w:tc>
          <w:tcPr>
            <w:tcW w:w="1380" w:type="dxa"/>
            <w:vAlign w:val="bottom"/>
            <w:shd w:val="clear" w:color="auto" w:fill="F2F2F2"/>
          </w:tcPr>
          <w:p>
            <w:pPr>
              <w:spacing w:after="0"/>
              <w:rPr>
                <w:sz w:val="2"/>
                <w:szCs w:val="2"/>
                <w:color w:val="auto"/>
              </w:rPr>
            </w:pPr>
          </w:p>
        </w:tc>
        <w:tc>
          <w:tcPr>
            <w:tcW w:w="1200" w:type="dxa"/>
            <w:vAlign w:val="bottom"/>
            <w:shd w:val="clear" w:color="auto" w:fill="F2F2F2"/>
          </w:tcPr>
          <w:p>
            <w:pPr>
              <w:spacing w:after="0"/>
              <w:rPr>
                <w:sz w:val="2"/>
                <w:szCs w:val="2"/>
                <w:color w:val="auto"/>
              </w:rPr>
            </w:pPr>
          </w:p>
        </w:tc>
        <w:tc>
          <w:tcPr>
            <w:tcW w:w="1500" w:type="dxa"/>
            <w:vAlign w:val="bottom"/>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Compensation Snapshot</w:t>
      </w:r>
    </w:p>
    <w:p>
      <w:pPr>
        <w:spacing w:after="0" w:line="150"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Our compensation strategy is based on a pay-for-performance philosophy, emphasizing variable pay and long-term incentives. This structure aligns the financial goals of our named executive officers with those of our stockholders. Please refer to the Executive Compensation section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2287905</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384810</wp:posOffset>
            </wp:positionV>
            <wp:extent cx="6995160" cy="52381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52381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384810</wp:posOffset>
            </wp:positionV>
            <wp:extent cx="6995160" cy="52381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5238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7</w:t>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640" w:type="dxa"/>
            <w:vAlign w:val="bottom"/>
            <w:shd w:val="clear" w:color="auto" w:fill="F2F2F2"/>
          </w:tcPr>
          <w:p>
            <w:pPr>
              <w:spacing w:after="0"/>
              <w:rPr>
                <w:sz w:val="24"/>
                <w:szCs w:val="24"/>
                <w:color w:val="auto"/>
              </w:rPr>
            </w:pPr>
          </w:p>
        </w:tc>
        <w:tc>
          <w:tcPr>
            <w:tcW w:w="820" w:type="dxa"/>
            <w:vAlign w:val="bottom"/>
            <w:shd w:val="clear" w:color="auto" w:fill="F2F2F2"/>
          </w:tcPr>
          <w:p>
            <w:pPr>
              <w:spacing w:after="0"/>
              <w:rPr>
                <w:sz w:val="20"/>
                <w:szCs w:val="20"/>
                <w:color w:val="auto"/>
              </w:rPr>
            </w:pPr>
            <w:r>
              <w:rPr>
                <w:rFonts w:ascii="Arial" w:cs="Arial" w:eastAsia="Arial" w:hAnsi="Arial"/>
                <w:sz w:val="18"/>
                <w:szCs w:val="18"/>
                <w:b w:val="1"/>
                <w:bCs w:val="1"/>
                <w:color w:val="376DB5"/>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32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5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Stock</w:t>
            </w:r>
          </w:p>
        </w:tc>
        <w:tc>
          <w:tcPr>
            <w:tcW w:w="15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Other</w:t>
            </w:r>
          </w:p>
        </w:tc>
      </w:tr>
      <w:tr>
        <w:trPr>
          <w:trHeight w:val="203"/>
        </w:trPr>
        <w:tc>
          <w:tcPr>
            <w:tcW w:w="64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line="202" w:lineRule="exact"/>
              <w:rPr>
                <w:sz w:val="20"/>
                <w:szCs w:val="20"/>
                <w:color w:val="auto"/>
              </w:rPr>
            </w:pPr>
            <w:r>
              <w:rPr>
                <w:rFonts w:ascii="Arial" w:cs="Arial" w:eastAsia="Arial" w:hAnsi="Arial"/>
                <w:sz w:val="18"/>
                <w:szCs w:val="18"/>
                <w:b w:val="1"/>
                <w:bCs w:val="1"/>
                <w:color w:val="376DB5"/>
                <w:w w:val="97"/>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32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5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Ownership</w:t>
            </w:r>
          </w:p>
        </w:tc>
        <w:tc>
          <w:tcPr>
            <w:tcW w:w="15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640" w:type="dxa"/>
            <w:vAlign w:val="bottom"/>
            <w:tcBorders>
              <w:bottom w:val="single" w:sz="8" w:color="F2F2F2"/>
            </w:tcBorders>
            <w:shd w:val="clear" w:color="auto" w:fill="F2F2F2"/>
          </w:tcPr>
          <w:p>
            <w:pPr>
              <w:spacing w:after="0"/>
              <w:rPr>
                <w:sz w:val="16"/>
                <w:szCs w:val="16"/>
                <w:color w:val="auto"/>
              </w:rPr>
            </w:pPr>
          </w:p>
        </w:tc>
        <w:tc>
          <w:tcPr>
            <w:tcW w:w="820" w:type="dxa"/>
            <w:vAlign w:val="bottom"/>
            <w:tcBorders>
              <w:bottom w:val="single" w:sz="8" w:color="376DB5"/>
            </w:tcBorders>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000" w:type="dxa"/>
            <w:vAlign w:val="bottom"/>
            <w:tcBorders>
              <w:bottom w:val="single" w:sz="8" w:color="F2F2F2"/>
            </w:tcBorders>
            <w:shd w:val="clear" w:color="auto" w:fill="F2F2F2"/>
          </w:tcPr>
          <w:p>
            <w:pPr>
              <w:spacing w:after="0"/>
              <w:rPr>
                <w:sz w:val="16"/>
                <w:szCs w:val="16"/>
                <w:color w:val="auto"/>
              </w:rPr>
            </w:pPr>
          </w:p>
        </w:tc>
        <w:tc>
          <w:tcPr>
            <w:tcW w:w="1320" w:type="dxa"/>
            <w:vAlign w:val="bottom"/>
            <w:tcBorders>
              <w:bottom w:val="single" w:sz="8" w:color="F2F2F2"/>
            </w:tcBorders>
            <w:shd w:val="clear" w:color="auto" w:fill="F2F2F2"/>
          </w:tcPr>
          <w:p>
            <w:pPr>
              <w:spacing w:after="0"/>
              <w:rPr>
                <w:sz w:val="16"/>
                <w:szCs w:val="16"/>
                <w:color w:val="auto"/>
              </w:rPr>
            </w:pPr>
          </w:p>
        </w:tc>
        <w:tc>
          <w:tcPr>
            <w:tcW w:w="1500" w:type="dxa"/>
            <w:vAlign w:val="bottom"/>
            <w:tcBorders>
              <w:bottom w:val="single" w:sz="8" w:color="F2F2F2"/>
            </w:tcBorders>
            <w:shd w:val="clear" w:color="auto" w:fill="F2F2F2"/>
          </w:tcPr>
          <w:p>
            <w:pPr>
              <w:spacing w:after="0"/>
              <w:rPr>
                <w:sz w:val="16"/>
                <w:szCs w:val="16"/>
                <w:color w:val="auto"/>
              </w:rPr>
            </w:pPr>
          </w:p>
        </w:tc>
        <w:tc>
          <w:tcPr>
            <w:tcW w:w="1660" w:type="dxa"/>
            <w:vAlign w:val="bottom"/>
            <w:tcBorders>
              <w:bottom w:val="single" w:sz="8" w:color="F2F2F2"/>
            </w:tcBorders>
            <w:shd w:val="clear" w:color="auto" w:fill="F2F2F2"/>
          </w:tcPr>
          <w:p>
            <w:pPr>
              <w:spacing w:after="0"/>
              <w:rPr>
                <w:sz w:val="16"/>
                <w:szCs w:val="16"/>
                <w:color w:val="auto"/>
              </w:rPr>
            </w:pPr>
          </w:p>
        </w:tc>
        <w:tc>
          <w:tcPr>
            <w:tcW w:w="1380" w:type="dxa"/>
            <w:vAlign w:val="bottom"/>
            <w:tcBorders>
              <w:bottom w:val="single" w:sz="8" w:color="F2F2F2"/>
            </w:tcBorders>
            <w:shd w:val="clear" w:color="auto" w:fill="F2F2F2"/>
          </w:tcPr>
          <w:p>
            <w:pPr>
              <w:spacing w:after="0"/>
              <w:rPr>
                <w:sz w:val="16"/>
                <w:szCs w:val="16"/>
                <w:color w:val="auto"/>
              </w:rPr>
            </w:pPr>
          </w:p>
        </w:tc>
        <w:tc>
          <w:tcPr>
            <w:tcW w:w="1200" w:type="dxa"/>
            <w:vAlign w:val="bottom"/>
            <w:tcBorders>
              <w:bottom w:val="single" w:sz="8" w:color="F2F2F2"/>
            </w:tcBorders>
            <w:shd w:val="clear" w:color="auto" w:fill="F2F2F2"/>
          </w:tcPr>
          <w:p>
            <w:pPr>
              <w:spacing w:after="0"/>
              <w:rPr>
                <w:sz w:val="16"/>
                <w:szCs w:val="16"/>
                <w:color w:val="auto"/>
              </w:rPr>
            </w:pPr>
          </w:p>
        </w:tc>
        <w:tc>
          <w:tcPr>
            <w:tcW w:w="1500" w:type="dxa"/>
            <w:vAlign w:val="bottom"/>
            <w:tcBorders>
              <w:bottom w:val="single" w:sz="8" w:color="F2F2F2"/>
            </w:tcBorders>
            <w:shd w:val="clear" w:color="auto" w:fill="F2F2F2"/>
          </w:tcPr>
          <w:p>
            <w:pPr>
              <w:spacing w:after="0"/>
              <w:rPr>
                <w:sz w:val="16"/>
                <w:szCs w:val="16"/>
                <w:color w:val="auto"/>
              </w:rPr>
            </w:pPr>
          </w:p>
        </w:tc>
      </w:tr>
      <w:tr>
        <w:trPr>
          <w:trHeight w:val="34"/>
        </w:trPr>
        <w:tc>
          <w:tcPr>
            <w:tcW w:w="640" w:type="dxa"/>
            <w:vAlign w:val="bottom"/>
            <w:shd w:val="clear" w:color="auto" w:fill="F2F2F2"/>
          </w:tcPr>
          <w:p>
            <w:pPr>
              <w:spacing w:after="0"/>
              <w:rPr>
                <w:sz w:val="2"/>
                <w:szCs w:val="2"/>
                <w:color w:val="auto"/>
              </w:rPr>
            </w:pPr>
          </w:p>
        </w:tc>
        <w:tc>
          <w:tcPr>
            <w:tcW w:w="820" w:type="dxa"/>
            <w:vAlign w:val="bottom"/>
            <w:shd w:val="clear" w:color="auto" w:fill="F2F2F2"/>
          </w:tcPr>
          <w:p>
            <w:pPr>
              <w:spacing w:after="0"/>
              <w:rPr>
                <w:sz w:val="2"/>
                <w:szCs w:val="2"/>
                <w:color w:val="auto"/>
              </w:rPr>
            </w:pPr>
          </w:p>
        </w:tc>
        <w:tc>
          <w:tcPr>
            <w:tcW w:w="1000" w:type="dxa"/>
            <w:vAlign w:val="bottom"/>
            <w:shd w:val="clear" w:color="auto" w:fill="F2F2F2"/>
          </w:tcPr>
          <w:p>
            <w:pPr>
              <w:spacing w:after="0"/>
              <w:rPr>
                <w:sz w:val="2"/>
                <w:szCs w:val="2"/>
                <w:color w:val="auto"/>
              </w:rPr>
            </w:pPr>
          </w:p>
        </w:tc>
        <w:tc>
          <w:tcPr>
            <w:tcW w:w="1320" w:type="dxa"/>
            <w:vAlign w:val="bottom"/>
            <w:shd w:val="clear" w:color="auto" w:fill="F2F2F2"/>
          </w:tcPr>
          <w:p>
            <w:pPr>
              <w:spacing w:after="0"/>
              <w:rPr>
                <w:sz w:val="2"/>
                <w:szCs w:val="2"/>
                <w:color w:val="auto"/>
              </w:rPr>
            </w:pPr>
          </w:p>
        </w:tc>
        <w:tc>
          <w:tcPr>
            <w:tcW w:w="1500" w:type="dxa"/>
            <w:vAlign w:val="bottom"/>
            <w:shd w:val="clear" w:color="auto" w:fill="F2F2F2"/>
          </w:tcPr>
          <w:p>
            <w:pPr>
              <w:spacing w:after="0"/>
              <w:rPr>
                <w:sz w:val="2"/>
                <w:szCs w:val="2"/>
                <w:color w:val="auto"/>
              </w:rPr>
            </w:pPr>
          </w:p>
        </w:tc>
        <w:tc>
          <w:tcPr>
            <w:tcW w:w="1660" w:type="dxa"/>
            <w:vAlign w:val="bottom"/>
            <w:shd w:val="clear" w:color="auto" w:fill="F2F2F2"/>
          </w:tcPr>
          <w:p>
            <w:pPr>
              <w:spacing w:after="0"/>
              <w:rPr>
                <w:sz w:val="2"/>
                <w:szCs w:val="2"/>
                <w:color w:val="auto"/>
              </w:rPr>
            </w:pPr>
          </w:p>
        </w:tc>
        <w:tc>
          <w:tcPr>
            <w:tcW w:w="1380" w:type="dxa"/>
            <w:vAlign w:val="bottom"/>
            <w:shd w:val="clear" w:color="auto" w:fill="F2F2F2"/>
          </w:tcPr>
          <w:p>
            <w:pPr>
              <w:spacing w:after="0"/>
              <w:rPr>
                <w:sz w:val="2"/>
                <w:szCs w:val="2"/>
                <w:color w:val="auto"/>
              </w:rPr>
            </w:pPr>
          </w:p>
        </w:tc>
        <w:tc>
          <w:tcPr>
            <w:tcW w:w="1200" w:type="dxa"/>
            <w:vAlign w:val="bottom"/>
            <w:shd w:val="clear" w:color="auto" w:fill="F2F2F2"/>
          </w:tcPr>
          <w:p>
            <w:pPr>
              <w:spacing w:after="0"/>
              <w:rPr>
                <w:sz w:val="2"/>
                <w:szCs w:val="2"/>
                <w:color w:val="auto"/>
              </w:rPr>
            </w:pPr>
          </w:p>
        </w:tc>
        <w:tc>
          <w:tcPr>
            <w:tcW w:w="1500" w:type="dxa"/>
            <w:vAlign w:val="bottom"/>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Compensation Highlights</w:t>
      </w:r>
    </w:p>
    <w:p>
      <w:pPr>
        <w:spacing w:after="0" w:line="231" w:lineRule="exact"/>
        <w:rPr>
          <w:sz w:val="20"/>
          <w:szCs w:val="20"/>
          <w:color w:val="auto"/>
        </w:rPr>
      </w:pPr>
    </w:p>
    <w:p>
      <w:pPr>
        <w:jc w:val="both"/>
        <w:ind w:left="120" w:right="20" w:firstLine="551"/>
        <w:spacing w:after="0" w:line="244" w:lineRule="auto"/>
        <w:rPr>
          <w:sz w:val="20"/>
          <w:szCs w:val="20"/>
          <w:color w:val="auto"/>
        </w:rPr>
      </w:pPr>
      <w:r>
        <w:rPr>
          <w:rFonts w:ascii="Arial" w:cs="Arial" w:eastAsia="Arial" w:hAnsi="Arial"/>
          <w:sz w:val="18"/>
          <w:szCs w:val="18"/>
          <w:color w:val="auto"/>
        </w:rPr>
        <w:t>Our compensation program is administered by our Leadership Development and Compensation Committee (the “LDCC”) and seeks to closely link the financial interests of our Company’s executives with those of our stockholders. In making compensation decisions at the outset of fiscal 2025 and throughout the year, the LDCC sought to reinforce strong linkage between Company performance and executive compensation. In keeping with this objective, the LDCC continued to focus on prominently featuring performance-based cash and equity-based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269875</wp:posOffset>
            </wp:positionV>
            <wp:extent cx="6292215"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30861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FFFFFF"/>
        </w:rPr>
        <w:t>   WHAT WE DO</w:t>
      </w:r>
    </w:p>
    <w:p>
      <w:pPr>
        <w:sectPr>
          <w:pgSz w:w="11900" w:h="16838" w:orient="portrait"/>
          <w:cols w:equalWidth="0" w:num="1">
            <w:col w:w="11140"/>
          </w:cols>
          <w:pgMar w:left="320" w:top="482" w:right="439" w:bottom="1440" w:gutter="0" w:footer="0" w:header="0"/>
        </w:sectPr>
      </w:pPr>
    </w:p>
    <w:p>
      <w:pPr>
        <w:spacing w:after="0" w:line="250"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376DB5"/>
        </w:rPr>
        <w:t>Linking Pay to Performance</w:t>
      </w:r>
    </w:p>
    <w:p>
      <w:pPr>
        <w:spacing w:after="0" w:line="84" w:lineRule="exact"/>
        <w:rPr>
          <w:sz w:val="20"/>
          <w:szCs w:val="20"/>
          <w:color w:val="auto"/>
        </w:rPr>
      </w:pPr>
    </w:p>
    <w:p>
      <w:pPr>
        <w:ind w:left="760" w:right="880"/>
        <w:spacing w:after="0" w:line="286" w:lineRule="auto"/>
        <w:rPr>
          <w:sz w:val="20"/>
          <w:szCs w:val="20"/>
          <w:color w:val="auto"/>
        </w:rPr>
      </w:pPr>
      <w:r>
        <w:rPr>
          <w:rFonts w:ascii="Arial" w:cs="Arial" w:eastAsia="Arial" w:hAnsi="Arial"/>
          <w:sz w:val="16"/>
          <w:szCs w:val="16"/>
          <w:color w:val="auto"/>
        </w:rPr>
        <w:t>We closely link performance-based rewards with the achievement of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47625</wp:posOffset>
            </wp:positionV>
            <wp:extent cx="30257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9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376DB5"/>
        </w:rPr>
        <w:t>Capping Payouts to Discourage Risk</w:t>
      </w:r>
    </w:p>
    <w:p>
      <w:pPr>
        <w:spacing w:after="0" w:line="57" w:lineRule="exact"/>
        <w:rPr>
          <w:sz w:val="20"/>
          <w:szCs w:val="20"/>
          <w:color w:val="auto"/>
        </w:rPr>
      </w:pPr>
    </w:p>
    <w:p>
      <w:pPr>
        <w:ind w:left="760" w:right="340"/>
        <w:spacing w:after="0" w:line="286" w:lineRule="auto"/>
        <w:rPr>
          <w:sz w:val="20"/>
          <w:szCs w:val="20"/>
          <w:color w:val="auto"/>
        </w:rPr>
      </w:pPr>
      <w:r>
        <w:rPr>
          <w:rFonts w:ascii="Arial" w:cs="Arial" w:eastAsia="Arial" w:hAnsi="Arial"/>
          <w:sz w:val="16"/>
          <w:szCs w:val="16"/>
          <w:color w:val="auto"/>
        </w:rPr>
        <w:t>We cap payouts under our plans to discourage excessive or inappropriate risk taking by our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22225</wp:posOffset>
            </wp:positionV>
            <wp:extent cx="30257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376DB5"/>
        </w:rPr>
        <w:t>Two-Thirds of Incentives Are Performance-Based</w:t>
      </w:r>
    </w:p>
    <w:p>
      <w:pPr>
        <w:spacing w:after="0" w:line="44" w:lineRule="exact"/>
        <w:rPr>
          <w:sz w:val="20"/>
          <w:szCs w:val="20"/>
          <w:color w:val="auto"/>
        </w:rPr>
      </w:pPr>
    </w:p>
    <w:p>
      <w:pPr>
        <w:ind w:left="760" w:right="100"/>
        <w:spacing w:after="0" w:line="286" w:lineRule="auto"/>
        <w:rPr>
          <w:sz w:val="20"/>
          <w:szCs w:val="20"/>
          <w:color w:val="auto"/>
        </w:rPr>
      </w:pPr>
      <w:r>
        <w:rPr>
          <w:rFonts w:ascii="Arial" w:cs="Arial" w:eastAsia="Arial" w:hAnsi="Arial"/>
          <w:sz w:val="16"/>
          <w:szCs w:val="16"/>
          <w:color w:val="auto"/>
        </w:rPr>
        <w:t>Two-thirds of our annual long-term incentives are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39370</wp:posOffset>
            </wp:positionV>
            <wp:extent cx="30257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376DB5"/>
        </w:rPr>
        <w:t>Emphasize Long-Term Equity Compensation</w:t>
      </w:r>
    </w:p>
    <w:p>
      <w:pPr>
        <w:spacing w:after="0" w:line="152"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color w:val="auto"/>
        </w:rPr>
        <w:t>We emphasize long-term incentives to align executives’ interests with 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39370</wp:posOffset>
            </wp:positionV>
            <wp:extent cx="3025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376DB5"/>
        </w:rPr>
        <w:t>Reasonable Change-in-Control Arrangements</w:t>
      </w:r>
    </w:p>
    <w:p>
      <w:pPr>
        <w:spacing w:after="0" w:line="5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have double-trigger change in control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89535</wp:posOffset>
            </wp:positionV>
            <wp:extent cx="30257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376DB5"/>
        </w:rPr>
        <w:t>Stock Ownership Requirements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376DB5"/>
        </w:rPr>
        <w:t>Independent Compensation Consultant</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LDCC retains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30772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52"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376DB5"/>
        </w:rPr>
        <w:t>Annual Compensation Review and Engagement</w:t>
      </w:r>
    </w:p>
    <w:p>
      <w:pPr>
        <w:spacing w:after="0" w:line="57" w:lineRule="exact"/>
        <w:rPr>
          <w:sz w:val="20"/>
          <w:szCs w:val="20"/>
          <w:color w:val="auto"/>
        </w:rPr>
      </w:pPr>
    </w:p>
    <w:p>
      <w:pPr>
        <w:ind w:left="20" w:right="620"/>
        <w:spacing w:after="0" w:line="286" w:lineRule="auto"/>
        <w:rPr>
          <w:sz w:val="20"/>
          <w:szCs w:val="20"/>
          <w:color w:val="auto"/>
        </w:rPr>
      </w:pPr>
      <w:r>
        <w:rPr>
          <w:rFonts w:ascii="Arial" w:cs="Arial" w:eastAsia="Arial" w:hAnsi="Arial"/>
          <w:sz w:val="16"/>
          <w:szCs w:val="16"/>
          <w:color w:val="auto"/>
        </w:rPr>
        <w:t>We hold an annual advisory vote on executive compensation and seek stockholder feedback through engagement.</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5080</wp:posOffset>
            </wp:positionV>
            <wp:extent cx="30772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i w:val="1"/>
          <w:iCs w:val="1"/>
          <w:color w:val="376DB5"/>
        </w:rPr>
        <w:t>Compensation Recovery Policies</w:t>
      </w:r>
    </w:p>
    <w:p>
      <w:pPr>
        <w:spacing w:after="0" w:line="38" w:lineRule="exact"/>
        <w:rPr>
          <w:sz w:val="20"/>
          <w:szCs w:val="20"/>
          <w:color w:val="auto"/>
        </w:rPr>
      </w:pPr>
    </w:p>
    <w:p>
      <w:pPr>
        <w:ind w:left="20" w:right="1260"/>
        <w:spacing w:after="0" w:line="286" w:lineRule="auto"/>
        <w:rPr>
          <w:sz w:val="20"/>
          <w:szCs w:val="20"/>
          <w:color w:val="auto"/>
        </w:rPr>
      </w:pPr>
      <w:r>
        <w:rPr>
          <w:rFonts w:ascii="Arial" w:cs="Arial" w:eastAsia="Arial" w:hAnsi="Arial"/>
          <w:sz w:val="16"/>
          <w:szCs w:val="16"/>
          <w:color w:val="auto"/>
        </w:rPr>
        <w:t>We have compensation recovery, or “clawback,” policies pertaining to incentive-based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5080</wp:posOffset>
            </wp:positionV>
            <wp:extent cx="30772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376DB5"/>
        </w:rPr>
        <w:t>Minimum Vesting Period for Equity Awards</w:t>
      </w:r>
    </w:p>
    <w:p>
      <w:pPr>
        <w:spacing w:after="0" w:line="84" w:lineRule="exact"/>
        <w:rPr>
          <w:sz w:val="20"/>
          <w:szCs w:val="20"/>
          <w:color w:val="auto"/>
        </w:rPr>
      </w:pPr>
    </w:p>
    <w:p>
      <w:pPr>
        <w:ind w:left="20" w:right="860"/>
        <w:spacing w:after="0" w:line="286" w:lineRule="auto"/>
        <w:rPr>
          <w:sz w:val="20"/>
          <w:szCs w:val="20"/>
          <w:color w:val="auto"/>
        </w:rPr>
      </w:pPr>
      <w:r>
        <w:rPr>
          <w:rFonts w:ascii="Arial" w:cs="Arial" w:eastAsia="Arial" w:hAnsi="Arial"/>
          <w:sz w:val="16"/>
          <w:szCs w:val="16"/>
          <w:color w:val="auto"/>
        </w:rPr>
        <w:t>We have a mandatory minimum vesting period of one year for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39370</wp:posOffset>
            </wp:positionV>
            <wp:extent cx="30772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376DB5"/>
        </w:rPr>
        <w:t>Limits on Equity Award Value</w:t>
      </w:r>
    </w:p>
    <w:p>
      <w:pPr>
        <w:spacing w:after="0" w:line="57" w:lineRule="exact"/>
        <w:rPr>
          <w:sz w:val="20"/>
          <w:szCs w:val="20"/>
          <w:color w:val="auto"/>
        </w:rPr>
      </w:pPr>
    </w:p>
    <w:p>
      <w:pPr>
        <w:ind w:left="20" w:right="660"/>
        <w:spacing w:after="0" w:line="286" w:lineRule="auto"/>
        <w:rPr>
          <w:sz w:val="20"/>
          <w:szCs w:val="20"/>
          <w:color w:val="auto"/>
        </w:rPr>
      </w:pPr>
      <w:r>
        <w:rPr>
          <w:rFonts w:ascii="Arial" w:cs="Arial" w:eastAsia="Arial" w:hAnsi="Arial"/>
          <w:sz w:val="16"/>
          <w:szCs w:val="16"/>
          <w:color w:val="auto"/>
        </w:rPr>
        <w:t>We limit the aggregate fair value of equity awards granted in any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56515</wp:posOffset>
            </wp:positionV>
            <wp:extent cx="30772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5380" w:space="460"/>
            <w:col w:w="5300"/>
          </w:cols>
          <w:pgMar w:left="320" w:top="482" w:right="439" w:bottom="1440" w:gutter="0" w:footer="0" w:header="0"/>
          <w:type w:val="continuous"/>
        </w:sectPr>
      </w:pPr>
    </w:p>
    <w:p>
      <w:pPr>
        <w:ind w:left="760"/>
        <w:spacing w:after="0" w:line="266" w:lineRule="auto"/>
        <w:rPr>
          <w:sz w:val="20"/>
          <w:szCs w:val="20"/>
          <w:color w:val="auto"/>
        </w:rPr>
      </w:pPr>
      <w:r>
        <w:rPr>
          <w:rFonts w:ascii="Arial" w:cs="Arial" w:eastAsia="Arial" w:hAnsi="Arial"/>
          <w:sz w:val="16"/>
          <w:szCs w:val="16"/>
          <w:color w:val="auto"/>
        </w:rPr>
        <w:t>We have stock ownership guidelines that require non- employee directors and executive officers to own a specified amount of stock within five years of their initial election or appointment.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376DB5"/>
        </w:rPr>
        <w:t>Peer Group Comparisons</w:t>
      </w:r>
    </w:p>
    <w:p>
      <w:pPr>
        <w:spacing w:after="0" w:line="71" w:lineRule="exact"/>
        <w:rPr>
          <w:sz w:val="20"/>
          <w:szCs w:val="20"/>
          <w:color w:val="auto"/>
        </w:rPr>
      </w:pPr>
    </w:p>
    <w:p>
      <w:pPr>
        <w:ind w:right="860"/>
        <w:spacing w:after="0" w:line="286" w:lineRule="auto"/>
        <w:rPr>
          <w:sz w:val="20"/>
          <w:szCs w:val="20"/>
          <w:color w:val="auto"/>
        </w:rPr>
      </w:pPr>
      <w:r>
        <w:rPr>
          <w:rFonts w:ascii="Arial" w:cs="Arial" w:eastAsia="Arial" w:hAnsi="Arial"/>
          <w:sz w:val="16"/>
          <w:szCs w:val="16"/>
          <w:color w:val="auto"/>
        </w:rPr>
        <w:t>We have a peer group comprised of companies of similar size and from relevant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-3295015</wp:posOffset>
            </wp:positionH>
            <wp:positionV relativeFrom="paragraph">
              <wp:posOffset>510540</wp:posOffset>
            </wp:positionV>
            <wp:extent cx="6292215" cy="3175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520"/>
            <w:col w:w="528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840"/>
        <w:spacing w:after="0"/>
        <w:rPr>
          <w:sz w:val="20"/>
          <w:szCs w:val="20"/>
          <w:color w:val="auto"/>
        </w:rPr>
      </w:pPr>
      <w:r>
        <w:rPr>
          <w:rFonts w:ascii="Arial" w:cs="Arial" w:eastAsia="Arial" w:hAnsi="Arial"/>
          <w:sz w:val="15"/>
          <w:szCs w:val="15"/>
          <w:b w:val="1"/>
          <w:bCs w:val="1"/>
          <w:color w:val="FFFFFF"/>
        </w:rPr>
        <w:t>   WHAT WE DO NOT DO</w:t>
      </w:r>
    </w:p>
    <w:p>
      <w:pPr>
        <w:sectPr>
          <w:pgSz w:w="11900" w:h="16838" w:orient="portrait"/>
          <w:cols w:equalWidth="0" w:num="1">
            <w:col w:w="11140"/>
          </w:cols>
          <w:pgMar w:left="320" w:top="482" w:right="439" w:bottom="1440" w:gutter="0" w:footer="0" w:header="0"/>
          <w:type w:val="continuous"/>
        </w:sectPr>
      </w:pPr>
    </w:p>
    <w:p>
      <w:pPr>
        <w:spacing w:after="0" w:line="24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376DB5"/>
        </w:rPr>
        <w:t>No Guaranteed Bonuses</w:t>
      </w:r>
    </w:p>
    <w:p>
      <w:pPr>
        <w:spacing w:after="0" w:line="71" w:lineRule="exact"/>
        <w:rPr>
          <w:sz w:val="20"/>
          <w:szCs w:val="20"/>
          <w:color w:val="auto"/>
        </w:rPr>
      </w:pPr>
    </w:p>
    <w:p>
      <w:pPr>
        <w:ind w:left="760" w:right="280"/>
        <w:spacing w:after="0" w:line="286" w:lineRule="auto"/>
        <w:rPr>
          <w:sz w:val="20"/>
          <w:szCs w:val="20"/>
          <w:color w:val="auto"/>
        </w:rPr>
      </w:pPr>
      <w:r>
        <w:rPr>
          <w:rFonts w:ascii="Arial" w:cs="Arial" w:eastAsia="Arial" w:hAnsi="Arial"/>
          <w:sz w:val="16"/>
          <w:szCs w:val="16"/>
          <w:color w:val="auto"/>
        </w:rPr>
        <w:t>Our compensation plans do not have minimum guaranteed payout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22225</wp:posOffset>
            </wp:positionV>
            <wp:extent cx="30175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376DB5"/>
        </w:rPr>
        <w:t>No Hedging or Short-Sales</w:t>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do not permit hedging or short sales of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63500</wp:posOffset>
            </wp:positionV>
            <wp:extent cx="30175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376DB5"/>
        </w:rPr>
        <w:t>Stockholder Approval for Option Repricing</w:t>
      </w:r>
    </w:p>
    <w:p>
      <w:pPr>
        <w:spacing w:after="0" w:line="71"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color w:val="auto"/>
        </w:rPr>
        <w:t>We do not permit repricing of underwater stock options without stockholder approval.</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i w:val="1"/>
          <w:iCs w:val="1"/>
          <w:color w:val="376DB5"/>
        </w:rPr>
        <w:t>Limited Tax “Gross-Ups” or Payments</w:t>
      </w:r>
    </w:p>
    <w:p>
      <w:pPr>
        <w:spacing w:after="0" w:line="71" w:lineRule="exact"/>
        <w:rPr>
          <w:sz w:val="20"/>
          <w:szCs w:val="20"/>
          <w:color w:val="auto"/>
        </w:rPr>
      </w:pPr>
    </w:p>
    <w:p>
      <w:pPr>
        <w:jc w:val="both"/>
        <w:ind w:right="820"/>
        <w:spacing w:after="0" w:line="266" w:lineRule="auto"/>
        <w:rPr>
          <w:sz w:val="20"/>
          <w:szCs w:val="20"/>
          <w:color w:val="auto"/>
        </w:rPr>
      </w:pPr>
      <w:r>
        <w:rPr>
          <w:rFonts w:ascii="Arial" w:cs="Arial" w:eastAsia="Arial" w:hAnsi="Arial"/>
          <w:sz w:val="16"/>
          <w:szCs w:val="16"/>
          <w:color w:val="auto"/>
        </w:rPr>
        <w:t>We do not provide tax gross-ups for our executives (other than with respect to relocation benefits, required spousal travel and certain required regulatory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92075</wp:posOffset>
            </wp:positionV>
            <wp:extent cx="30772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376DB5"/>
        </w:rPr>
        <w:t>Limited Executive Perquisites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We do not provide material perquisites.</w:t>
      </w:r>
    </w:p>
    <w:p>
      <w:pPr>
        <w:spacing w:after="0" w:line="689" w:lineRule="exact"/>
        <w:rPr>
          <w:sz w:val="20"/>
          <w:szCs w:val="20"/>
          <w:color w:val="auto"/>
        </w:rPr>
      </w:pPr>
    </w:p>
    <w:p>
      <w:pPr>
        <w:sectPr>
          <w:pgSz w:w="11900" w:h="16838" w:orient="portrait"/>
          <w:cols w:equalWidth="0" w:num="2">
            <w:col w:w="5240" w:space="600"/>
            <w:col w:w="5300"/>
          </w:cols>
          <w:pgMar w:left="320" w:top="482" w:right="439" w:bottom="1440" w:gutter="0" w:footer="0" w:header="0"/>
          <w:type w:val="continuous"/>
        </w:sectPr>
      </w:pPr>
    </w:p>
    <w:p>
      <w:pPr>
        <w:ind w:left="69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8</w:t>
      </w:r>
    </w:p>
    <w:p>
      <w:pPr>
        <w:sectPr>
          <w:pgSz w:w="11900" w:h="16838" w:orient="portrait"/>
          <w:cols w:equalWidth="0" w:num="1">
            <w:col w:w="11140"/>
          </w:cols>
          <w:pgMar w:left="320" w:top="482" w:right="4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640" w:type="dxa"/>
            <w:vAlign w:val="bottom"/>
            <w:shd w:val="clear" w:color="auto" w:fill="F2F2F2"/>
          </w:tcPr>
          <w:p>
            <w:pPr>
              <w:spacing w:after="0"/>
              <w:rPr>
                <w:sz w:val="24"/>
                <w:szCs w:val="24"/>
                <w:color w:val="auto"/>
              </w:rPr>
            </w:pPr>
          </w:p>
        </w:tc>
        <w:tc>
          <w:tcPr>
            <w:tcW w:w="820" w:type="dxa"/>
            <w:vAlign w:val="bottom"/>
            <w:shd w:val="clear" w:color="auto" w:fill="F2F2F2"/>
          </w:tcPr>
          <w:p>
            <w:pPr>
              <w:spacing w:after="0"/>
              <w:rPr>
                <w:sz w:val="20"/>
                <w:szCs w:val="20"/>
                <w:color w:val="auto"/>
              </w:rPr>
            </w:pPr>
            <w:r>
              <w:rPr>
                <w:rFonts w:ascii="Arial" w:cs="Arial" w:eastAsia="Arial" w:hAnsi="Arial"/>
                <w:sz w:val="18"/>
                <w:szCs w:val="18"/>
                <w:b w:val="1"/>
                <w:bCs w:val="1"/>
                <w:color w:val="376DB5"/>
              </w:rPr>
              <w:t>Proxy</w:t>
            </w:r>
          </w:p>
        </w:tc>
        <w:tc>
          <w:tcPr>
            <w:tcW w:w="8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Board of</w:t>
            </w:r>
          </w:p>
        </w:tc>
        <w:tc>
          <w:tcPr>
            <w:tcW w:w="1460" w:type="dxa"/>
            <w:vAlign w:val="bottom"/>
            <w:gridSpan w:val="2"/>
            <w:shd w:val="clear" w:color="auto" w:fill="F2F2F2"/>
          </w:tcPr>
          <w:p>
            <w:pPr>
              <w:ind w:left="320"/>
              <w:spacing w:after="0"/>
              <w:rPr>
                <w:sz w:val="20"/>
                <w:szCs w:val="20"/>
                <w:color w:val="auto"/>
              </w:rPr>
            </w:pPr>
            <w:r>
              <w:rPr>
                <w:rFonts w:ascii="Arial" w:cs="Arial" w:eastAsia="Arial" w:hAnsi="Arial"/>
                <w:sz w:val="18"/>
                <w:szCs w:val="18"/>
                <w:color w:val="auto"/>
              </w:rPr>
              <w:t>Corporate</w:t>
            </w:r>
          </w:p>
        </w:tc>
        <w:tc>
          <w:tcPr>
            <w:tcW w:w="1560" w:type="dxa"/>
            <w:vAlign w:val="bottom"/>
            <w:shd w:val="clear" w:color="auto" w:fill="F2F2F2"/>
          </w:tcPr>
          <w:p>
            <w:pPr>
              <w:ind w:left="160"/>
              <w:spacing w:after="0"/>
              <w:rPr>
                <w:sz w:val="20"/>
                <w:szCs w:val="20"/>
                <w:color w:val="auto"/>
              </w:rPr>
            </w:pPr>
            <w:r>
              <w:rPr>
                <w:rFonts w:ascii="Arial" w:cs="Arial" w:eastAsia="Arial" w:hAnsi="Arial"/>
                <w:sz w:val="18"/>
                <w:szCs w:val="18"/>
                <w:color w:val="auto"/>
              </w:rPr>
              <w:t>Executive</w:t>
            </w:r>
          </w:p>
        </w:tc>
        <w:tc>
          <w:tcPr>
            <w:tcW w:w="16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Audit Committee</w:t>
            </w:r>
          </w:p>
        </w:tc>
        <w:tc>
          <w:tcPr>
            <w:tcW w:w="13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180" w:type="dxa"/>
            <w:vAlign w:val="bottom"/>
            <w:tcBorders>
              <w:right w:val="single" w:sz="8" w:color="F2F2F2"/>
            </w:tcBorders>
            <w:gridSpan w:val="2"/>
            <w:shd w:val="clear" w:color="auto" w:fill="F2F2F2"/>
          </w:tcPr>
          <w:p>
            <w:pPr>
              <w:ind w:left="160"/>
              <w:spacing w:after="0"/>
              <w:rPr>
                <w:sz w:val="20"/>
                <w:szCs w:val="20"/>
                <w:color w:val="auto"/>
              </w:rPr>
            </w:pPr>
            <w:r>
              <w:rPr>
                <w:rFonts w:ascii="Arial" w:cs="Arial" w:eastAsia="Arial" w:hAnsi="Arial"/>
                <w:sz w:val="18"/>
                <w:szCs w:val="18"/>
                <w:color w:val="auto"/>
              </w:rPr>
              <w:t>Stock</w:t>
            </w:r>
          </w:p>
        </w:tc>
        <w:tc>
          <w:tcPr>
            <w:tcW w:w="1520" w:type="dxa"/>
            <w:vAlign w:val="bottom"/>
            <w:gridSpan w:val="2"/>
            <w:shd w:val="clear" w:color="auto" w:fill="F2F2F2"/>
          </w:tcPr>
          <w:p>
            <w:pPr>
              <w:jc w:val="center"/>
              <w:ind w:right="633"/>
              <w:spacing w:after="0"/>
              <w:rPr>
                <w:sz w:val="20"/>
                <w:szCs w:val="20"/>
                <w:color w:val="auto"/>
              </w:rPr>
            </w:pPr>
            <w:r>
              <w:rPr>
                <w:rFonts w:ascii="Arial" w:cs="Arial" w:eastAsia="Arial" w:hAnsi="Arial"/>
                <w:sz w:val="18"/>
                <w:szCs w:val="18"/>
                <w:color w:val="auto"/>
                <w:w w:val="97"/>
              </w:rPr>
              <w:t>Other</w:t>
            </w:r>
          </w:p>
        </w:tc>
        <w:tc>
          <w:tcPr>
            <w:tcW w:w="0" w:type="dxa"/>
            <w:vAlign w:val="bottom"/>
          </w:tcPr>
          <w:p>
            <w:pPr>
              <w:spacing w:after="0"/>
              <w:rPr>
                <w:sz w:val="1"/>
                <w:szCs w:val="1"/>
                <w:color w:val="auto"/>
              </w:rPr>
            </w:pPr>
          </w:p>
        </w:tc>
      </w:tr>
      <w:tr>
        <w:trPr>
          <w:trHeight w:val="203"/>
        </w:trPr>
        <w:tc>
          <w:tcPr>
            <w:tcW w:w="64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line="202" w:lineRule="exact"/>
              <w:rPr>
                <w:sz w:val="20"/>
                <w:szCs w:val="20"/>
                <w:color w:val="auto"/>
              </w:rPr>
            </w:pPr>
            <w:r>
              <w:rPr>
                <w:rFonts w:ascii="Arial" w:cs="Arial" w:eastAsia="Arial" w:hAnsi="Arial"/>
                <w:sz w:val="18"/>
                <w:szCs w:val="18"/>
                <w:b w:val="1"/>
                <w:bCs w:val="1"/>
                <w:color w:val="376DB5"/>
                <w:w w:val="97"/>
              </w:rPr>
              <w:t>Summary</w:t>
            </w:r>
          </w:p>
        </w:tc>
        <w:tc>
          <w:tcPr>
            <w:tcW w:w="860" w:type="dxa"/>
            <w:vAlign w:val="bottom"/>
            <w:shd w:val="clear" w:color="auto" w:fill="F2F2F2"/>
          </w:tcPr>
          <w:p>
            <w:pPr>
              <w:jc w:val="center"/>
              <w:ind w:left="10"/>
              <w:spacing w:after="0" w:line="202" w:lineRule="exact"/>
              <w:rPr>
                <w:sz w:val="20"/>
                <w:szCs w:val="20"/>
                <w:color w:val="auto"/>
              </w:rPr>
            </w:pPr>
            <w:r>
              <w:rPr>
                <w:rFonts w:ascii="Arial" w:cs="Arial" w:eastAsia="Arial" w:hAnsi="Arial"/>
                <w:sz w:val="18"/>
                <w:szCs w:val="18"/>
                <w:color w:val="auto"/>
                <w:w w:val="99"/>
              </w:rPr>
              <w:t>Directors</w:t>
            </w:r>
          </w:p>
        </w:tc>
        <w:tc>
          <w:tcPr>
            <w:tcW w:w="1460" w:type="dxa"/>
            <w:vAlign w:val="bottom"/>
            <w:gridSpan w:val="2"/>
            <w:shd w:val="clear" w:color="auto" w:fill="F2F2F2"/>
          </w:tcPr>
          <w:p>
            <w:pPr>
              <w:ind w:left="320"/>
              <w:spacing w:after="0" w:line="202" w:lineRule="exact"/>
              <w:rPr>
                <w:sz w:val="20"/>
                <w:szCs w:val="20"/>
                <w:color w:val="auto"/>
              </w:rPr>
            </w:pPr>
            <w:r>
              <w:rPr>
                <w:rFonts w:ascii="Arial" w:cs="Arial" w:eastAsia="Arial" w:hAnsi="Arial"/>
                <w:sz w:val="18"/>
                <w:szCs w:val="18"/>
                <w:color w:val="auto"/>
              </w:rPr>
              <w:t>Governance</w:t>
            </w:r>
          </w:p>
        </w:tc>
        <w:tc>
          <w:tcPr>
            <w:tcW w:w="156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Compensation</w:t>
            </w:r>
          </w:p>
        </w:tc>
        <w:tc>
          <w:tcPr>
            <w:tcW w:w="16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Matters</w:t>
            </w:r>
          </w:p>
        </w:tc>
        <w:tc>
          <w:tcPr>
            <w:tcW w:w="13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180" w:type="dxa"/>
            <w:vAlign w:val="bottom"/>
            <w:tcBorders>
              <w:right w:val="single" w:sz="8" w:color="F2F2F2"/>
            </w:tcBorders>
            <w:gridSpan w:val="2"/>
            <w:shd w:val="clear" w:color="auto" w:fill="F2F2F2"/>
          </w:tcPr>
          <w:p>
            <w:pPr>
              <w:ind w:left="160"/>
              <w:spacing w:after="0" w:line="202" w:lineRule="exact"/>
              <w:rPr>
                <w:sz w:val="20"/>
                <w:szCs w:val="20"/>
                <w:color w:val="auto"/>
              </w:rPr>
            </w:pPr>
            <w:r>
              <w:rPr>
                <w:rFonts w:ascii="Arial" w:cs="Arial" w:eastAsia="Arial" w:hAnsi="Arial"/>
                <w:sz w:val="18"/>
                <w:szCs w:val="18"/>
                <w:color w:val="auto"/>
              </w:rPr>
              <w:t>Ownership</w:t>
            </w:r>
          </w:p>
        </w:tc>
        <w:tc>
          <w:tcPr>
            <w:tcW w:w="1520" w:type="dxa"/>
            <w:vAlign w:val="bottom"/>
            <w:gridSpan w:val="2"/>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0" w:type="dxa"/>
            <w:vAlign w:val="bottom"/>
          </w:tcPr>
          <w:p>
            <w:pPr>
              <w:spacing w:after="0"/>
              <w:rPr>
                <w:sz w:val="1"/>
                <w:szCs w:val="1"/>
                <w:color w:val="auto"/>
              </w:rPr>
            </w:pPr>
          </w:p>
        </w:tc>
      </w:tr>
      <w:tr>
        <w:trPr>
          <w:trHeight w:val="233"/>
        </w:trPr>
        <w:tc>
          <w:tcPr>
            <w:tcW w:w="640" w:type="dxa"/>
            <w:vAlign w:val="bottom"/>
            <w:tcBorders>
              <w:bottom w:val="single" w:sz="8" w:color="F2F2F2"/>
            </w:tcBorders>
            <w:shd w:val="clear" w:color="auto" w:fill="F2F2F2"/>
          </w:tcPr>
          <w:p>
            <w:pPr>
              <w:spacing w:after="0"/>
              <w:rPr>
                <w:sz w:val="19"/>
                <w:szCs w:val="19"/>
                <w:color w:val="auto"/>
              </w:rPr>
            </w:pPr>
          </w:p>
        </w:tc>
        <w:tc>
          <w:tcPr>
            <w:tcW w:w="820" w:type="dxa"/>
            <w:vAlign w:val="bottom"/>
            <w:tcBorders>
              <w:bottom w:val="single" w:sz="8" w:color="376DB5"/>
            </w:tcBorders>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860" w:type="dxa"/>
            <w:vAlign w:val="bottom"/>
            <w:tcBorders>
              <w:bottom w:val="single" w:sz="8" w:color="F2F2F2"/>
            </w:tcBorders>
            <w:shd w:val="clear" w:color="auto" w:fill="F2F2F2"/>
          </w:tcPr>
          <w:p>
            <w:pPr>
              <w:spacing w:after="0"/>
              <w:rPr>
                <w:sz w:val="19"/>
                <w:szCs w:val="19"/>
                <w:color w:val="auto"/>
              </w:rPr>
            </w:pPr>
          </w:p>
        </w:tc>
        <w:tc>
          <w:tcPr>
            <w:tcW w:w="940" w:type="dxa"/>
            <w:vAlign w:val="bottom"/>
            <w:tcBorders>
              <w:bottom w:val="single" w:sz="8" w:color="F2F2F2"/>
            </w:tcBorders>
            <w:shd w:val="clear" w:color="auto" w:fill="F2F2F2"/>
          </w:tcPr>
          <w:p>
            <w:pPr>
              <w:spacing w:after="0"/>
              <w:rPr>
                <w:sz w:val="19"/>
                <w:szCs w:val="19"/>
                <w:color w:val="auto"/>
              </w:rPr>
            </w:pPr>
          </w:p>
        </w:tc>
        <w:tc>
          <w:tcPr>
            <w:tcW w:w="520" w:type="dxa"/>
            <w:vAlign w:val="bottom"/>
            <w:tcBorders>
              <w:bottom w:val="single" w:sz="8" w:color="F2F2F2"/>
            </w:tcBorders>
            <w:shd w:val="clear" w:color="auto" w:fill="F2F2F2"/>
          </w:tcPr>
          <w:p>
            <w:pPr>
              <w:spacing w:after="0"/>
              <w:rPr>
                <w:sz w:val="19"/>
                <w:szCs w:val="19"/>
                <w:color w:val="auto"/>
              </w:rPr>
            </w:pPr>
          </w:p>
        </w:tc>
        <w:tc>
          <w:tcPr>
            <w:tcW w:w="1560" w:type="dxa"/>
            <w:vAlign w:val="bottom"/>
            <w:tcBorders>
              <w:bottom w:val="single" w:sz="8" w:color="F2F2F2"/>
            </w:tcBorders>
            <w:shd w:val="clear" w:color="auto" w:fill="F2F2F2"/>
          </w:tcPr>
          <w:p>
            <w:pPr>
              <w:spacing w:after="0"/>
              <w:rPr>
                <w:sz w:val="19"/>
                <w:szCs w:val="19"/>
                <w:color w:val="auto"/>
              </w:rPr>
            </w:pPr>
          </w:p>
        </w:tc>
        <w:tc>
          <w:tcPr>
            <w:tcW w:w="1600" w:type="dxa"/>
            <w:vAlign w:val="bottom"/>
            <w:tcBorders>
              <w:bottom w:val="single" w:sz="8" w:color="F2F2F2"/>
            </w:tcBorders>
            <w:shd w:val="clear" w:color="auto" w:fill="F2F2F2"/>
          </w:tcPr>
          <w:p>
            <w:pPr>
              <w:spacing w:after="0"/>
              <w:rPr>
                <w:sz w:val="19"/>
                <w:szCs w:val="19"/>
                <w:color w:val="auto"/>
              </w:rPr>
            </w:pPr>
          </w:p>
        </w:tc>
        <w:tc>
          <w:tcPr>
            <w:tcW w:w="1380" w:type="dxa"/>
            <w:vAlign w:val="bottom"/>
            <w:tcBorders>
              <w:bottom w:val="single" w:sz="8" w:color="F2F2F2"/>
            </w:tcBorders>
            <w:shd w:val="clear" w:color="auto" w:fill="F2F2F2"/>
          </w:tcPr>
          <w:p>
            <w:pPr>
              <w:spacing w:after="0"/>
              <w:rPr>
                <w:sz w:val="19"/>
                <w:szCs w:val="19"/>
                <w:color w:val="auto"/>
              </w:rPr>
            </w:pPr>
          </w:p>
        </w:tc>
        <w:tc>
          <w:tcPr>
            <w:tcW w:w="400" w:type="dxa"/>
            <w:vAlign w:val="bottom"/>
            <w:tcBorders>
              <w:bottom w:val="single" w:sz="8" w:color="F2F2F2"/>
              <w:right w:val="single" w:sz="8" w:color="F2F2F2"/>
            </w:tcBorders>
            <w:shd w:val="clear" w:color="auto" w:fill="F2F2F2"/>
          </w:tcPr>
          <w:p>
            <w:pPr>
              <w:spacing w:after="0"/>
              <w:rPr>
                <w:sz w:val="19"/>
                <w:szCs w:val="19"/>
                <w:color w:val="auto"/>
              </w:rPr>
            </w:pPr>
          </w:p>
        </w:tc>
        <w:tc>
          <w:tcPr>
            <w:tcW w:w="780" w:type="dxa"/>
            <w:vAlign w:val="bottom"/>
            <w:tcBorders>
              <w:bottom w:val="single" w:sz="8" w:color="F2F2F2"/>
              <w:right w:val="single" w:sz="8" w:color="F2F2F2"/>
            </w:tcBorders>
            <w:shd w:val="clear" w:color="auto" w:fill="F2F2F2"/>
          </w:tcPr>
          <w:p>
            <w:pPr>
              <w:spacing w:after="0"/>
              <w:rPr>
                <w:sz w:val="19"/>
                <w:szCs w:val="19"/>
                <w:color w:val="auto"/>
              </w:rPr>
            </w:pPr>
          </w:p>
        </w:tc>
        <w:tc>
          <w:tcPr>
            <w:tcW w:w="760" w:type="dxa"/>
            <w:vAlign w:val="bottom"/>
            <w:tcBorders>
              <w:bottom w:val="single" w:sz="8" w:color="F2F2F2"/>
              <w:right w:val="single" w:sz="8" w:color="F2F2F2"/>
            </w:tcBorders>
            <w:shd w:val="clear" w:color="auto" w:fill="F2F2F2"/>
          </w:tcPr>
          <w:p>
            <w:pPr>
              <w:spacing w:after="0"/>
              <w:rPr>
                <w:sz w:val="19"/>
                <w:szCs w:val="19"/>
                <w:color w:val="auto"/>
              </w:rPr>
            </w:pPr>
          </w:p>
        </w:tc>
        <w:tc>
          <w:tcPr>
            <w:tcW w:w="760" w:type="dxa"/>
            <w:vAlign w:val="bottom"/>
            <w:tcBorders>
              <w:bottom w:val="single" w:sz="8" w:color="F2F2F2"/>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2320" w:type="dxa"/>
            <w:vAlign w:val="bottom"/>
            <w:tcBorders>
              <w:top w:val="single" w:sz="8" w:color="F2F2F2"/>
            </w:tcBorders>
            <w:gridSpan w:val="3"/>
          </w:tcPr>
          <w:p>
            <w:pPr>
              <w:spacing w:after="0"/>
              <w:rPr>
                <w:sz w:val="20"/>
                <w:szCs w:val="20"/>
                <w:color w:val="auto"/>
              </w:rPr>
            </w:pPr>
            <w:r>
              <w:rPr>
                <w:rFonts w:ascii="Arial" w:cs="Arial" w:eastAsia="Arial" w:hAnsi="Arial"/>
                <w:sz w:val="25"/>
                <w:szCs w:val="25"/>
                <w:b w:val="1"/>
                <w:bCs w:val="1"/>
                <w:color w:val="auto"/>
              </w:rPr>
              <w:t>Director Nominees</w:t>
            </w:r>
          </w:p>
        </w:tc>
        <w:tc>
          <w:tcPr>
            <w:tcW w:w="940" w:type="dxa"/>
            <w:vAlign w:val="bottom"/>
            <w:tcBorders>
              <w:top w:val="single" w:sz="8" w:color="F2F2F2"/>
            </w:tcBorders>
          </w:tcPr>
          <w:p>
            <w:pPr>
              <w:spacing w:after="0"/>
              <w:rPr>
                <w:sz w:val="24"/>
                <w:szCs w:val="24"/>
                <w:color w:val="auto"/>
              </w:rPr>
            </w:pPr>
          </w:p>
        </w:tc>
        <w:tc>
          <w:tcPr>
            <w:tcW w:w="520" w:type="dxa"/>
            <w:vAlign w:val="bottom"/>
            <w:tcBorders>
              <w:top w:val="single" w:sz="8" w:color="F2F2F2"/>
            </w:tcBorders>
          </w:tcPr>
          <w:p>
            <w:pPr>
              <w:spacing w:after="0"/>
              <w:rPr>
                <w:sz w:val="24"/>
                <w:szCs w:val="24"/>
                <w:color w:val="auto"/>
              </w:rPr>
            </w:pPr>
          </w:p>
        </w:tc>
        <w:tc>
          <w:tcPr>
            <w:tcW w:w="1560" w:type="dxa"/>
            <w:vAlign w:val="bottom"/>
            <w:tcBorders>
              <w:top w:val="single" w:sz="8" w:color="F2F2F2"/>
            </w:tcBorders>
          </w:tcPr>
          <w:p>
            <w:pPr>
              <w:spacing w:after="0"/>
              <w:rPr>
                <w:sz w:val="24"/>
                <w:szCs w:val="24"/>
                <w:color w:val="auto"/>
              </w:rPr>
            </w:pPr>
          </w:p>
        </w:tc>
        <w:tc>
          <w:tcPr>
            <w:tcW w:w="1600" w:type="dxa"/>
            <w:vAlign w:val="bottom"/>
            <w:tcBorders>
              <w:top w:val="single" w:sz="8" w:color="F2F2F2"/>
            </w:tcBorders>
          </w:tcPr>
          <w:p>
            <w:pPr>
              <w:spacing w:after="0"/>
              <w:rPr>
                <w:sz w:val="24"/>
                <w:szCs w:val="24"/>
                <w:color w:val="auto"/>
              </w:rPr>
            </w:pPr>
          </w:p>
        </w:tc>
        <w:tc>
          <w:tcPr>
            <w:tcW w:w="1380" w:type="dxa"/>
            <w:vAlign w:val="bottom"/>
            <w:tcBorders>
              <w:top w:val="single" w:sz="8" w:color="F2F2F2"/>
            </w:tcBorders>
          </w:tcPr>
          <w:p>
            <w:pPr>
              <w:spacing w:after="0"/>
              <w:rPr>
                <w:sz w:val="24"/>
                <w:szCs w:val="24"/>
                <w:color w:val="auto"/>
              </w:rPr>
            </w:pPr>
          </w:p>
        </w:tc>
        <w:tc>
          <w:tcPr>
            <w:tcW w:w="400" w:type="dxa"/>
            <w:vAlign w:val="bottom"/>
            <w:tcBorders>
              <w:top w:val="single" w:sz="8" w:color="F2F2F2"/>
            </w:tcBorders>
          </w:tcPr>
          <w:p>
            <w:pPr>
              <w:spacing w:after="0"/>
              <w:rPr>
                <w:sz w:val="24"/>
                <w:szCs w:val="24"/>
                <w:color w:val="auto"/>
              </w:rPr>
            </w:pPr>
          </w:p>
        </w:tc>
        <w:tc>
          <w:tcPr>
            <w:tcW w:w="780" w:type="dxa"/>
            <w:vAlign w:val="bottom"/>
            <w:tcBorders>
              <w:top w:val="single" w:sz="8" w:color="F2F2F2"/>
            </w:tcBorders>
          </w:tcPr>
          <w:p>
            <w:pPr>
              <w:spacing w:after="0"/>
              <w:rPr>
                <w:sz w:val="24"/>
                <w:szCs w:val="24"/>
                <w:color w:val="auto"/>
              </w:rPr>
            </w:pPr>
          </w:p>
        </w:tc>
        <w:tc>
          <w:tcPr>
            <w:tcW w:w="760" w:type="dxa"/>
            <w:vAlign w:val="bottom"/>
            <w:tcBorders>
              <w:top w:val="single" w:sz="8" w:color="F2F2F2"/>
            </w:tcBorders>
          </w:tcPr>
          <w:p>
            <w:pPr>
              <w:spacing w:after="0"/>
              <w:rPr>
                <w:sz w:val="24"/>
                <w:szCs w:val="24"/>
                <w:color w:val="auto"/>
              </w:rPr>
            </w:pPr>
          </w:p>
        </w:tc>
        <w:tc>
          <w:tcPr>
            <w:tcW w:w="760" w:type="dxa"/>
            <w:vAlign w:val="bottom"/>
            <w:tcBorders>
              <w:top w:val="single" w:sz="8" w:color="F2F2F2"/>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40" w:type="dxa"/>
            <w:vAlign w:val="bottom"/>
            <w:tcBorders>
              <w:bottom w:val="single" w:sz="8" w:color="376DB5"/>
            </w:tcBorders>
          </w:tcPr>
          <w:p>
            <w:pPr>
              <w:spacing w:after="0"/>
              <w:rPr>
                <w:sz w:val="17"/>
                <w:szCs w:val="17"/>
                <w:color w:val="auto"/>
              </w:rPr>
            </w:pPr>
          </w:p>
        </w:tc>
        <w:tc>
          <w:tcPr>
            <w:tcW w:w="820" w:type="dxa"/>
            <w:vAlign w:val="bottom"/>
            <w:tcBorders>
              <w:bottom w:val="single" w:sz="8" w:color="376DB5"/>
            </w:tcBorders>
          </w:tcPr>
          <w:p>
            <w:pPr>
              <w:spacing w:after="0"/>
              <w:rPr>
                <w:sz w:val="17"/>
                <w:szCs w:val="17"/>
                <w:color w:val="auto"/>
              </w:rPr>
            </w:pPr>
          </w:p>
        </w:tc>
        <w:tc>
          <w:tcPr>
            <w:tcW w:w="860" w:type="dxa"/>
            <w:vAlign w:val="bottom"/>
            <w:tcBorders>
              <w:bottom w:val="single" w:sz="8" w:color="376DB5"/>
            </w:tcBorders>
          </w:tcPr>
          <w:p>
            <w:pPr>
              <w:spacing w:after="0"/>
              <w:rPr>
                <w:sz w:val="17"/>
                <w:szCs w:val="17"/>
                <w:color w:val="auto"/>
              </w:rPr>
            </w:pPr>
          </w:p>
        </w:tc>
        <w:tc>
          <w:tcPr>
            <w:tcW w:w="940" w:type="dxa"/>
            <w:vAlign w:val="bottom"/>
            <w:tcBorders>
              <w:bottom w:val="single" w:sz="8" w:color="376DB5"/>
            </w:tcBorders>
          </w:tcPr>
          <w:p>
            <w:pPr>
              <w:spacing w:after="0"/>
              <w:rPr>
                <w:sz w:val="17"/>
                <w:szCs w:val="17"/>
                <w:color w:val="auto"/>
              </w:rPr>
            </w:pPr>
          </w:p>
        </w:tc>
        <w:tc>
          <w:tcPr>
            <w:tcW w:w="520" w:type="dxa"/>
            <w:vAlign w:val="bottom"/>
            <w:tcBorders>
              <w:bottom w:val="single" w:sz="8" w:color="376DB5"/>
            </w:tcBorders>
          </w:tcPr>
          <w:p>
            <w:pPr>
              <w:spacing w:after="0"/>
              <w:rPr>
                <w:sz w:val="17"/>
                <w:szCs w:val="17"/>
                <w:color w:val="auto"/>
              </w:rPr>
            </w:pPr>
          </w:p>
        </w:tc>
        <w:tc>
          <w:tcPr>
            <w:tcW w:w="1560" w:type="dxa"/>
            <w:vAlign w:val="bottom"/>
            <w:tcBorders>
              <w:bottom w:val="single" w:sz="8" w:color="376DB5"/>
            </w:tcBorders>
          </w:tcPr>
          <w:p>
            <w:pPr>
              <w:spacing w:after="0"/>
              <w:rPr>
                <w:sz w:val="17"/>
                <w:szCs w:val="17"/>
                <w:color w:val="auto"/>
              </w:rPr>
            </w:pPr>
          </w:p>
        </w:tc>
        <w:tc>
          <w:tcPr>
            <w:tcW w:w="1600" w:type="dxa"/>
            <w:vAlign w:val="bottom"/>
            <w:tcBorders>
              <w:bottom w:val="single" w:sz="8" w:color="376DB5"/>
            </w:tcBorders>
          </w:tcPr>
          <w:p>
            <w:pPr>
              <w:spacing w:after="0"/>
              <w:rPr>
                <w:sz w:val="17"/>
                <w:szCs w:val="17"/>
                <w:color w:val="auto"/>
              </w:rPr>
            </w:pPr>
          </w:p>
        </w:tc>
        <w:tc>
          <w:tcPr>
            <w:tcW w:w="1380" w:type="dxa"/>
            <w:vAlign w:val="bottom"/>
            <w:tcBorders>
              <w:bottom w:val="single" w:sz="8" w:color="376DB5"/>
            </w:tcBorders>
          </w:tcPr>
          <w:p>
            <w:pPr>
              <w:spacing w:after="0"/>
              <w:rPr>
                <w:sz w:val="17"/>
                <w:szCs w:val="17"/>
                <w:color w:val="auto"/>
              </w:rPr>
            </w:pPr>
          </w:p>
        </w:tc>
        <w:tc>
          <w:tcPr>
            <w:tcW w:w="400" w:type="dxa"/>
            <w:vAlign w:val="bottom"/>
            <w:tcBorders>
              <w:bottom w:val="single" w:sz="8" w:color="376DB5"/>
            </w:tcBorders>
          </w:tcPr>
          <w:p>
            <w:pPr>
              <w:spacing w:after="0"/>
              <w:rPr>
                <w:sz w:val="17"/>
                <w:szCs w:val="17"/>
                <w:color w:val="auto"/>
              </w:rPr>
            </w:pPr>
          </w:p>
        </w:tc>
        <w:tc>
          <w:tcPr>
            <w:tcW w:w="2300" w:type="dxa"/>
            <w:vAlign w:val="bottom"/>
            <w:tcBorders>
              <w:bottom w:val="single" w:sz="8" w:color="376DB5"/>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Years as</w:t>
            </w:r>
          </w:p>
        </w:tc>
        <w:tc>
          <w:tcPr>
            <w:tcW w:w="5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300" w:type="dxa"/>
            <w:vAlign w:val="bottom"/>
            <w:tcBorders>
              <w:bottom w:val="single" w:sz="8" w:color="AAC5FB"/>
            </w:tcBorders>
            <w:gridSpan w:val="3"/>
          </w:tcPr>
          <w:p>
            <w:pPr>
              <w:jc w:val="center"/>
              <w:spacing w:after="0"/>
              <w:rPr>
                <w:sz w:val="20"/>
                <w:szCs w:val="20"/>
                <w:color w:val="auto"/>
              </w:rPr>
            </w:pPr>
            <w:r>
              <w:rPr>
                <w:rFonts w:ascii="Arial" w:cs="Arial" w:eastAsia="Arial" w:hAnsi="Arial"/>
                <w:sz w:val="18"/>
                <w:szCs w:val="18"/>
                <w:b w:val="1"/>
                <w:bCs w:val="1"/>
                <w:color w:val="auto"/>
                <w:w w:val="99"/>
              </w:rPr>
              <w:t>Committee Memberships</w:t>
            </w:r>
          </w:p>
        </w:tc>
        <w:tc>
          <w:tcPr>
            <w:tcW w:w="0" w:type="dxa"/>
            <w:vAlign w:val="bottom"/>
          </w:tcPr>
          <w:p>
            <w:pPr>
              <w:spacing w:after="0"/>
              <w:rPr>
                <w:sz w:val="1"/>
                <w:szCs w:val="1"/>
                <w:color w:val="auto"/>
              </w:rPr>
            </w:pPr>
          </w:p>
        </w:tc>
      </w:tr>
      <w:tr>
        <w:trPr>
          <w:trHeight w:val="164"/>
        </w:trPr>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Borders>
              <w:right w:val="single" w:sz="8" w:color="AAC5FB"/>
            </w:tcBorders>
          </w:tcPr>
          <w:p>
            <w:pPr>
              <w:spacing w:after="0"/>
              <w:rPr>
                <w:sz w:val="14"/>
                <w:szCs w:val="14"/>
                <w:color w:val="auto"/>
              </w:rPr>
            </w:pPr>
          </w:p>
        </w:tc>
        <w:tc>
          <w:tcPr>
            <w:tcW w:w="780" w:type="dxa"/>
            <w:vAlign w:val="bottom"/>
            <w:tcBorders>
              <w:right w:val="single" w:sz="8" w:color="AAC5FB"/>
            </w:tcBorders>
          </w:tcPr>
          <w:p>
            <w:pPr>
              <w:spacing w:after="0"/>
              <w:rPr>
                <w:sz w:val="14"/>
                <w:szCs w:val="14"/>
                <w:color w:val="auto"/>
              </w:rPr>
            </w:pPr>
          </w:p>
        </w:tc>
        <w:tc>
          <w:tcPr>
            <w:tcW w:w="760" w:type="dxa"/>
            <w:vAlign w:val="bottom"/>
            <w:tcBorders>
              <w:right w:val="single" w:sz="8" w:color="AAC5FB"/>
            </w:tcBorders>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  Name</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9"/>
              </w:rPr>
              <w:t>Age</w:t>
            </w:r>
          </w:p>
        </w:tc>
        <w:tc>
          <w:tcPr>
            <w:tcW w:w="940" w:type="dxa"/>
            <w:vAlign w:val="bottom"/>
          </w:tcPr>
          <w:p>
            <w:pPr>
              <w:ind w:left="40"/>
              <w:spacing w:after="0"/>
              <w:rPr>
                <w:sz w:val="20"/>
                <w:szCs w:val="20"/>
                <w:color w:val="auto"/>
              </w:rPr>
            </w:pPr>
            <w:r>
              <w:rPr>
                <w:rFonts w:ascii="Arial" w:cs="Arial" w:eastAsia="Arial" w:hAnsi="Arial"/>
                <w:sz w:val="18"/>
                <w:szCs w:val="18"/>
                <w:b w:val="1"/>
                <w:bCs w:val="1"/>
                <w:color w:val="auto"/>
              </w:rPr>
              <w:t>Director</w:t>
            </w:r>
          </w:p>
        </w:tc>
        <w:tc>
          <w:tcPr>
            <w:tcW w:w="2080" w:type="dxa"/>
            <w:vAlign w:val="bottom"/>
            <w:gridSpan w:val="2"/>
          </w:tcPr>
          <w:p>
            <w:pPr>
              <w:ind w:left="160"/>
              <w:spacing w:after="0"/>
              <w:rPr>
                <w:sz w:val="20"/>
                <w:szCs w:val="20"/>
                <w:color w:val="auto"/>
              </w:rPr>
            </w:pPr>
            <w:r>
              <w:rPr>
                <w:rFonts w:ascii="Arial" w:cs="Arial" w:eastAsia="Arial" w:hAnsi="Arial"/>
                <w:sz w:val="18"/>
                <w:szCs w:val="18"/>
                <w:b w:val="1"/>
                <w:bCs w:val="1"/>
                <w:color w:val="auto"/>
              </w:rPr>
              <w:t>Principal Occupation</w:t>
            </w:r>
          </w:p>
        </w:tc>
        <w:tc>
          <w:tcPr>
            <w:tcW w:w="1600" w:type="dxa"/>
            <w:vAlign w:val="bottom"/>
          </w:tcPr>
          <w:p>
            <w:pPr>
              <w:spacing w:after="0"/>
              <w:rPr>
                <w:sz w:val="19"/>
                <w:szCs w:val="19"/>
                <w:color w:val="auto"/>
              </w:rPr>
            </w:pPr>
          </w:p>
        </w:tc>
        <w:tc>
          <w:tcPr>
            <w:tcW w:w="1780" w:type="dxa"/>
            <w:vAlign w:val="bottom"/>
            <w:tcBorders>
              <w:right w:val="single" w:sz="8" w:color="AAC5FB"/>
            </w:tcBorders>
            <w:gridSpan w:val="2"/>
          </w:tcPr>
          <w:p>
            <w:pPr>
              <w:ind w:left="220"/>
              <w:spacing w:after="0"/>
              <w:rPr>
                <w:sz w:val="20"/>
                <w:szCs w:val="20"/>
                <w:color w:val="auto"/>
              </w:rPr>
            </w:pPr>
            <w:r>
              <w:rPr>
                <w:rFonts w:ascii="Arial" w:cs="Arial" w:eastAsia="Arial" w:hAnsi="Arial"/>
                <w:sz w:val="18"/>
                <w:szCs w:val="18"/>
                <w:b w:val="1"/>
                <w:bCs w:val="1"/>
                <w:color w:val="auto"/>
              </w:rPr>
              <w:t xml:space="preserve">   Independent   </w:t>
            </w:r>
          </w:p>
        </w:tc>
        <w:tc>
          <w:tcPr>
            <w:tcW w:w="780" w:type="dxa"/>
            <w:vAlign w:val="bottom"/>
            <w:tcBorders>
              <w:right w:val="single" w:sz="8" w:color="AAC5FB"/>
            </w:tcBorders>
          </w:tcPr>
          <w:p>
            <w:pPr>
              <w:ind w:left="100"/>
              <w:spacing w:after="0" w:line="221" w:lineRule="exact"/>
              <w:rPr>
                <w:sz w:val="20"/>
                <w:szCs w:val="20"/>
                <w:color w:val="auto"/>
              </w:rPr>
            </w:pPr>
            <w:r>
              <w:rPr>
                <w:rFonts w:ascii="Arial" w:cs="Arial" w:eastAsia="Arial" w:hAnsi="Arial"/>
                <w:sz w:val="17"/>
                <w:szCs w:val="17"/>
                <w:b w:val="1"/>
                <w:bCs w:val="1"/>
                <w:color w:val="auto"/>
              </w:rPr>
              <w:t>AC</w:t>
            </w:r>
            <w:r>
              <w:rPr>
                <w:rFonts w:ascii="Arial" w:cs="Arial" w:eastAsia="Arial" w:hAnsi="Arial"/>
                <w:sz w:val="25"/>
                <w:szCs w:val="25"/>
                <w:b w:val="1"/>
                <w:bCs w:val="1"/>
                <w:color w:val="auto"/>
                <w:vertAlign w:val="superscript"/>
              </w:rPr>
              <w:t>1</w:t>
            </w:r>
          </w:p>
        </w:tc>
        <w:tc>
          <w:tcPr>
            <w:tcW w:w="760" w:type="dxa"/>
            <w:vAlign w:val="bottom"/>
            <w:tcBorders>
              <w:right w:val="single" w:sz="8" w:color="AAC5FB"/>
            </w:tcBorders>
          </w:tcPr>
          <w:p>
            <w:pPr>
              <w:jc w:val="center"/>
              <w:spacing w:after="0" w:line="221" w:lineRule="exact"/>
              <w:rPr>
                <w:sz w:val="20"/>
                <w:szCs w:val="20"/>
                <w:color w:val="auto"/>
              </w:rPr>
            </w:pPr>
            <w:r>
              <w:rPr>
                <w:rFonts w:ascii="Arial" w:cs="Arial" w:eastAsia="Arial" w:hAnsi="Arial"/>
                <w:sz w:val="17"/>
                <w:szCs w:val="17"/>
                <w:b w:val="1"/>
                <w:bCs w:val="1"/>
                <w:color w:val="auto"/>
                <w:w w:val="99"/>
              </w:rPr>
              <w:t>GNEC</w:t>
            </w:r>
            <w:r>
              <w:rPr>
                <w:rFonts w:ascii="Arial" w:cs="Arial" w:eastAsia="Arial" w:hAnsi="Arial"/>
                <w:sz w:val="25"/>
                <w:szCs w:val="25"/>
                <w:b w:val="1"/>
                <w:bCs w:val="1"/>
                <w:color w:val="auto"/>
                <w:w w:val="99"/>
                <w:vertAlign w:val="superscript"/>
              </w:rPr>
              <w:t>2</w:t>
            </w:r>
          </w:p>
        </w:tc>
        <w:tc>
          <w:tcPr>
            <w:tcW w:w="760" w:type="dxa"/>
            <w:vAlign w:val="bottom"/>
          </w:tcPr>
          <w:p>
            <w:pPr>
              <w:ind w:left="100"/>
              <w:spacing w:after="0" w:line="221" w:lineRule="exact"/>
              <w:rPr>
                <w:sz w:val="20"/>
                <w:szCs w:val="20"/>
                <w:color w:val="auto"/>
              </w:rPr>
            </w:pPr>
            <w:r>
              <w:rPr>
                <w:rFonts w:ascii="Arial" w:cs="Arial" w:eastAsia="Arial" w:hAnsi="Arial"/>
                <w:sz w:val="17"/>
                <w:szCs w:val="17"/>
                <w:b w:val="1"/>
                <w:bCs w:val="1"/>
                <w:color w:val="auto"/>
              </w:rPr>
              <w:t>LDCC</w:t>
            </w:r>
            <w:r>
              <w:rPr>
                <w:rFonts w:ascii="Arial" w:cs="Arial" w:eastAsia="Arial" w:hAnsi="Arial"/>
                <w:sz w:val="25"/>
                <w:szCs w:val="25"/>
                <w:b w:val="1"/>
                <w:bCs w:val="1"/>
                <w:color w:val="auto"/>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-256540</wp:posOffset>
            </wp:positionV>
            <wp:extent cx="7003415" cy="45948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03415" cy="45948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400"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1520" w:type="dxa"/>
            <w:vAlign w:val="bottom"/>
          </w:tcPr>
          <w:p>
            <w:pPr>
              <w:spacing w:after="0"/>
              <w:rPr>
                <w:sz w:val="20"/>
                <w:szCs w:val="20"/>
                <w:color w:val="auto"/>
              </w:rPr>
            </w:pPr>
            <w:r>
              <w:rPr>
                <w:rFonts w:ascii="Arial" w:cs="Arial" w:eastAsia="Arial" w:hAnsi="Arial"/>
                <w:sz w:val="18"/>
                <w:szCs w:val="18"/>
                <w:color w:val="376DB5"/>
              </w:rPr>
              <w:t>Braden R. Kelly</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55</w:t>
            </w:r>
          </w:p>
        </w:tc>
        <w:tc>
          <w:tcPr>
            <w:tcW w:w="400" w:type="dxa"/>
            <w:vAlign w:val="bottom"/>
          </w:tcPr>
          <w:p>
            <w:pPr>
              <w:ind w:left="20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747"/>
        </w:trPr>
        <w:tc>
          <w:tcPr>
            <w:tcW w:w="1520" w:type="dxa"/>
            <w:vAlign w:val="bottom"/>
          </w:tcPr>
          <w:p>
            <w:pPr>
              <w:spacing w:after="0"/>
              <w:rPr>
                <w:sz w:val="20"/>
                <w:szCs w:val="20"/>
                <w:color w:val="auto"/>
              </w:rPr>
            </w:pPr>
            <w:r>
              <w:rPr>
                <w:rFonts w:ascii="Arial" w:cs="Arial" w:eastAsia="Arial" w:hAnsi="Arial"/>
                <w:sz w:val="18"/>
                <w:szCs w:val="18"/>
                <w:color w:val="376DB5"/>
              </w:rPr>
              <w:t>Fabiola R.</w:t>
            </w:r>
          </w:p>
        </w:tc>
        <w:tc>
          <w:tcPr>
            <w:tcW w:w="560" w:type="dxa"/>
            <w:vAlign w:val="bottom"/>
            <w:vMerge w:val="restart"/>
          </w:tcPr>
          <w:p>
            <w:pPr>
              <w:jc w:val="right"/>
              <w:ind w:right="110"/>
              <w:spacing w:after="0"/>
              <w:rPr>
                <w:sz w:val="20"/>
                <w:szCs w:val="20"/>
                <w:color w:val="auto"/>
              </w:rPr>
            </w:pPr>
            <w:r>
              <w:rPr>
                <w:rFonts w:ascii="Arial" w:cs="Arial" w:eastAsia="Arial" w:hAnsi="Arial"/>
                <w:sz w:val="18"/>
                <w:szCs w:val="18"/>
                <w:color w:val="auto"/>
              </w:rPr>
              <w:t>59</w:t>
            </w:r>
          </w:p>
        </w:tc>
        <w:tc>
          <w:tcPr>
            <w:tcW w:w="400" w:type="dxa"/>
            <w:vAlign w:val="bottom"/>
            <w:vMerge w:val="restart"/>
          </w:tcPr>
          <w:p>
            <w:pPr>
              <w:ind w:lef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31"/>
        </w:trPr>
        <w:tc>
          <w:tcPr>
            <w:tcW w:w="1520" w:type="dxa"/>
            <w:vAlign w:val="bottom"/>
            <w:vMerge w:val="restart"/>
          </w:tcPr>
          <w:p>
            <w:pPr>
              <w:spacing w:after="0"/>
              <w:rPr>
                <w:sz w:val="20"/>
                <w:szCs w:val="20"/>
                <w:color w:val="auto"/>
              </w:rPr>
            </w:pPr>
            <w:r>
              <w:rPr>
                <w:rFonts w:ascii="Arial" w:cs="Arial" w:eastAsia="Arial" w:hAnsi="Arial"/>
                <w:sz w:val="18"/>
                <w:szCs w:val="18"/>
                <w:color w:val="376DB5"/>
              </w:rPr>
              <w:t>Arredondo</w:t>
            </w:r>
          </w:p>
        </w:tc>
        <w:tc>
          <w:tcPr>
            <w:tcW w:w="5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3"/>
        </w:trPr>
        <w:tc>
          <w:tcPr>
            <w:tcW w:w="1520" w:type="dxa"/>
            <w:vAlign w:val="bottom"/>
          </w:tcPr>
          <w:p>
            <w:pPr>
              <w:spacing w:after="0"/>
              <w:rPr>
                <w:sz w:val="20"/>
                <w:szCs w:val="20"/>
                <w:color w:val="auto"/>
              </w:rPr>
            </w:pPr>
            <w:r>
              <w:rPr>
                <w:rFonts w:ascii="Arial" w:cs="Arial" w:eastAsia="Arial" w:hAnsi="Arial"/>
                <w:sz w:val="18"/>
                <w:szCs w:val="18"/>
                <w:color w:val="376DB5"/>
              </w:rPr>
              <w:t>William J.</w:t>
            </w:r>
          </w:p>
        </w:tc>
        <w:tc>
          <w:tcPr>
            <w:tcW w:w="560" w:type="dxa"/>
            <w:vAlign w:val="bottom"/>
            <w:vMerge w:val="restart"/>
          </w:tcPr>
          <w:p>
            <w:pPr>
              <w:jc w:val="right"/>
              <w:ind w:right="110"/>
              <w:spacing w:after="0"/>
              <w:rPr>
                <w:sz w:val="20"/>
                <w:szCs w:val="20"/>
                <w:color w:val="auto"/>
              </w:rPr>
            </w:pPr>
            <w:r>
              <w:rPr>
                <w:rFonts w:ascii="Arial" w:cs="Arial" w:eastAsia="Arial" w:hAnsi="Arial"/>
                <w:sz w:val="18"/>
                <w:szCs w:val="18"/>
                <w:color w:val="auto"/>
              </w:rPr>
              <w:t>67</w:t>
            </w:r>
          </w:p>
        </w:tc>
        <w:tc>
          <w:tcPr>
            <w:tcW w:w="400" w:type="dxa"/>
            <w:vAlign w:val="bottom"/>
            <w:vMerge w:val="restart"/>
          </w:tcPr>
          <w:p>
            <w:pPr>
              <w:ind w:left="20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31"/>
        </w:trPr>
        <w:tc>
          <w:tcPr>
            <w:tcW w:w="1520" w:type="dxa"/>
            <w:vAlign w:val="bottom"/>
            <w:vMerge w:val="restart"/>
          </w:tcPr>
          <w:p>
            <w:pPr>
              <w:spacing w:after="0"/>
              <w:rPr>
                <w:sz w:val="20"/>
                <w:szCs w:val="20"/>
                <w:color w:val="auto"/>
              </w:rPr>
            </w:pPr>
            <w:r>
              <w:rPr>
                <w:rFonts w:ascii="Arial" w:cs="Arial" w:eastAsia="Arial" w:hAnsi="Arial"/>
                <w:sz w:val="18"/>
                <w:szCs w:val="18"/>
                <w:color w:val="376DB5"/>
              </w:rPr>
              <w:t>Lansing</w:t>
            </w:r>
          </w:p>
        </w:tc>
        <w:tc>
          <w:tcPr>
            <w:tcW w:w="5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9"/>
        </w:trPr>
        <w:tc>
          <w:tcPr>
            <w:tcW w:w="1520" w:type="dxa"/>
            <w:vAlign w:val="bottom"/>
          </w:tcPr>
          <w:p>
            <w:pPr>
              <w:spacing w:after="0"/>
              <w:rPr>
                <w:sz w:val="20"/>
                <w:szCs w:val="20"/>
                <w:color w:val="auto"/>
              </w:rPr>
            </w:pPr>
            <w:r>
              <w:rPr>
                <w:rFonts w:ascii="Arial" w:cs="Arial" w:eastAsia="Arial" w:hAnsi="Arial"/>
                <w:sz w:val="18"/>
                <w:szCs w:val="18"/>
                <w:color w:val="376DB5"/>
              </w:rPr>
              <w:t>Eva Manolis</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62</w:t>
            </w:r>
          </w:p>
        </w:tc>
        <w:tc>
          <w:tcPr>
            <w:tcW w:w="400" w:type="dxa"/>
            <w:vAlign w:val="bottom"/>
          </w:tcPr>
          <w:p>
            <w:pPr>
              <w:ind w:lef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702"/>
        </w:trPr>
        <w:tc>
          <w:tcPr>
            <w:tcW w:w="1520" w:type="dxa"/>
            <w:vAlign w:val="bottom"/>
          </w:tcPr>
          <w:p>
            <w:pPr>
              <w:spacing w:after="0"/>
              <w:rPr>
                <w:sz w:val="20"/>
                <w:szCs w:val="20"/>
                <w:color w:val="auto"/>
              </w:rPr>
            </w:pPr>
            <w:r>
              <w:rPr>
                <w:rFonts w:ascii="Arial" w:cs="Arial" w:eastAsia="Arial" w:hAnsi="Arial"/>
                <w:sz w:val="18"/>
                <w:szCs w:val="18"/>
                <w:color w:val="376DB5"/>
              </w:rPr>
              <w:t>Marc F. McMorris</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57</w:t>
            </w:r>
          </w:p>
        </w:tc>
        <w:tc>
          <w:tcPr>
            <w:tcW w:w="400" w:type="dxa"/>
            <w:vAlign w:val="bottom"/>
          </w:tcPr>
          <w:p>
            <w:pPr>
              <w:ind w:left="20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837"/>
        </w:trPr>
        <w:tc>
          <w:tcPr>
            <w:tcW w:w="1520" w:type="dxa"/>
            <w:vAlign w:val="bottom"/>
          </w:tcPr>
          <w:p>
            <w:pPr>
              <w:spacing w:after="0"/>
              <w:rPr>
                <w:sz w:val="20"/>
                <w:szCs w:val="20"/>
                <w:color w:val="auto"/>
              </w:rPr>
            </w:pPr>
            <w:r>
              <w:rPr>
                <w:rFonts w:ascii="Arial" w:cs="Arial" w:eastAsia="Arial" w:hAnsi="Arial"/>
                <w:sz w:val="18"/>
                <w:szCs w:val="18"/>
                <w:color w:val="376DB5"/>
              </w:rPr>
              <w:t>Joanna Rees</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64</w:t>
            </w:r>
          </w:p>
        </w:tc>
        <w:tc>
          <w:tcPr>
            <w:tcW w:w="400" w:type="dxa"/>
            <w:vAlign w:val="bottom"/>
          </w:tcPr>
          <w:p>
            <w:pPr>
              <w:ind w:left="20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715"/>
        </w:trPr>
        <w:tc>
          <w:tcPr>
            <w:tcW w:w="1520" w:type="dxa"/>
            <w:vAlign w:val="bottom"/>
          </w:tcPr>
          <w:p>
            <w:pPr>
              <w:spacing w:after="0"/>
              <w:rPr>
                <w:sz w:val="20"/>
                <w:szCs w:val="20"/>
                <w:color w:val="auto"/>
              </w:rPr>
            </w:pPr>
            <w:r>
              <w:rPr>
                <w:rFonts w:ascii="Arial" w:cs="Arial" w:eastAsia="Arial" w:hAnsi="Arial"/>
                <w:sz w:val="18"/>
                <w:szCs w:val="18"/>
                <w:color w:val="376DB5"/>
              </w:rPr>
              <w:t>David A. Rey</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75</w:t>
            </w:r>
          </w:p>
        </w:tc>
        <w:tc>
          <w:tcPr>
            <w:tcW w:w="400" w:type="dxa"/>
            <w:vAlign w:val="bottom"/>
          </w:tcPr>
          <w:p>
            <w:pPr>
              <w:ind w:left="20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774"/>
        </w:trPr>
        <w:tc>
          <w:tcPr>
            <w:tcW w:w="1520" w:type="dxa"/>
            <w:vAlign w:val="bottom"/>
          </w:tcPr>
          <w:p>
            <w:pPr>
              <w:spacing w:after="0"/>
              <w:rPr>
                <w:sz w:val="20"/>
                <w:szCs w:val="20"/>
                <w:color w:val="auto"/>
              </w:rPr>
            </w:pPr>
            <w:r>
              <w:rPr>
                <w:rFonts w:ascii="Arial" w:cs="Arial" w:eastAsia="Arial" w:hAnsi="Arial"/>
                <w:sz w:val="18"/>
                <w:szCs w:val="18"/>
                <w:color w:val="376DB5"/>
              </w:rPr>
              <w:t>H. Tayloe</w:t>
            </w:r>
          </w:p>
        </w:tc>
        <w:tc>
          <w:tcPr>
            <w:tcW w:w="560" w:type="dxa"/>
            <w:vAlign w:val="bottom"/>
            <w:vMerge w:val="restart"/>
          </w:tcPr>
          <w:p>
            <w:pPr>
              <w:jc w:val="right"/>
              <w:ind w:right="110"/>
              <w:spacing w:after="0"/>
              <w:rPr>
                <w:sz w:val="20"/>
                <w:szCs w:val="20"/>
                <w:color w:val="auto"/>
              </w:rPr>
            </w:pPr>
            <w:r>
              <w:rPr>
                <w:rFonts w:ascii="Arial" w:cs="Arial" w:eastAsia="Arial" w:hAnsi="Arial"/>
                <w:sz w:val="18"/>
                <w:szCs w:val="18"/>
                <w:color w:val="auto"/>
              </w:rPr>
              <w:t>64</w:t>
            </w:r>
          </w:p>
        </w:tc>
        <w:tc>
          <w:tcPr>
            <w:tcW w:w="400" w:type="dxa"/>
            <w:vAlign w:val="bottom"/>
            <w:vMerge w:val="restart"/>
          </w:tcPr>
          <w:p>
            <w:pPr>
              <w:ind w:lef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31"/>
        </w:trPr>
        <w:tc>
          <w:tcPr>
            <w:tcW w:w="1520" w:type="dxa"/>
            <w:vAlign w:val="bottom"/>
            <w:vMerge w:val="restart"/>
          </w:tcPr>
          <w:p>
            <w:pPr>
              <w:spacing w:after="0"/>
              <w:rPr>
                <w:sz w:val="20"/>
                <w:szCs w:val="20"/>
                <w:color w:val="auto"/>
              </w:rPr>
            </w:pPr>
            <w:r>
              <w:rPr>
                <w:rFonts w:ascii="Arial" w:cs="Arial" w:eastAsia="Arial" w:hAnsi="Arial"/>
                <w:sz w:val="18"/>
                <w:szCs w:val="18"/>
                <w:color w:val="376DB5"/>
              </w:rPr>
              <w:t>Stansbury</w:t>
            </w:r>
          </w:p>
        </w:tc>
        <w:tc>
          <w:tcPr>
            <w:tcW w:w="5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Former Partner of Health Evolution Partners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Managing Partner of Siempre Holdings LLC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Chief Executive Officer of Fair Isaac Corporation</w:t>
      </w:r>
    </w:p>
    <w:p>
      <w:pPr>
        <w:spacing w:after="0" w:line="200" w:lineRule="exact"/>
        <w:rPr>
          <w:sz w:val="20"/>
          <w:szCs w:val="20"/>
          <w:color w:val="auto"/>
        </w:rPr>
      </w:pPr>
    </w:p>
    <w:p>
      <w:pPr>
        <w:spacing w:after="0" w:line="305"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Former Vice President of Amazon.com, Inc.</w:t>
      </w:r>
    </w:p>
    <w:p>
      <w:pPr>
        <w:spacing w:after="0" w:line="39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Co-Chief Executive Officer and Co-Founder of Carrick Capital Partners, LLC</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Chairman of West Global</w:t>
      </w:r>
    </w:p>
    <w:p>
      <w:pPr>
        <w:spacing w:after="0" w:line="306"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Former Executive Vice President and Chief Client Relationship Officer of UnitedHealth Group</w:t>
      </w:r>
    </w:p>
    <w:p>
      <w:pPr>
        <w:spacing w:after="0" w:line="200" w:lineRule="exact"/>
        <w:rPr>
          <w:sz w:val="20"/>
          <w:szCs w:val="20"/>
          <w:color w:val="auto"/>
        </w:rPr>
      </w:pPr>
    </w:p>
    <w:p>
      <w:pPr>
        <w:spacing w:after="0" w:line="2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Chief Executive Officer of Kaleidescape, Inc.</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3"/>
        </w:trPr>
        <w:tc>
          <w:tcPr>
            <w:tcW w:w="11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440" w:type="dxa"/>
            <w:vAlign w:val="bottom"/>
          </w:tcPr>
          <w:p>
            <w:pPr>
              <w:ind w:left="1000"/>
              <w:spacing w:after="0"/>
              <w:rPr>
                <w:sz w:val="20"/>
                <w:szCs w:val="20"/>
                <w:color w:val="auto"/>
              </w:rPr>
            </w:pPr>
            <w:r>
              <w:rPr>
                <w:rFonts w:ascii="Arial" w:cs="Arial" w:eastAsia="Arial" w:hAnsi="Arial"/>
                <w:sz w:val="18"/>
                <w:szCs w:val="18"/>
                <w:color w:val="auto"/>
              </w:rPr>
              <w:t xml:space="preserve">  </w:t>
            </w:r>
          </w:p>
        </w:tc>
        <w:tc>
          <w:tcPr>
            <w:tcW w:w="420" w:type="dxa"/>
            <w:vAlign w:val="bottom"/>
          </w:tcPr>
          <w:p>
            <w:pPr>
              <w:ind w:left="320"/>
              <w:spacing w:after="0"/>
              <w:rPr>
                <w:sz w:val="20"/>
                <w:szCs w:val="20"/>
                <w:color w:val="auto"/>
              </w:rPr>
            </w:pPr>
            <w:r>
              <w:rPr>
                <w:rFonts w:ascii="Arial" w:cs="Arial" w:eastAsia="Arial" w:hAnsi="Arial"/>
                <w:sz w:val="18"/>
                <w:szCs w:val="18"/>
                <w:color w:val="auto"/>
                <w:w w:val="92"/>
              </w:rPr>
              <w:t xml:space="preserve">  </w:t>
            </w:r>
          </w:p>
        </w:tc>
      </w:tr>
      <w:tr>
        <w:trPr>
          <w:trHeight w:val="891"/>
        </w:trPr>
        <w:tc>
          <w:tcPr>
            <w:tcW w:w="11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440" w:type="dxa"/>
            <w:vAlign w:val="bottom"/>
          </w:tcPr>
          <w:p>
            <w:pPr>
              <w:spacing w:after="0"/>
              <w:rPr>
                <w:sz w:val="24"/>
                <w:szCs w:val="24"/>
                <w:color w:val="auto"/>
              </w:rPr>
            </w:pPr>
          </w:p>
        </w:tc>
        <w:tc>
          <w:tcPr>
            <w:tcW w:w="420" w:type="dxa"/>
            <w:vAlign w:val="bottom"/>
          </w:tcPr>
          <w:p>
            <w:pPr>
              <w:ind w:left="320"/>
              <w:spacing w:after="0"/>
              <w:rPr>
                <w:sz w:val="20"/>
                <w:szCs w:val="20"/>
                <w:color w:val="auto"/>
              </w:rPr>
            </w:pPr>
            <w:r>
              <w:rPr>
                <w:rFonts w:ascii="Arial" w:cs="Arial" w:eastAsia="Arial" w:hAnsi="Arial"/>
                <w:sz w:val="18"/>
                <w:szCs w:val="18"/>
                <w:color w:val="auto"/>
                <w:w w:val="92"/>
              </w:rPr>
              <w:t xml:space="preserve">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15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480" w:type="dxa"/>
            <w:vAlign w:val="bottom"/>
          </w:tcPr>
          <w:p>
            <w:pPr>
              <w:ind w:left="1380"/>
              <w:spacing w:after="0"/>
              <w:rPr>
                <w:sz w:val="20"/>
                <w:szCs w:val="20"/>
                <w:color w:val="auto"/>
              </w:rPr>
            </w:pPr>
            <w:r>
              <w:rPr>
                <w:rFonts w:ascii="Arial" w:cs="Arial" w:eastAsia="Arial" w:hAnsi="Arial"/>
                <w:sz w:val="18"/>
                <w:szCs w:val="18"/>
                <w:color w:val="auto"/>
                <w:w w:val="92"/>
              </w:rPr>
              <w:t xml:space="preserve">  </w:t>
            </w:r>
          </w:p>
        </w:tc>
      </w:tr>
    </w:tbl>
    <w:p>
      <w:pPr>
        <w:spacing w:after="0" w:line="369" w:lineRule="exact"/>
        <w:rPr>
          <w:sz w:val="20"/>
          <w:szCs w:val="20"/>
          <w:color w:val="auto"/>
        </w:rPr>
      </w:pPr>
    </w:p>
    <w:p>
      <w:pPr>
        <w:jc w:val="center"/>
        <w:ind w:right="3000"/>
        <w:spacing w:after="0" w:line="161" w:lineRule="exact"/>
        <w:rPr>
          <w:sz w:val="20"/>
          <w:szCs w:val="20"/>
          <w:color w:val="auto"/>
        </w:rPr>
      </w:pPr>
      <w:r>
        <w:rPr>
          <w:rFonts w:ascii="MS PGothic" w:cs="MS PGothic" w:eastAsia="MS PGothic" w:hAnsi="MS PGothic"/>
          <w:sz w:val="16"/>
          <w:szCs w:val="16"/>
          <w:color w:val="auto"/>
        </w:rPr>
        <w:t>✓</w:t>
      </w:r>
    </w:p>
    <w:p>
      <w:pPr>
        <w:spacing w:after="0" w:line="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 xml:space="preserve">   </w:t>
      </w:r>
      <w:r>
        <w:rPr>
          <w:sz w:val="1"/>
          <w:szCs w:val="1"/>
          <w:color w:val="auto"/>
        </w:rPr>
        <w:drawing>
          <wp:inline distT="0" distB="0" distL="0" distR="0">
            <wp:extent cx="60325" cy="10287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102870"/>
                    </a:xfrm>
                    <a:prstGeom prst="rect">
                      <a:avLst/>
                    </a:prstGeom>
                    <a:noFill/>
                    <a:ln>
                      <a:noFill/>
                    </a:ln>
                  </pic:spPr>
                </pic:pic>
              </a:graphicData>
            </a:graphic>
          </wp:inline>
        </w:drawing>
      </w:r>
      <w:r>
        <w:rPr>
          <w:rFonts w:ascii="Arial" w:cs="Arial" w:eastAsia="Arial" w:hAnsi="Arial"/>
          <w:sz w:val="17"/>
          <w:szCs w:val="17"/>
          <w:color w:val="auto"/>
        </w:rPr>
        <w:t xml:space="preserve">  </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11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420" w:type="dxa"/>
            <w:vAlign w:val="bottom"/>
          </w:tcPr>
          <w:p>
            <w:pPr>
              <w:ind w:left="1000"/>
              <w:spacing w:after="0"/>
              <w:rPr>
                <w:sz w:val="20"/>
                <w:szCs w:val="20"/>
                <w:color w:val="auto"/>
              </w:rPr>
            </w:pPr>
            <w:r>
              <w:rPr>
                <w:rFonts w:ascii="Arial" w:cs="Arial" w:eastAsia="Arial" w:hAnsi="Arial"/>
                <w:sz w:val="18"/>
                <w:szCs w:val="18"/>
                <w:color w:val="auto"/>
              </w:rPr>
              <w:t xml:space="preserve">  </w:t>
            </w:r>
          </w:p>
        </w:tc>
        <w:tc>
          <w:tcPr>
            <w:tcW w:w="440" w:type="dxa"/>
            <w:vAlign w:val="bottom"/>
          </w:tcPr>
          <w:p>
            <w:pPr>
              <w:ind w:left="340"/>
              <w:spacing w:after="0"/>
              <w:rPr>
                <w:sz w:val="20"/>
                <w:szCs w:val="20"/>
                <w:color w:val="auto"/>
              </w:rPr>
            </w:pPr>
            <w:r>
              <w:rPr>
                <w:rFonts w:ascii="Arial" w:cs="Arial" w:eastAsia="Arial" w:hAnsi="Arial"/>
                <w:sz w:val="18"/>
                <w:szCs w:val="18"/>
                <w:color w:val="auto"/>
                <w:w w:val="92"/>
              </w:rPr>
              <w:t xml:space="preserve">  </w:t>
            </w:r>
          </w:p>
        </w:tc>
      </w:tr>
    </w:tbl>
    <w:p>
      <w:pPr>
        <w:spacing w:after="0" w:line="383" w:lineRule="exact"/>
        <w:rPr>
          <w:sz w:val="20"/>
          <w:szCs w:val="20"/>
          <w:color w:val="auto"/>
        </w:rPr>
      </w:pPr>
    </w:p>
    <w:p>
      <w:pPr>
        <w:ind w:left="1000" w:hanging="1000"/>
        <w:spacing w:after="0"/>
        <w:tabs>
          <w:tab w:leader="none" w:pos="1000" w:val="left"/>
        </w:tabs>
        <w:numPr>
          <w:ilvl w:val="0"/>
          <w:numId w:val="20"/>
        </w:numPr>
        <w:rPr>
          <w:rFonts w:ascii="MS PGothic" w:cs="MS PGothic" w:eastAsia="MS PGothic" w:hAnsi="MS PGothic"/>
          <w:sz w:val="36"/>
          <w:szCs w:val="36"/>
          <w:color w:val="auto"/>
          <w:vertAlign w:val="superscript"/>
        </w:rPr>
      </w:pPr>
      <w:r>
        <w:rPr>
          <w:sz w:val="1"/>
          <w:szCs w:val="1"/>
          <w:color w:val="auto"/>
        </w:rPr>
        <w:drawing>
          <wp:inline distT="0" distB="0" distL="0" distR="0">
            <wp:extent cx="162560" cy="16319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18"/>
          <w:szCs w:val="18"/>
          <w:color w:val="auto"/>
        </w:rPr>
        <w:t xml:space="preserve">   </w:t>
      </w:r>
      <w:r>
        <w:rPr>
          <w:sz w:val="1"/>
          <w:szCs w:val="1"/>
          <w:color w:val="auto"/>
        </w:rPr>
        <w:drawing>
          <wp:inline distT="0" distB="0" distL="0" distR="0">
            <wp:extent cx="60325" cy="10287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102870"/>
                    </a:xfrm>
                    <a:prstGeom prst="rect">
                      <a:avLst/>
                    </a:prstGeom>
                    <a:noFill/>
                    <a:ln>
                      <a:noFill/>
                    </a:ln>
                  </pic:spPr>
                </pic:pic>
              </a:graphicData>
            </a:graphic>
          </wp:inline>
        </w:drawing>
      </w:r>
      <w:r>
        <w:rPr>
          <w:rFonts w:ascii="Arial" w:cs="Arial" w:eastAsia="Arial" w:hAnsi="Arial"/>
          <w:sz w:val="18"/>
          <w:szCs w:val="18"/>
          <w:color w:val="auto"/>
        </w:rPr>
        <w:t xml:space="preserve">     </w:t>
      </w:r>
      <w:r>
        <w:rPr>
          <w:sz w:val="1"/>
          <w:szCs w:val="1"/>
          <w:color w:val="auto"/>
        </w:rPr>
        <w:drawing>
          <wp:inline distT="0" distB="0" distL="0" distR="0">
            <wp:extent cx="163195" cy="16319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3195" cy="163195"/>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0" w:lineRule="exact"/>
        <w:rPr>
          <w:rFonts w:ascii="MS PGothic" w:cs="MS PGothic" w:eastAsia="MS PGothic" w:hAnsi="MS PGothic"/>
          <w:sz w:val="36"/>
          <w:szCs w:val="36"/>
          <w:color w:val="auto"/>
          <w:vertAlign w:val="superscript"/>
        </w:rPr>
      </w:pPr>
    </w:p>
    <w:p>
      <w:pPr>
        <w:spacing w:after="0" w:line="330" w:lineRule="exact"/>
        <w:rPr>
          <w:rFonts w:ascii="MS PGothic" w:cs="MS PGothic" w:eastAsia="MS PGothic" w:hAnsi="MS PGothic"/>
          <w:sz w:val="36"/>
          <w:szCs w:val="36"/>
          <w:color w:val="auto"/>
          <w:vertAlign w:val="superscript"/>
        </w:rPr>
      </w:pPr>
    </w:p>
    <w:p>
      <w:pPr>
        <w:ind w:left="1000" w:hanging="1000"/>
        <w:spacing w:after="0"/>
        <w:tabs>
          <w:tab w:leader="none" w:pos="1000" w:val="left"/>
        </w:tabs>
        <w:numPr>
          <w:ilvl w:val="0"/>
          <w:numId w:val="20"/>
        </w:numPr>
        <w:rPr>
          <w:rFonts w:ascii="MS PGothic" w:cs="MS PGothic" w:eastAsia="MS PGothic" w:hAnsi="MS PGothic"/>
          <w:sz w:val="36"/>
          <w:szCs w:val="36"/>
          <w:color w:val="auto"/>
          <w:vertAlign w:val="superscript"/>
        </w:rPr>
      </w:pPr>
      <w:r>
        <w:rPr>
          <w:sz w:val="1"/>
          <w:szCs w:val="1"/>
          <w:color w:val="auto"/>
        </w:rPr>
        <w:drawing>
          <wp:inline distT="0" distB="0" distL="0" distR="0">
            <wp:extent cx="162560" cy="16256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18"/>
          <w:szCs w:val="18"/>
          <w:color w:val="auto"/>
        </w:rPr>
        <w:t xml:space="preserve">   </w:t>
      </w:r>
      <w:r>
        <w:rPr>
          <w:sz w:val="1"/>
          <w:szCs w:val="1"/>
          <w:color w:val="auto"/>
        </w:rPr>
        <w:drawing>
          <wp:inline distT="0" distB="0" distL="0" distR="0">
            <wp:extent cx="60325" cy="9398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40" w:lineRule="exact"/>
        <w:rPr>
          <w:sz w:val="20"/>
          <w:szCs w:val="20"/>
          <w:color w:val="auto"/>
        </w:rPr>
      </w:pPr>
    </w:p>
    <w:p>
      <w:pPr>
        <w:sectPr>
          <w:pgSz w:w="11900" w:h="16838" w:orient="portrait"/>
          <w:cols w:equalWidth="0" w:num="3">
            <w:col w:w="2820" w:space="720"/>
            <w:col w:w="3720" w:space="720"/>
            <w:col w:w="3160"/>
          </w:cols>
          <w:pgMar w:left="320" w:top="482" w:right="4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365"/>
        </w:trPr>
        <w:tc>
          <w:tcPr>
            <w:tcW w:w="820" w:type="dxa"/>
            <w:vAlign w:val="bottom"/>
          </w:tcPr>
          <w:p>
            <w:pPr>
              <w:spacing w:after="0"/>
              <w:rPr>
                <w:sz w:val="20"/>
                <w:szCs w:val="20"/>
                <w:color w:val="auto"/>
              </w:rPr>
            </w:pPr>
            <w:r>
              <w:rPr>
                <w:rFonts w:ascii="Arial" w:cs="Arial" w:eastAsia="Arial" w:hAnsi="Arial"/>
                <w:sz w:val="18"/>
                <w:szCs w:val="18"/>
                <w:color w:val="auto"/>
              </w:rPr>
              <w:t>AC</w:t>
            </w:r>
            <w:r>
              <w:rPr>
                <w:rFonts w:ascii="Arial" w:cs="Arial" w:eastAsia="Arial" w:hAnsi="Arial"/>
                <w:sz w:val="26"/>
                <w:szCs w:val="26"/>
                <w:color w:val="auto"/>
                <w:vertAlign w:val="superscript"/>
              </w:rPr>
              <w:t>1</w:t>
            </w:r>
          </w:p>
        </w:tc>
        <w:tc>
          <w:tcPr>
            <w:tcW w:w="5260" w:type="dxa"/>
            <w:vAlign w:val="bottom"/>
          </w:tcPr>
          <w:p>
            <w:pPr>
              <w:ind w:left="240"/>
              <w:spacing w:after="0"/>
              <w:rPr>
                <w:sz w:val="20"/>
                <w:szCs w:val="20"/>
                <w:color w:val="auto"/>
              </w:rPr>
            </w:pPr>
            <w:r>
              <w:rPr>
                <w:rFonts w:ascii="Arial" w:cs="Arial" w:eastAsia="Arial" w:hAnsi="Arial"/>
                <w:sz w:val="18"/>
                <w:szCs w:val="18"/>
                <w:color w:val="auto"/>
              </w:rPr>
              <w:t>Audit Committee</w:t>
            </w:r>
          </w:p>
        </w:tc>
        <w:tc>
          <w:tcPr>
            <w:tcW w:w="4720" w:type="dxa"/>
            <w:vAlign w:val="bottom"/>
          </w:tcPr>
          <w:p>
            <w:pPr>
              <w:ind w:left="2040"/>
              <w:spacing w:after="0"/>
              <w:rPr>
                <w:sz w:val="20"/>
                <w:szCs w:val="20"/>
                <w:color w:val="auto"/>
              </w:rPr>
            </w:pPr>
            <w:r>
              <w:rPr>
                <w:rFonts w:ascii="Arial" w:cs="Arial" w:eastAsia="Arial" w:hAnsi="Arial"/>
                <w:sz w:val="18"/>
                <w:szCs w:val="18"/>
                <w:color w:val="auto"/>
              </w:rPr>
              <w:t>Chair</w:t>
            </w:r>
          </w:p>
        </w:tc>
      </w:tr>
      <w:tr>
        <w:trPr>
          <w:trHeight w:val="364"/>
        </w:trPr>
        <w:tc>
          <w:tcPr>
            <w:tcW w:w="820" w:type="dxa"/>
            <w:vAlign w:val="bottom"/>
          </w:tcPr>
          <w:p>
            <w:pPr>
              <w:spacing w:after="0"/>
              <w:rPr>
                <w:sz w:val="20"/>
                <w:szCs w:val="20"/>
                <w:color w:val="auto"/>
              </w:rPr>
            </w:pPr>
            <w:r>
              <w:rPr>
                <w:rFonts w:ascii="Arial" w:cs="Arial" w:eastAsia="Arial" w:hAnsi="Arial"/>
                <w:sz w:val="18"/>
                <w:szCs w:val="18"/>
                <w:color w:val="auto"/>
              </w:rPr>
              <w:t>GNEC</w:t>
            </w:r>
            <w:r>
              <w:rPr>
                <w:rFonts w:ascii="Arial" w:cs="Arial" w:eastAsia="Arial" w:hAnsi="Arial"/>
                <w:sz w:val="26"/>
                <w:szCs w:val="26"/>
                <w:color w:val="auto"/>
                <w:vertAlign w:val="superscript"/>
              </w:rPr>
              <w:t>2</w:t>
            </w:r>
          </w:p>
        </w:tc>
        <w:tc>
          <w:tcPr>
            <w:tcW w:w="5260" w:type="dxa"/>
            <w:vAlign w:val="bottom"/>
          </w:tcPr>
          <w:p>
            <w:pPr>
              <w:ind w:left="240"/>
              <w:spacing w:after="0"/>
              <w:rPr>
                <w:sz w:val="20"/>
                <w:szCs w:val="20"/>
                <w:color w:val="auto"/>
              </w:rPr>
            </w:pPr>
            <w:r>
              <w:rPr>
                <w:rFonts w:ascii="Arial" w:cs="Arial" w:eastAsia="Arial" w:hAnsi="Arial"/>
                <w:sz w:val="18"/>
                <w:szCs w:val="18"/>
                <w:color w:val="auto"/>
              </w:rPr>
              <w:t>Governance, Nominating and Executive Committee</w:t>
            </w:r>
          </w:p>
        </w:tc>
        <w:tc>
          <w:tcPr>
            <w:tcW w:w="4720" w:type="dxa"/>
            <w:vAlign w:val="bottom"/>
          </w:tcPr>
          <w:p>
            <w:pPr>
              <w:ind w:left="2040"/>
              <w:spacing w:after="0"/>
              <w:rPr>
                <w:sz w:val="20"/>
                <w:szCs w:val="20"/>
                <w:color w:val="auto"/>
              </w:rPr>
            </w:pPr>
            <w:r>
              <w:rPr>
                <w:rFonts w:ascii="Arial" w:cs="Arial" w:eastAsia="Arial" w:hAnsi="Arial"/>
                <w:sz w:val="18"/>
                <w:szCs w:val="18"/>
                <w:color w:val="auto"/>
              </w:rPr>
              <w:t>Member</w:t>
            </w:r>
          </w:p>
        </w:tc>
      </w:tr>
      <w:tr>
        <w:trPr>
          <w:trHeight w:val="351"/>
        </w:trPr>
        <w:tc>
          <w:tcPr>
            <w:tcW w:w="820" w:type="dxa"/>
            <w:vAlign w:val="bottom"/>
          </w:tcPr>
          <w:p>
            <w:pPr>
              <w:spacing w:after="0"/>
              <w:rPr>
                <w:sz w:val="20"/>
                <w:szCs w:val="20"/>
                <w:color w:val="auto"/>
              </w:rPr>
            </w:pPr>
            <w:r>
              <w:rPr>
                <w:rFonts w:ascii="Arial" w:cs="Arial" w:eastAsia="Arial" w:hAnsi="Arial"/>
                <w:sz w:val="18"/>
                <w:szCs w:val="18"/>
                <w:color w:val="auto"/>
              </w:rPr>
              <w:t>LDCC</w:t>
            </w:r>
            <w:r>
              <w:rPr>
                <w:rFonts w:ascii="Arial" w:cs="Arial" w:eastAsia="Arial" w:hAnsi="Arial"/>
                <w:sz w:val="26"/>
                <w:szCs w:val="26"/>
                <w:color w:val="auto"/>
                <w:vertAlign w:val="superscript"/>
              </w:rPr>
              <w:t>3</w:t>
            </w:r>
          </w:p>
        </w:tc>
        <w:tc>
          <w:tcPr>
            <w:tcW w:w="5260" w:type="dxa"/>
            <w:vAlign w:val="bottom"/>
          </w:tcPr>
          <w:p>
            <w:pPr>
              <w:ind w:left="240"/>
              <w:spacing w:after="0"/>
              <w:rPr>
                <w:sz w:val="20"/>
                <w:szCs w:val="20"/>
                <w:color w:val="auto"/>
              </w:rPr>
            </w:pPr>
            <w:r>
              <w:rPr>
                <w:rFonts w:ascii="Arial" w:cs="Arial" w:eastAsia="Arial" w:hAnsi="Arial"/>
                <w:sz w:val="18"/>
                <w:szCs w:val="18"/>
                <w:color w:val="auto"/>
              </w:rPr>
              <w:t>Leadership Development and Compensation Committee</w:t>
            </w:r>
          </w:p>
        </w:tc>
        <w:tc>
          <w:tcPr>
            <w:tcW w:w="4720" w:type="dxa"/>
            <w:vAlign w:val="bottom"/>
          </w:tcPr>
          <w:p>
            <w:pPr>
              <w:ind w:left="2040"/>
              <w:spacing w:after="0"/>
              <w:rPr>
                <w:sz w:val="20"/>
                <w:szCs w:val="20"/>
                <w:color w:val="auto"/>
              </w:rPr>
            </w:pPr>
            <w:r>
              <w:rPr>
                <w:rFonts w:ascii="Arial" w:cs="Arial" w:eastAsia="Arial" w:hAnsi="Arial"/>
                <w:sz w:val="18"/>
                <w:szCs w:val="18"/>
                <w:color w:val="auto"/>
                <w:w w:val="99"/>
              </w:rPr>
              <w:t>Audit Committee Financial Expert</w:t>
            </w:r>
          </w:p>
        </w:tc>
      </w:tr>
      <w:tr>
        <w:trPr>
          <w:trHeight w:val="239"/>
        </w:trPr>
        <w:tc>
          <w:tcPr>
            <w:tcW w:w="8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720" w:type="dxa"/>
            <w:vAlign w:val="bottom"/>
          </w:tcPr>
          <w:p>
            <w:pPr>
              <w:ind w:left="560"/>
              <w:spacing w:after="0"/>
              <w:rPr>
                <w:sz w:val="20"/>
                <w:szCs w:val="20"/>
                <w:color w:val="auto"/>
              </w:rPr>
            </w:pPr>
            <w:r>
              <w:rPr>
                <w:rFonts w:ascii="Arial" w:cs="Arial" w:eastAsia="Arial" w:hAnsi="Arial"/>
                <w:sz w:val="18"/>
                <w:szCs w:val="18"/>
                <w:color w:val="376DB5"/>
                <w:w w:val="97"/>
              </w:rPr>
              <w:t xml:space="preserve">Fair Isaac Corporation </w:t>
            </w:r>
            <w:r>
              <w:rPr>
                <w:rFonts w:ascii="Arial" w:cs="Arial" w:eastAsia="Arial" w:hAnsi="Arial"/>
                <w:sz w:val="18"/>
                <w:szCs w:val="18"/>
                <w:color w:val="000000"/>
                <w:w w:val="97"/>
              </w:rPr>
              <w:t>l 2026 Proxy Statement      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-824865</wp:posOffset>
            </wp:positionV>
            <wp:extent cx="59690" cy="603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6032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-824865</wp:posOffset>
            </wp:positionV>
            <wp:extent cx="17145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0" cy="16319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-593725</wp:posOffset>
            </wp:positionV>
            <wp:extent cx="59690" cy="603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6032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-593725</wp:posOffset>
            </wp:positionV>
            <wp:extent cx="17145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0" cy="16319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-361950</wp:posOffset>
            </wp:positionV>
            <wp:extent cx="59690" cy="603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6032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-361950</wp:posOffset>
            </wp:positionV>
            <wp:extent cx="68580" cy="1028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640" w:type="dxa"/>
            <w:vAlign w:val="bottom"/>
            <w:shd w:val="clear" w:color="auto" w:fill="F2F2F2"/>
          </w:tcPr>
          <w:p>
            <w:pPr>
              <w:spacing w:after="0"/>
              <w:rPr>
                <w:sz w:val="24"/>
                <w:szCs w:val="24"/>
                <w:color w:val="auto"/>
              </w:rPr>
            </w:pPr>
          </w:p>
        </w:tc>
        <w:tc>
          <w:tcPr>
            <w:tcW w:w="820" w:type="dxa"/>
            <w:vAlign w:val="bottom"/>
            <w:shd w:val="clear" w:color="auto" w:fill="F2F2F2"/>
          </w:tcPr>
          <w:p>
            <w:pPr>
              <w:spacing w:after="0"/>
              <w:rPr>
                <w:sz w:val="20"/>
                <w:szCs w:val="20"/>
                <w:color w:val="auto"/>
              </w:rPr>
            </w:pPr>
            <w:r>
              <w:rPr>
                <w:rFonts w:ascii="Arial" w:cs="Arial" w:eastAsia="Arial" w:hAnsi="Arial"/>
                <w:sz w:val="18"/>
                <w:szCs w:val="18"/>
                <w:b w:val="1"/>
                <w:bCs w:val="1"/>
                <w:color w:val="376DB5"/>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32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5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Stock</w:t>
            </w:r>
          </w:p>
        </w:tc>
        <w:tc>
          <w:tcPr>
            <w:tcW w:w="15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Other</w:t>
            </w:r>
          </w:p>
        </w:tc>
      </w:tr>
      <w:tr>
        <w:trPr>
          <w:trHeight w:val="203"/>
        </w:trPr>
        <w:tc>
          <w:tcPr>
            <w:tcW w:w="64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line="202" w:lineRule="exact"/>
              <w:rPr>
                <w:sz w:val="20"/>
                <w:szCs w:val="20"/>
                <w:color w:val="auto"/>
              </w:rPr>
            </w:pPr>
            <w:r>
              <w:rPr>
                <w:rFonts w:ascii="Arial" w:cs="Arial" w:eastAsia="Arial" w:hAnsi="Arial"/>
                <w:sz w:val="18"/>
                <w:szCs w:val="18"/>
                <w:b w:val="1"/>
                <w:bCs w:val="1"/>
                <w:color w:val="376DB5"/>
                <w:w w:val="97"/>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32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5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Ownership</w:t>
            </w:r>
          </w:p>
        </w:tc>
        <w:tc>
          <w:tcPr>
            <w:tcW w:w="15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640" w:type="dxa"/>
            <w:vAlign w:val="bottom"/>
            <w:tcBorders>
              <w:bottom w:val="single" w:sz="8" w:color="F2F2F2"/>
            </w:tcBorders>
            <w:shd w:val="clear" w:color="auto" w:fill="F2F2F2"/>
          </w:tcPr>
          <w:p>
            <w:pPr>
              <w:spacing w:after="0"/>
              <w:rPr>
                <w:sz w:val="16"/>
                <w:szCs w:val="16"/>
                <w:color w:val="auto"/>
              </w:rPr>
            </w:pPr>
          </w:p>
        </w:tc>
        <w:tc>
          <w:tcPr>
            <w:tcW w:w="820" w:type="dxa"/>
            <w:vAlign w:val="bottom"/>
            <w:tcBorders>
              <w:bottom w:val="single" w:sz="8" w:color="376DB5"/>
            </w:tcBorders>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000" w:type="dxa"/>
            <w:vAlign w:val="bottom"/>
            <w:tcBorders>
              <w:bottom w:val="single" w:sz="8" w:color="F2F2F2"/>
            </w:tcBorders>
            <w:shd w:val="clear" w:color="auto" w:fill="F2F2F2"/>
          </w:tcPr>
          <w:p>
            <w:pPr>
              <w:spacing w:after="0"/>
              <w:rPr>
                <w:sz w:val="16"/>
                <w:szCs w:val="16"/>
                <w:color w:val="auto"/>
              </w:rPr>
            </w:pPr>
          </w:p>
        </w:tc>
        <w:tc>
          <w:tcPr>
            <w:tcW w:w="1320" w:type="dxa"/>
            <w:vAlign w:val="bottom"/>
            <w:tcBorders>
              <w:bottom w:val="single" w:sz="8" w:color="F2F2F2"/>
            </w:tcBorders>
            <w:shd w:val="clear" w:color="auto" w:fill="F2F2F2"/>
          </w:tcPr>
          <w:p>
            <w:pPr>
              <w:spacing w:after="0"/>
              <w:rPr>
                <w:sz w:val="16"/>
                <w:szCs w:val="16"/>
                <w:color w:val="auto"/>
              </w:rPr>
            </w:pPr>
          </w:p>
        </w:tc>
        <w:tc>
          <w:tcPr>
            <w:tcW w:w="1500" w:type="dxa"/>
            <w:vAlign w:val="bottom"/>
            <w:tcBorders>
              <w:bottom w:val="single" w:sz="8" w:color="F2F2F2"/>
            </w:tcBorders>
            <w:shd w:val="clear" w:color="auto" w:fill="F2F2F2"/>
          </w:tcPr>
          <w:p>
            <w:pPr>
              <w:spacing w:after="0"/>
              <w:rPr>
                <w:sz w:val="16"/>
                <w:szCs w:val="16"/>
                <w:color w:val="auto"/>
              </w:rPr>
            </w:pPr>
          </w:p>
        </w:tc>
        <w:tc>
          <w:tcPr>
            <w:tcW w:w="1660" w:type="dxa"/>
            <w:vAlign w:val="bottom"/>
            <w:tcBorders>
              <w:bottom w:val="single" w:sz="8" w:color="F2F2F2"/>
            </w:tcBorders>
            <w:shd w:val="clear" w:color="auto" w:fill="F2F2F2"/>
          </w:tcPr>
          <w:p>
            <w:pPr>
              <w:spacing w:after="0"/>
              <w:rPr>
                <w:sz w:val="16"/>
                <w:szCs w:val="16"/>
                <w:color w:val="auto"/>
              </w:rPr>
            </w:pPr>
          </w:p>
        </w:tc>
        <w:tc>
          <w:tcPr>
            <w:tcW w:w="1380" w:type="dxa"/>
            <w:vAlign w:val="bottom"/>
            <w:tcBorders>
              <w:bottom w:val="single" w:sz="8" w:color="F2F2F2"/>
            </w:tcBorders>
            <w:shd w:val="clear" w:color="auto" w:fill="F2F2F2"/>
          </w:tcPr>
          <w:p>
            <w:pPr>
              <w:spacing w:after="0"/>
              <w:rPr>
                <w:sz w:val="16"/>
                <w:szCs w:val="16"/>
                <w:color w:val="auto"/>
              </w:rPr>
            </w:pPr>
          </w:p>
        </w:tc>
        <w:tc>
          <w:tcPr>
            <w:tcW w:w="1200" w:type="dxa"/>
            <w:vAlign w:val="bottom"/>
            <w:tcBorders>
              <w:bottom w:val="single" w:sz="8" w:color="F2F2F2"/>
            </w:tcBorders>
            <w:shd w:val="clear" w:color="auto" w:fill="F2F2F2"/>
          </w:tcPr>
          <w:p>
            <w:pPr>
              <w:spacing w:after="0"/>
              <w:rPr>
                <w:sz w:val="16"/>
                <w:szCs w:val="16"/>
                <w:color w:val="auto"/>
              </w:rPr>
            </w:pPr>
          </w:p>
        </w:tc>
        <w:tc>
          <w:tcPr>
            <w:tcW w:w="1500" w:type="dxa"/>
            <w:vAlign w:val="bottom"/>
            <w:tcBorders>
              <w:bottom w:val="single" w:sz="8" w:color="F2F2F2"/>
            </w:tcBorders>
            <w:shd w:val="clear" w:color="auto" w:fill="F2F2F2"/>
          </w:tcPr>
          <w:p>
            <w:pPr>
              <w:spacing w:after="0"/>
              <w:rPr>
                <w:sz w:val="16"/>
                <w:szCs w:val="16"/>
                <w:color w:val="auto"/>
              </w:rPr>
            </w:pPr>
          </w:p>
        </w:tc>
      </w:tr>
      <w:tr>
        <w:trPr>
          <w:trHeight w:val="34"/>
        </w:trPr>
        <w:tc>
          <w:tcPr>
            <w:tcW w:w="640" w:type="dxa"/>
            <w:vAlign w:val="bottom"/>
            <w:shd w:val="clear" w:color="auto" w:fill="F2F2F2"/>
          </w:tcPr>
          <w:p>
            <w:pPr>
              <w:spacing w:after="0"/>
              <w:rPr>
                <w:sz w:val="2"/>
                <w:szCs w:val="2"/>
                <w:color w:val="auto"/>
              </w:rPr>
            </w:pPr>
          </w:p>
        </w:tc>
        <w:tc>
          <w:tcPr>
            <w:tcW w:w="820" w:type="dxa"/>
            <w:vAlign w:val="bottom"/>
            <w:shd w:val="clear" w:color="auto" w:fill="F2F2F2"/>
          </w:tcPr>
          <w:p>
            <w:pPr>
              <w:spacing w:after="0"/>
              <w:rPr>
                <w:sz w:val="2"/>
                <w:szCs w:val="2"/>
                <w:color w:val="auto"/>
              </w:rPr>
            </w:pPr>
          </w:p>
        </w:tc>
        <w:tc>
          <w:tcPr>
            <w:tcW w:w="1000" w:type="dxa"/>
            <w:vAlign w:val="bottom"/>
            <w:shd w:val="clear" w:color="auto" w:fill="F2F2F2"/>
          </w:tcPr>
          <w:p>
            <w:pPr>
              <w:spacing w:after="0"/>
              <w:rPr>
                <w:sz w:val="2"/>
                <w:szCs w:val="2"/>
                <w:color w:val="auto"/>
              </w:rPr>
            </w:pPr>
          </w:p>
        </w:tc>
        <w:tc>
          <w:tcPr>
            <w:tcW w:w="1320" w:type="dxa"/>
            <w:vAlign w:val="bottom"/>
            <w:shd w:val="clear" w:color="auto" w:fill="F2F2F2"/>
          </w:tcPr>
          <w:p>
            <w:pPr>
              <w:spacing w:after="0"/>
              <w:rPr>
                <w:sz w:val="2"/>
                <w:szCs w:val="2"/>
                <w:color w:val="auto"/>
              </w:rPr>
            </w:pPr>
          </w:p>
        </w:tc>
        <w:tc>
          <w:tcPr>
            <w:tcW w:w="1500" w:type="dxa"/>
            <w:vAlign w:val="bottom"/>
            <w:shd w:val="clear" w:color="auto" w:fill="F2F2F2"/>
          </w:tcPr>
          <w:p>
            <w:pPr>
              <w:spacing w:after="0"/>
              <w:rPr>
                <w:sz w:val="2"/>
                <w:szCs w:val="2"/>
                <w:color w:val="auto"/>
              </w:rPr>
            </w:pPr>
          </w:p>
        </w:tc>
        <w:tc>
          <w:tcPr>
            <w:tcW w:w="1660" w:type="dxa"/>
            <w:vAlign w:val="bottom"/>
            <w:shd w:val="clear" w:color="auto" w:fill="F2F2F2"/>
          </w:tcPr>
          <w:p>
            <w:pPr>
              <w:spacing w:after="0"/>
              <w:rPr>
                <w:sz w:val="2"/>
                <w:szCs w:val="2"/>
                <w:color w:val="auto"/>
              </w:rPr>
            </w:pPr>
          </w:p>
        </w:tc>
        <w:tc>
          <w:tcPr>
            <w:tcW w:w="1380" w:type="dxa"/>
            <w:vAlign w:val="bottom"/>
            <w:shd w:val="clear" w:color="auto" w:fill="F2F2F2"/>
          </w:tcPr>
          <w:p>
            <w:pPr>
              <w:spacing w:after="0"/>
              <w:rPr>
                <w:sz w:val="2"/>
                <w:szCs w:val="2"/>
                <w:color w:val="auto"/>
              </w:rPr>
            </w:pPr>
          </w:p>
        </w:tc>
        <w:tc>
          <w:tcPr>
            <w:tcW w:w="1200" w:type="dxa"/>
            <w:vAlign w:val="bottom"/>
            <w:shd w:val="clear" w:color="auto" w:fill="F2F2F2"/>
          </w:tcPr>
          <w:p>
            <w:pPr>
              <w:spacing w:after="0"/>
              <w:rPr>
                <w:sz w:val="2"/>
                <w:szCs w:val="2"/>
                <w:color w:val="auto"/>
              </w:rPr>
            </w:pPr>
          </w:p>
        </w:tc>
        <w:tc>
          <w:tcPr>
            <w:tcW w:w="1500" w:type="dxa"/>
            <w:vAlign w:val="bottom"/>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Composition of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3176270</wp:posOffset>
            </wp:positionV>
            <wp:extent cx="6995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570230</wp:posOffset>
            </wp:positionV>
            <wp:extent cx="5194935" cy="23571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94935"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5580" w:type="dxa"/>
            <w:vAlign w:val="bottom"/>
            <w:gridSpan w:val="2"/>
          </w:tcPr>
          <w:p>
            <w:pPr>
              <w:spacing w:after="0"/>
              <w:rPr>
                <w:sz w:val="20"/>
                <w:szCs w:val="20"/>
                <w:color w:val="auto"/>
              </w:rPr>
            </w:pPr>
            <w:r>
              <w:rPr>
                <w:rFonts w:ascii="Arial" w:cs="Arial" w:eastAsia="Arial" w:hAnsi="Arial"/>
                <w:sz w:val="18"/>
                <w:szCs w:val="18"/>
                <w:b w:val="1"/>
                <w:bCs w:val="1"/>
                <w:color w:val="142635"/>
              </w:rPr>
              <w:t>CORE COMPETENCIES</w:t>
            </w:r>
          </w:p>
        </w:tc>
        <w:tc>
          <w:tcPr>
            <w:tcW w:w="4280" w:type="dxa"/>
            <w:vAlign w:val="bottom"/>
            <w:gridSpan w:val="3"/>
          </w:tcPr>
          <w:p>
            <w:pPr>
              <w:ind w:left="160"/>
              <w:spacing w:after="0"/>
              <w:rPr>
                <w:sz w:val="20"/>
                <w:szCs w:val="20"/>
                <w:color w:val="auto"/>
              </w:rPr>
            </w:pPr>
            <w:r>
              <w:rPr>
                <w:rFonts w:ascii="Arial" w:cs="Arial" w:eastAsia="Arial" w:hAnsi="Arial"/>
                <w:sz w:val="18"/>
                <w:szCs w:val="18"/>
                <w:b w:val="1"/>
                <w:bCs w:val="1"/>
                <w:color w:val="142635"/>
              </w:rPr>
              <w:t>STRATEGIC ABILITIES</w:t>
            </w: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Skills for day-to-day operations and long-term business sustainability</w:t>
            </w:r>
          </w:p>
        </w:tc>
        <w:tc>
          <w:tcPr>
            <w:tcW w:w="4280" w:type="dxa"/>
            <w:vAlign w:val="bottom"/>
            <w:gridSpan w:val="3"/>
          </w:tcPr>
          <w:p>
            <w:pPr>
              <w:ind w:left="160"/>
              <w:spacing w:after="0" w:line="202" w:lineRule="exact"/>
              <w:rPr>
                <w:sz w:val="20"/>
                <w:szCs w:val="20"/>
                <w:color w:val="auto"/>
              </w:rPr>
            </w:pPr>
            <w:r>
              <w:rPr>
                <w:rFonts w:ascii="Arial" w:cs="Arial" w:eastAsia="Arial" w:hAnsi="Arial"/>
                <w:sz w:val="18"/>
                <w:szCs w:val="18"/>
                <w:color w:val="auto"/>
                <w:w w:val="99"/>
              </w:rPr>
              <w:t>These are specialized abilities that drive innovation,</w:t>
            </w:r>
          </w:p>
        </w:tc>
      </w:tr>
      <w:tr>
        <w:trPr>
          <w:trHeight w:val="239"/>
        </w:trPr>
        <w:tc>
          <w:tcPr>
            <w:tcW w:w="11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280" w:type="dxa"/>
            <w:vAlign w:val="bottom"/>
            <w:gridSpan w:val="3"/>
          </w:tcPr>
          <w:p>
            <w:pPr>
              <w:ind w:left="160"/>
              <w:spacing w:after="0"/>
              <w:rPr>
                <w:sz w:val="20"/>
                <w:szCs w:val="20"/>
                <w:color w:val="auto"/>
              </w:rPr>
            </w:pPr>
            <w:r>
              <w:rPr>
                <w:rFonts w:ascii="Arial" w:cs="Arial" w:eastAsia="Arial" w:hAnsi="Arial"/>
                <w:sz w:val="18"/>
                <w:szCs w:val="18"/>
                <w:color w:val="auto"/>
              </w:rPr>
              <w:t>competitive advantage, and long-term growth</w:t>
            </w:r>
          </w:p>
        </w:tc>
      </w:tr>
      <w:tr>
        <w:trPr>
          <w:trHeight w:val="378"/>
        </w:trPr>
        <w:tc>
          <w:tcPr>
            <w:tcW w:w="1180" w:type="dxa"/>
            <w:vAlign w:val="bottom"/>
          </w:tcPr>
          <w:p>
            <w:pPr>
              <w:jc w:val="right"/>
              <w:spacing w:after="0"/>
              <w:rPr>
                <w:sz w:val="20"/>
                <w:szCs w:val="20"/>
                <w:color w:val="auto"/>
              </w:rPr>
            </w:pPr>
            <w:r>
              <w:rPr>
                <w:rFonts w:ascii="Arial" w:cs="Arial" w:eastAsia="Arial" w:hAnsi="Arial"/>
                <w:sz w:val="18"/>
                <w:szCs w:val="18"/>
                <w:color w:val="376DB5"/>
              </w:rPr>
              <w:t>  # Directors</w:t>
            </w:r>
          </w:p>
        </w:tc>
        <w:tc>
          <w:tcPr>
            <w:tcW w:w="4400" w:type="dxa"/>
            <w:vAlign w:val="bottom"/>
          </w:tcPr>
          <w:p>
            <w:pPr>
              <w:spacing w:after="0"/>
              <w:rPr>
                <w:sz w:val="24"/>
                <w:szCs w:val="24"/>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376DB5"/>
                <w:w w:val="95"/>
              </w:rPr>
              <w:t>  </w:t>
            </w:r>
          </w:p>
        </w:tc>
        <w:tc>
          <w:tcPr>
            <w:tcW w:w="3940" w:type="dxa"/>
            <w:vAlign w:val="bottom"/>
            <w:gridSpan w:val="2"/>
          </w:tcPr>
          <w:p>
            <w:pPr>
              <w:spacing w:after="0"/>
              <w:rPr>
                <w:sz w:val="20"/>
                <w:szCs w:val="20"/>
                <w:color w:val="auto"/>
              </w:rPr>
            </w:pPr>
            <w:r>
              <w:rPr>
                <w:rFonts w:ascii="Arial" w:cs="Arial" w:eastAsia="Arial" w:hAnsi="Arial"/>
                <w:sz w:val="18"/>
                <w:szCs w:val="18"/>
                <w:color w:val="376DB5"/>
              </w:rPr>
              <w:t># Directors</w:t>
            </w:r>
          </w:p>
        </w:tc>
      </w:tr>
      <w:tr>
        <w:trPr>
          <w:trHeight w:val="408"/>
        </w:trPr>
        <w:tc>
          <w:tcPr>
            <w:tcW w:w="1180" w:type="dxa"/>
            <w:vAlign w:val="bottom"/>
          </w:tcPr>
          <w:p>
            <w:pPr>
              <w:jc w:val="right"/>
              <w:ind w:right="84"/>
              <w:spacing w:after="0"/>
              <w:rPr>
                <w:sz w:val="20"/>
                <w:szCs w:val="20"/>
                <w:color w:val="auto"/>
              </w:rPr>
            </w:pPr>
            <w:r>
              <w:rPr>
                <w:rFonts w:ascii="Arial" w:cs="Arial" w:eastAsia="Arial" w:hAnsi="Arial"/>
                <w:sz w:val="20"/>
                <w:szCs w:val="20"/>
                <w:b w:val="1"/>
                <w:bCs w:val="1"/>
                <w:color w:val="376DB5"/>
              </w:rPr>
              <w:t>6</w:t>
            </w:r>
          </w:p>
        </w:tc>
        <w:tc>
          <w:tcPr>
            <w:tcW w:w="4400" w:type="dxa"/>
            <w:vAlign w:val="bottom"/>
          </w:tcPr>
          <w:p>
            <w:pPr>
              <w:ind w:left="20"/>
              <w:spacing w:after="0"/>
              <w:rPr>
                <w:sz w:val="20"/>
                <w:szCs w:val="20"/>
                <w:color w:val="auto"/>
              </w:rPr>
            </w:pPr>
            <w:r>
              <w:rPr>
                <w:rFonts w:ascii="Arial" w:cs="Arial" w:eastAsia="Arial" w:hAnsi="Arial"/>
                <w:sz w:val="18"/>
                <w:szCs w:val="18"/>
                <w:color w:val="auto"/>
              </w:rPr>
              <w:t>Technology Leadership</w:t>
            </w:r>
          </w:p>
        </w:tc>
        <w:tc>
          <w:tcPr>
            <w:tcW w:w="340" w:type="dxa"/>
            <w:vAlign w:val="bottom"/>
          </w:tcPr>
          <w:p>
            <w:pPr>
              <w:spacing w:after="0"/>
              <w:rPr>
                <w:sz w:val="24"/>
                <w:szCs w:val="24"/>
                <w:color w:val="auto"/>
              </w:rPr>
            </w:pPr>
          </w:p>
        </w:tc>
        <w:tc>
          <w:tcPr>
            <w:tcW w:w="600" w:type="dxa"/>
            <w:vAlign w:val="bottom"/>
          </w:tcPr>
          <w:p>
            <w:pPr>
              <w:jc w:val="right"/>
              <w:ind w:right="62"/>
              <w:spacing w:after="0"/>
              <w:rPr>
                <w:sz w:val="20"/>
                <w:szCs w:val="20"/>
                <w:color w:val="auto"/>
              </w:rPr>
            </w:pPr>
            <w:r>
              <w:rPr>
                <w:rFonts w:ascii="Arial" w:cs="Arial" w:eastAsia="Arial" w:hAnsi="Arial"/>
                <w:sz w:val="20"/>
                <w:szCs w:val="20"/>
                <w:b w:val="1"/>
                <w:bCs w:val="1"/>
                <w:color w:val="376DB5"/>
              </w:rPr>
              <w:t>4</w:t>
            </w:r>
          </w:p>
        </w:tc>
        <w:tc>
          <w:tcPr>
            <w:tcW w:w="3340" w:type="dxa"/>
            <w:vAlign w:val="bottom"/>
          </w:tcPr>
          <w:p>
            <w:pPr>
              <w:ind w:left="160"/>
              <w:spacing w:after="0"/>
              <w:rPr>
                <w:sz w:val="20"/>
                <w:szCs w:val="20"/>
                <w:color w:val="auto"/>
              </w:rPr>
            </w:pPr>
            <w:r>
              <w:rPr>
                <w:rFonts w:ascii="Arial" w:cs="Arial" w:eastAsia="Arial" w:hAnsi="Arial"/>
                <w:sz w:val="18"/>
                <w:szCs w:val="18"/>
                <w:color w:val="auto"/>
              </w:rPr>
              <w:t>Strategy Development</w:t>
            </w:r>
          </w:p>
        </w:tc>
      </w:tr>
      <w:tr>
        <w:trPr>
          <w:trHeight w:val="324"/>
        </w:trPr>
        <w:tc>
          <w:tcPr>
            <w:tcW w:w="1180" w:type="dxa"/>
            <w:vAlign w:val="bottom"/>
          </w:tcPr>
          <w:p>
            <w:pPr>
              <w:jc w:val="right"/>
              <w:ind w:right="84"/>
              <w:spacing w:after="0"/>
              <w:rPr>
                <w:sz w:val="20"/>
                <w:szCs w:val="20"/>
                <w:color w:val="auto"/>
              </w:rPr>
            </w:pPr>
            <w:r>
              <w:rPr>
                <w:rFonts w:ascii="Arial" w:cs="Arial" w:eastAsia="Arial" w:hAnsi="Arial"/>
                <w:sz w:val="20"/>
                <w:szCs w:val="20"/>
                <w:b w:val="1"/>
                <w:bCs w:val="1"/>
                <w:color w:val="376DB5"/>
              </w:rPr>
              <w:t>6</w:t>
            </w:r>
          </w:p>
        </w:tc>
        <w:tc>
          <w:tcPr>
            <w:tcW w:w="4400" w:type="dxa"/>
            <w:vAlign w:val="bottom"/>
          </w:tcPr>
          <w:p>
            <w:pPr>
              <w:ind w:left="20"/>
              <w:spacing w:after="0"/>
              <w:rPr>
                <w:sz w:val="20"/>
                <w:szCs w:val="20"/>
                <w:color w:val="auto"/>
              </w:rPr>
            </w:pPr>
            <w:r>
              <w:rPr>
                <w:rFonts w:ascii="Arial" w:cs="Arial" w:eastAsia="Arial" w:hAnsi="Arial"/>
                <w:sz w:val="18"/>
                <w:szCs w:val="18"/>
                <w:color w:val="auto"/>
              </w:rPr>
              <w:t>Financial Expertise</w:t>
            </w:r>
          </w:p>
        </w:tc>
        <w:tc>
          <w:tcPr>
            <w:tcW w:w="340" w:type="dxa"/>
            <w:vAlign w:val="bottom"/>
          </w:tcPr>
          <w:p>
            <w:pPr>
              <w:spacing w:after="0"/>
              <w:rPr>
                <w:sz w:val="24"/>
                <w:szCs w:val="24"/>
                <w:color w:val="auto"/>
              </w:rPr>
            </w:pPr>
          </w:p>
        </w:tc>
        <w:tc>
          <w:tcPr>
            <w:tcW w:w="600" w:type="dxa"/>
            <w:vAlign w:val="bottom"/>
          </w:tcPr>
          <w:p>
            <w:pPr>
              <w:jc w:val="right"/>
              <w:ind w:right="62"/>
              <w:spacing w:after="0"/>
              <w:rPr>
                <w:sz w:val="20"/>
                <w:szCs w:val="20"/>
                <w:color w:val="auto"/>
              </w:rPr>
            </w:pPr>
            <w:r>
              <w:rPr>
                <w:rFonts w:ascii="Arial" w:cs="Arial" w:eastAsia="Arial" w:hAnsi="Arial"/>
                <w:sz w:val="20"/>
                <w:szCs w:val="20"/>
                <w:b w:val="1"/>
                <w:bCs w:val="1"/>
                <w:color w:val="376DB5"/>
              </w:rPr>
              <w:t>4</w:t>
            </w:r>
          </w:p>
        </w:tc>
        <w:tc>
          <w:tcPr>
            <w:tcW w:w="3340" w:type="dxa"/>
            <w:vAlign w:val="bottom"/>
          </w:tcPr>
          <w:p>
            <w:pPr>
              <w:ind w:left="160"/>
              <w:spacing w:after="0"/>
              <w:rPr>
                <w:sz w:val="20"/>
                <w:szCs w:val="20"/>
                <w:color w:val="auto"/>
              </w:rPr>
            </w:pPr>
            <w:r>
              <w:rPr>
                <w:rFonts w:ascii="Arial" w:cs="Arial" w:eastAsia="Arial" w:hAnsi="Arial"/>
                <w:sz w:val="18"/>
                <w:szCs w:val="18"/>
                <w:color w:val="auto"/>
              </w:rPr>
              <w:t>Mergers &amp; Acquisitions</w:t>
            </w:r>
          </w:p>
        </w:tc>
      </w:tr>
      <w:tr>
        <w:trPr>
          <w:trHeight w:val="324"/>
        </w:trPr>
        <w:tc>
          <w:tcPr>
            <w:tcW w:w="1180" w:type="dxa"/>
            <w:vAlign w:val="bottom"/>
          </w:tcPr>
          <w:p>
            <w:pPr>
              <w:jc w:val="right"/>
              <w:ind w:right="84"/>
              <w:spacing w:after="0"/>
              <w:rPr>
                <w:sz w:val="20"/>
                <w:szCs w:val="20"/>
                <w:color w:val="auto"/>
              </w:rPr>
            </w:pPr>
            <w:r>
              <w:rPr>
                <w:rFonts w:ascii="Arial" w:cs="Arial" w:eastAsia="Arial" w:hAnsi="Arial"/>
                <w:sz w:val="20"/>
                <w:szCs w:val="20"/>
                <w:b w:val="1"/>
                <w:bCs w:val="1"/>
                <w:color w:val="376DB5"/>
              </w:rPr>
              <w:t>5</w:t>
            </w:r>
          </w:p>
        </w:tc>
        <w:tc>
          <w:tcPr>
            <w:tcW w:w="4400" w:type="dxa"/>
            <w:vAlign w:val="bottom"/>
          </w:tcPr>
          <w:p>
            <w:pPr>
              <w:ind w:left="20"/>
              <w:spacing w:after="0"/>
              <w:rPr>
                <w:sz w:val="20"/>
                <w:szCs w:val="20"/>
                <w:color w:val="auto"/>
              </w:rPr>
            </w:pPr>
            <w:r>
              <w:rPr>
                <w:rFonts w:ascii="Arial" w:cs="Arial" w:eastAsia="Arial" w:hAnsi="Arial"/>
                <w:sz w:val="18"/>
                <w:szCs w:val="18"/>
                <w:color w:val="auto"/>
              </w:rPr>
              <w:t>Investment Experience</w:t>
            </w:r>
          </w:p>
        </w:tc>
        <w:tc>
          <w:tcPr>
            <w:tcW w:w="340" w:type="dxa"/>
            <w:vAlign w:val="bottom"/>
          </w:tcPr>
          <w:p>
            <w:pPr>
              <w:spacing w:after="0"/>
              <w:rPr>
                <w:sz w:val="24"/>
                <w:szCs w:val="24"/>
                <w:color w:val="auto"/>
              </w:rPr>
            </w:pPr>
          </w:p>
        </w:tc>
        <w:tc>
          <w:tcPr>
            <w:tcW w:w="600" w:type="dxa"/>
            <w:vAlign w:val="bottom"/>
          </w:tcPr>
          <w:p>
            <w:pPr>
              <w:jc w:val="right"/>
              <w:ind w:right="62"/>
              <w:spacing w:after="0"/>
              <w:rPr>
                <w:sz w:val="20"/>
                <w:szCs w:val="20"/>
                <w:color w:val="auto"/>
              </w:rPr>
            </w:pPr>
            <w:r>
              <w:rPr>
                <w:rFonts w:ascii="Arial" w:cs="Arial" w:eastAsia="Arial" w:hAnsi="Arial"/>
                <w:sz w:val="20"/>
                <w:szCs w:val="20"/>
                <w:b w:val="1"/>
                <w:bCs w:val="1"/>
                <w:color w:val="376DB5"/>
              </w:rPr>
              <w:t>3</w:t>
            </w:r>
          </w:p>
        </w:tc>
        <w:tc>
          <w:tcPr>
            <w:tcW w:w="3340" w:type="dxa"/>
            <w:vAlign w:val="bottom"/>
          </w:tcPr>
          <w:p>
            <w:pPr>
              <w:ind w:left="160"/>
              <w:spacing w:after="0"/>
              <w:rPr>
                <w:sz w:val="20"/>
                <w:szCs w:val="20"/>
                <w:color w:val="auto"/>
              </w:rPr>
            </w:pPr>
            <w:r>
              <w:rPr>
                <w:rFonts w:ascii="Arial" w:cs="Arial" w:eastAsia="Arial" w:hAnsi="Arial"/>
                <w:sz w:val="18"/>
                <w:szCs w:val="18"/>
                <w:color w:val="auto"/>
              </w:rPr>
              <w:t>International Business</w:t>
            </w:r>
          </w:p>
        </w:tc>
      </w:tr>
      <w:tr>
        <w:trPr>
          <w:trHeight w:val="324"/>
        </w:trPr>
        <w:tc>
          <w:tcPr>
            <w:tcW w:w="1180" w:type="dxa"/>
            <w:vAlign w:val="bottom"/>
          </w:tcPr>
          <w:p>
            <w:pPr>
              <w:jc w:val="right"/>
              <w:ind w:right="84"/>
              <w:spacing w:after="0"/>
              <w:rPr>
                <w:sz w:val="20"/>
                <w:szCs w:val="20"/>
                <w:color w:val="auto"/>
              </w:rPr>
            </w:pPr>
            <w:r>
              <w:rPr>
                <w:rFonts w:ascii="Arial" w:cs="Arial" w:eastAsia="Arial" w:hAnsi="Arial"/>
                <w:sz w:val="20"/>
                <w:szCs w:val="20"/>
                <w:b w:val="1"/>
                <w:bCs w:val="1"/>
                <w:color w:val="376DB5"/>
              </w:rPr>
              <w:t>4</w:t>
            </w:r>
          </w:p>
        </w:tc>
        <w:tc>
          <w:tcPr>
            <w:tcW w:w="4400" w:type="dxa"/>
            <w:vAlign w:val="bottom"/>
          </w:tcPr>
          <w:p>
            <w:pPr>
              <w:ind w:left="20"/>
              <w:spacing w:after="0"/>
              <w:rPr>
                <w:sz w:val="20"/>
                <w:szCs w:val="20"/>
                <w:color w:val="auto"/>
              </w:rPr>
            </w:pPr>
            <w:r>
              <w:rPr>
                <w:rFonts w:ascii="Arial" w:cs="Arial" w:eastAsia="Arial" w:hAnsi="Arial"/>
                <w:sz w:val="18"/>
                <w:szCs w:val="18"/>
                <w:color w:val="auto"/>
              </w:rPr>
              <w:t>Executive Leadership</w:t>
            </w:r>
          </w:p>
        </w:tc>
        <w:tc>
          <w:tcPr>
            <w:tcW w:w="340" w:type="dxa"/>
            <w:vAlign w:val="bottom"/>
          </w:tcPr>
          <w:p>
            <w:pPr>
              <w:spacing w:after="0"/>
              <w:rPr>
                <w:sz w:val="24"/>
                <w:szCs w:val="24"/>
                <w:color w:val="auto"/>
              </w:rPr>
            </w:pPr>
          </w:p>
        </w:tc>
        <w:tc>
          <w:tcPr>
            <w:tcW w:w="600" w:type="dxa"/>
            <w:vAlign w:val="bottom"/>
          </w:tcPr>
          <w:p>
            <w:pPr>
              <w:jc w:val="right"/>
              <w:ind w:right="62"/>
              <w:spacing w:after="0"/>
              <w:rPr>
                <w:sz w:val="20"/>
                <w:szCs w:val="20"/>
                <w:color w:val="auto"/>
              </w:rPr>
            </w:pPr>
            <w:r>
              <w:rPr>
                <w:rFonts w:ascii="Arial" w:cs="Arial" w:eastAsia="Arial" w:hAnsi="Arial"/>
                <w:sz w:val="20"/>
                <w:szCs w:val="20"/>
                <w:b w:val="1"/>
                <w:bCs w:val="1"/>
                <w:color w:val="376DB5"/>
              </w:rPr>
              <w:t>3</w:t>
            </w:r>
          </w:p>
        </w:tc>
        <w:tc>
          <w:tcPr>
            <w:tcW w:w="3340" w:type="dxa"/>
            <w:vAlign w:val="bottom"/>
          </w:tcPr>
          <w:p>
            <w:pPr>
              <w:ind w:left="160"/>
              <w:spacing w:after="0"/>
              <w:rPr>
                <w:sz w:val="20"/>
                <w:szCs w:val="20"/>
                <w:color w:val="auto"/>
              </w:rPr>
            </w:pPr>
            <w:r>
              <w:rPr>
                <w:rFonts w:ascii="Arial" w:cs="Arial" w:eastAsia="Arial" w:hAnsi="Arial"/>
                <w:sz w:val="18"/>
                <w:szCs w:val="18"/>
                <w:color w:val="auto"/>
              </w:rPr>
              <w:t>SaaS Experience</w:t>
            </w:r>
          </w:p>
        </w:tc>
      </w:tr>
      <w:tr>
        <w:trPr>
          <w:trHeight w:val="324"/>
        </w:trPr>
        <w:tc>
          <w:tcPr>
            <w:tcW w:w="1180" w:type="dxa"/>
            <w:vAlign w:val="bottom"/>
          </w:tcPr>
          <w:p>
            <w:pPr>
              <w:jc w:val="right"/>
              <w:ind w:right="84"/>
              <w:spacing w:after="0"/>
              <w:rPr>
                <w:sz w:val="20"/>
                <w:szCs w:val="20"/>
                <w:color w:val="auto"/>
              </w:rPr>
            </w:pPr>
            <w:r>
              <w:rPr>
                <w:rFonts w:ascii="Arial" w:cs="Arial" w:eastAsia="Arial" w:hAnsi="Arial"/>
                <w:sz w:val="20"/>
                <w:szCs w:val="20"/>
                <w:b w:val="1"/>
                <w:bCs w:val="1"/>
                <w:color w:val="376DB5"/>
              </w:rPr>
              <w:t>2</w:t>
            </w:r>
          </w:p>
        </w:tc>
        <w:tc>
          <w:tcPr>
            <w:tcW w:w="4400" w:type="dxa"/>
            <w:vAlign w:val="bottom"/>
          </w:tcPr>
          <w:p>
            <w:pPr>
              <w:ind w:left="20"/>
              <w:spacing w:after="0"/>
              <w:rPr>
                <w:sz w:val="20"/>
                <w:szCs w:val="20"/>
                <w:color w:val="auto"/>
              </w:rPr>
            </w:pPr>
            <w:r>
              <w:rPr>
                <w:rFonts w:ascii="Arial" w:cs="Arial" w:eastAsia="Arial" w:hAnsi="Arial"/>
                <w:sz w:val="18"/>
                <w:szCs w:val="18"/>
                <w:color w:val="auto"/>
              </w:rPr>
              <w:t>Sales &amp; Marketing Intelligence</w:t>
            </w:r>
          </w:p>
        </w:tc>
        <w:tc>
          <w:tcPr>
            <w:tcW w:w="340" w:type="dxa"/>
            <w:vAlign w:val="bottom"/>
          </w:tcPr>
          <w:p>
            <w:pPr>
              <w:spacing w:after="0"/>
              <w:rPr>
                <w:sz w:val="24"/>
                <w:szCs w:val="24"/>
                <w:color w:val="auto"/>
              </w:rPr>
            </w:pPr>
          </w:p>
        </w:tc>
        <w:tc>
          <w:tcPr>
            <w:tcW w:w="600" w:type="dxa"/>
            <w:vAlign w:val="bottom"/>
          </w:tcPr>
          <w:p>
            <w:pPr>
              <w:jc w:val="right"/>
              <w:ind w:right="62"/>
              <w:spacing w:after="0"/>
              <w:rPr>
                <w:sz w:val="20"/>
                <w:szCs w:val="20"/>
                <w:color w:val="auto"/>
              </w:rPr>
            </w:pPr>
            <w:r>
              <w:rPr>
                <w:rFonts w:ascii="Arial" w:cs="Arial" w:eastAsia="Arial" w:hAnsi="Arial"/>
                <w:sz w:val="20"/>
                <w:szCs w:val="20"/>
                <w:b w:val="1"/>
                <w:bCs w:val="1"/>
                <w:color w:val="376DB5"/>
              </w:rPr>
              <w:t>2</w:t>
            </w:r>
          </w:p>
        </w:tc>
        <w:tc>
          <w:tcPr>
            <w:tcW w:w="3340" w:type="dxa"/>
            <w:vAlign w:val="bottom"/>
          </w:tcPr>
          <w:p>
            <w:pPr>
              <w:ind w:left="160"/>
              <w:spacing w:after="0"/>
              <w:rPr>
                <w:sz w:val="20"/>
                <w:szCs w:val="20"/>
                <w:color w:val="auto"/>
              </w:rPr>
            </w:pPr>
            <w:r>
              <w:rPr>
                <w:rFonts w:ascii="Arial" w:cs="Arial" w:eastAsia="Arial" w:hAnsi="Arial"/>
                <w:sz w:val="18"/>
                <w:szCs w:val="18"/>
                <w:color w:val="auto"/>
              </w:rPr>
              <w:t>Cybersecurity Oversight</w:t>
            </w:r>
          </w:p>
        </w:tc>
      </w:tr>
      <w:tr>
        <w:trPr>
          <w:trHeight w:val="324"/>
        </w:trPr>
        <w:tc>
          <w:tcPr>
            <w:tcW w:w="1180" w:type="dxa"/>
            <w:vAlign w:val="bottom"/>
          </w:tcPr>
          <w:p>
            <w:pPr>
              <w:jc w:val="right"/>
              <w:ind w:right="84"/>
              <w:spacing w:after="0"/>
              <w:rPr>
                <w:sz w:val="20"/>
                <w:szCs w:val="20"/>
                <w:color w:val="auto"/>
              </w:rPr>
            </w:pPr>
            <w:r>
              <w:rPr>
                <w:rFonts w:ascii="Arial" w:cs="Arial" w:eastAsia="Arial" w:hAnsi="Arial"/>
                <w:sz w:val="20"/>
                <w:szCs w:val="20"/>
                <w:b w:val="1"/>
                <w:bCs w:val="1"/>
                <w:color w:val="376DB5"/>
                <w:w w:val="94"/>
              </w:rPr>
              <w:t>              1</w:t>
            </w:r>
          </w:p>
        </w:tc>
        <w:tc>
          <w:tcPr>
            <w:tcW w:w="4400" w:type="dxa"/>
            <w:vAlign w:val="bottom"/>
          </w:tcPr>
          <w:p>
            <w:pPr>
              <w:ind w:left="20"/>
              <w:spacing w:after="0"/>
              <w:rPr>
                <w:sz w:val="20"/>
                <w:szCs w:val="20"/>
                <w:color w:val="auto"/>
              </w:rPr>
            </w:pPr>
            <w:r>
              <w:rPr>
                <w:rFonts w:ascii="Arial" w:cs="Arial" w:eastAsia="Arial" w:hAnsi="Arial"/>
                <w:sz w:val="18"/>
                <w:szCs w:val="18"/>
                <w:color w:val="auto"/>
              </w:rPr>
              <w:t>Risk Management</w:t>
            </w:r>
          </w:p>
        </w:tc>
        <w:tc>
          <w:tcPr>
            <w:tcW w:w="340" w:type="dxa"/>
            <w:vAlign w:val="bottom"/>
          </w:tcPr>
          <w:p>
            <w:pPr>
              <w:spacing w:after="0"/>
              <w:rPr>
                <w:sz w:val="24"/>
                <w:szCs w:val="24"/>
                <w:color w:val="auto"/>
              </w:rPr>
            </w:pPr>
          </w:p>
        </w:tc>
        <w:tc>
          <w:tcPr>
            <w:tcW w:w="600" w:type="dxa"/>
            <w:vAlign w:val="bottom"/>
          </w:tcPr>
          <w:p>
            <w:pPr>
              <w:jc w:val="right"/>
              <w:ind w:right="62"/>
              <w:spacing w:after="0"/>
              <w:rPr>
                <w:sz w:val="20"/>
                <w:szCs w:val="20"/>
                <w:color w:val="auto"/>
              </w:rPr>
            </w:pPr>
            <w:r>
              <w:rPr>
                <w:rFonts w:ascii="Arial" w:cs="Arial" w:eastAsia="Arial" w:hAnsi="Arial"/>
                <w:sz w:val="20"/>
                <w:szCs w:val="20"/>
                <w:b w:val="1"/>
                <w:bCs w:val="1"/>
                <w:color w:val="376DB5"/>
              </w:rPr>
              <w:t>2</w:t>
            </w:r>
          </w:p>
        </w:tc>
        <w:tc>
          <w:tcPr>
            <w:tcW w:w="3340" w:type="dxa"/>
            <w:vAlign w:val="bottom"/>
          </w:tcPr>
          <w:p>
            <w:pPr>
              <w:ind w:left="160"/>
              <w:spacing w:after="0"/>
              <w:rPr>
                <w:sz w:val="20"/>
                <w:szCs w:val="20"/>
                <w:color w:val="auto"/>
              </w:rPr>
            </w:pPr>
            <w:r>
              <w:rPr>
                <w:rFonts w:ascii="Arial" w:cs="Arial" w:eastAsia="Arial" w:hAnsi="Arial"/>
                <w:sz w:val="18"/>
                <w:szCs w:val="18"/>
                <w:color w:val="auto"/>
              </w:rPr>
              <w:t>Cloud-based Software Experience</w:t>
            </w:r>
          </w:p>
        </w:tc>
      </w:tr>
      <w:tr>
        <w:trPr>
          <w:trHeight w:val="324"/>
        </w:trPr>
        <w:tc>
          <w:tcPr>
            <w:tcW w:w="11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40" w:type="dxa"/>
            <w:vAlign w:val="bottom"/>
          </w:tcPr>
          <w:p>
            <w:pPr>
              <w:ind w:left="160"/>
              <w:spacing w:after="0"/>
              <w:rPr>
                <w:sz w:val="20"/>
                <w:szCs w:val="20"/>
                <w:color w:val="auto"/>
              </w:rPr>
            </w:pPr>
            <w:r>
              <w:rPr>
                <w:rFonts w:ascii="Arial" w:cs="Arial" w:eastAsia="Arial" w:hAnsi="Arial"/>
                <w:sz w:val="20"/>
                <w:szCs w:val="20"/>
                <w:b w:val="1"/>
                <w:bCs w:val="1"/>
                <w:color w:val="376DB5"/>
              </w:rPr>
              <w:t xml:space="preserve">   </w:t>
            </w:r>
          </w:p>
        </w:tc>
        <w:tc>
          <w:tcPr>
            <w:tcW w:w="600" w:type="dxa"/>
            <w:vAlign w:val="bottom"/>
          </w:tcPr>
          <w:p>
            <w:pPr>
              <w:jc w:val="right"/>
              <w:ind w:right="62"/>
              <w:spacing w:after="0"/>
              <w:rPr>
                <w:sz w:val="20"/>
                <w:szCs w:val="20"/>
                <w:color w:val="auto"/>
              </w:rPr>
            </w:pPr>
            <w:r>
              <w:rPr>
                <w:rFonts w:ascii="Arial" w:cs="Arial" w:eastAsia="Arial" w:hAnsi="Arial"/>
                <w:sz w:val="20"/>
                <w:szCs w:val="20"/>
                <w:b w:val="1"/>
                <w:bCs w:val="1"/>
                <w:color w:val="376DB5"/>
                <w:w w:val="99"/>
              </w:rPr>
              <w:t>   1</w:t>
            </w:r>
          </w:p>
        </w:tc>
        <w:tc>
          <w:tcPr>
            <w:tcW w:w="3340" w:type="dxa"/>
            <w:vAlign w:val="bottom"/>
          </w:tcPr>
          <w:p>
            <w:pPr>
              <w:ind w:left="160"/>
              <w:spacing w:after="0"/>
              <w:rPr>
                <w:sz w:val="20"/>
                <w:szCs w:val="20"/>
                <w:color w:val="auto"/>
              </w:rPr>
            </w:pPr>
            <w:r>
              <w:rPr>
                <w:rFonts w:ascii="Arial" w:cs="Arial" w:eastAsia="Arial" w:hAnsi="Arial"/>
                <w:sz w:val="18"/>
                <w:szCs w:val="18"/>
                <w:color w:val="auto"/>
              </w:rPr>
              <w:t>Artificial Intelligence Experience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10</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30" w:type="dxa"/>
        <w:tblCellMar>
          <w:top w:w="0" w:type="dxa"/>
          <w:left w:w="0" w:type="dxa"/>
          <w:bottom w:w="0" w:type="dxa"/>
          <w:right w:w="0" w:type="dxa"/>
        </w:tblCellMar>
      </w:tblPr>
      <w:tr>
        <w:trPr>
          <w:trHeight w:val="764"/>
        </w:trPr>
        <w:tc>
          <w:tcPr>
            <w:tcW w:w="1540" w:type="dxa"/>
            <w:vAlign w:val="bottom"/>
            <w:tcBorders>
              <w:left w:val="single" w:sz="8" w:color="F2F2F2"/>
            </w:tcBorders>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98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Board of</w:t>
            </w:r>
          </w:p>
        </w:tc>
        <w:tc>
          <w:tcPr>
            <w:tcW w:w="13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5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Executive</w:t>
            </w:r>
          </w:p>
        </w:tc>
        <w:tc>
          <w:tcPr>
            <w:tcW w:w="1820" w:type="dxa"/>
            <w:vAlign w:val="bottom"/>
            <w:tcBorders>
              <w:right w:val="single" w:sz="8" w:color="F2F2F2"/>
            </w:tcBorders>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200" w:type="dxa"/>
            <w:vAlign w:val="bottom"/>
            <w:shd w:val="clear" w:color="auto" w:fill="F2F2F2"/>
          </w:tcPr>
          <w:p>
            <w:pPr>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4"/>
                <w:szCs w:val="24"/>
                <w:color w:val="auto"/>
              </w:rPr>
            </w:pPr>
          </w:p>
        </w:tc>
      </w:tr>
      <w:tr>
        <w:trPr>
          <w:trHeight w:val="203"/>
        </w:trPr>
        <w:tc>
          <w:tcPr>
            <w:tcW w:w="1540" w:type="dxa"/>
            <w:vAlign w:val="bottom"/>
            <w:tcBorders>
              <w:left w:val="single" w:sz="8" w:color="F2F2F2"/>
            </w:tcBorders>
            <w:shd w:val="clear" w:color="auto" w:fill="F2F2F2"/>
          </w:tcPr>
          <w:p>
            <w:pPr>
              <w:ind w:left="640"/>
              <w:spacing w:after="0" w:line="202" w:lineRule="exact"/>
              <w:rPr>
                <w:sz w:val="20"/>
                <w:szCs w:val="20"/>
                <w:color w:val="auto"/>
              </w:rPr>
            </w:pPr>
            <w:r>
              <w:rPr>
                <w:rFonts w:ascii="Arial" w:cs="Arial" w:eastAsia="Arial" w:hAnsi="Arial"/>
                <w:sz w:val="18"/>
                <w:szCs w:val="18"/>
                <w:color w:val="auto"/>
              </w:rPr>
              <w:t>Summary</w:t>
            </w:r>
          </w:p>
        </w:tc>
        <w:tc>
          <w:tcPr>
            <w:tcW w:w="98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Directors</w:t>
            </w:r>
          </w:p>
        </w:tc>
        <w:tc>
          <w:tcPr>
            <w:tcW w:w="13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5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Compensation</w:t>
            </w:r>
          </w:p>
        </w:tc>
        <w:tc>
          <w:tcPr>
            <w:tcW w:w="1820" w:type="dxa"/>
            <w:vAlign w:val="bottom"/>
            <w:tcBorders>
              <w:right w:val="single" w:sz="8" w:color="F2F2F2"/>
            </w:tcBorders>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200" w:type="dxa"/>
            <w:vAlign w:val="bottom"/>
            <w:shd w:val="clear" w:color="auto" w:fill="F2F2F2"/>
          </w:tcPr>
          <w:p>
            <w:pPr>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c>
          <w:tcPr>
            <w:tcW w:w="20" w:type="dxa"/>
            <w:vAlign w:val="bottom"/>
          </w:tcPr>
          <w:p>
            <w:pPr>
              <w:spacing w:after="0"/>
              <w:rPr>
                <w:sz w:val="17"/>
                <w:szCs w:val="17"/>
                <w:color w:val="auto"/>
              </w:rPr>
            </w:pPr>
          </w:p>
        </w:tc>
      </w:tr>
      <w:tr>
        <w:trPr>
          <w:trHeight w:val="228"/>
        </w:trPr>
        <w:tc>
          <w:tcPr>
            <w:tcW w:w="1540" w:type="dxa"/>
            <w:vAlign w:val="bottom"/>
            <w:tcBorders>
              <w:left w:val="single" w:sz="8" w:color="F2F2F2"/>
            </w:tcBorders>
            <w:shd w:val="clear" w:color="auto" w:fill="F2F2F2"/>
          </w:tcPr>
          <w:p>
            <w:pPr>
              <w:spacing w:after="0"/>
              <w:rPr>
                <w:sz w:val="19"/>
                <w:szCs w:val="19"/>
                <w:color w:val="auto"/>
              </w:rPr>
            </w:pPr>
          </w:p>
        </w:tc>
        <w:tc>
          <w:tcPr>
            <w:tcW w:w="98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300" w:type="dxa"/>
            <w:vAlign w:val="bottom"/>
            <w:shd w:val="clear" w:color="auto" w:fill="F2F2F2"/>
          </w:tcPr>
          <w:p>
            <w:pPr>
              <w:spacing w:after="0"/>
              <w:rPr>
                <w:sz w:val="19"/>
                <w:szCs w:val="19"/>
                <w:color w:val="auto"/>
              </w:rPr>
            </w:pPr>
          </w:p>
        </w:tc>
        <w:tc>
          <w:tcPr>
            <w:tcW w:w="1500" w:type="dxa"/>
            <w:vAlign w:val="bottom"/>
            <w:shd w:val="clear" w:color="auto" w:fill="F2F2F2"/>
          </w:tcPr>
          <w:p>
            <w:pPr>
              <w:spacing w:after="0"/>
              <w:rPr>
                <w:sz w:val="19"/>
                <w:szCs w:val="19"/>
                <w:color w:val="auto"/>
              </w:rPr>
            </w:pPr>
          </w:p>
        </w:tc>
        <w:tc>
          <w:tcPr>
            <w:tcW w:w="1820" w:type="dxa"/>
            <w:vAlign w:val="bottom"/>
            <w:tcBorders>
              <w:right w:val="single" w:sz="8" w:color="F2F2F2"/>
            </w:tcBorders>
            <w:shd w:val="clear" w:color="auto" w:fill="F2F2F2"/>
          </w:tcPr>
          <w:p>
            <w:pPr>
              <w:spacing w:after="0"/>
              <w:rPr>
                <w:sz w:val="19"/>
                <w:szCs w:val="19"/>
                <w:color w:val="auto"/>
              </w:rPr>
            </w:pPr>
          </w:p>
        </w:tc>
        <w:tc>
          <w:tcPr>
            <w:tcW w:w="1200" w:type="dxa"/>
            <w:vAlign w:val="bottom"/>
            <w:shd w:val="clear" w:color="auto" w:fill="F2F2F2"/>
          </w:tcPr>
          <w:p>
            <w:pPr>
              <w:spacing w:after="0"/>
              <w:rPr>
                <w:sz w:val="19"/>
                <w:szCs w:val="19"/>
                <w:color w:val="auto"/>
              </w:rPr>
            </w:pPr>
          </w:p>
        </w:tc>
        <w:tc>
          <w:tcPr>
            <w:tcW w:w="1200" w:type="dxa"/>
            <w:vAlign w:val="bottom"/>
            <w:shd w:val="clear" w:color="auto" w:fill="F2F2F2"/>
          </w:tcPr>
          <w:p>
            <w:pPr>
              <w:spacing w:after="0"/>
              <w:rPr>
                <w:sz w:val="19"/>
                <w:szCs w:val="19"/>
                <w:color w:val="auto"/>
              </w:rPr>
            </w:pPr>
          </w:p>
        </w:tc>
        <w:tc>
          <w:tcPr>
            <w:tcW w:w="1480" w:type="dxa"/>
            <w:vAlign w:val="bottom"/>
            <w:shd w:val="clear" w:color="auto" w:fill="F2F2F2"/>
          </w:tcPr>
          <w:p>
            <w:pPr>
              <w:spacing w:after="0"/>
              <w:rPr>
                <w:sz w:val="19"/>
                <w:szCs w:val="19"/>
                <w:color w:val="auto"/>
              </w:rPr>
            </w:pPr>
          </w:p>
        </w:tc>
        <w:tc>
          <w:tcPr>
            <w:tcW w:w="20" w:type="dxa"/>
            <w:vAlign w:val="bottom"/>
          </w:tcPr>
          <w:p>
            <w:pPr>
              <w:spacing w:after="0"/>
              <w:rPr>
                <w:sz w:val="19"/>
                <w:szCs w:val="19"/>
                <w:color w:val="auto"/>
              </w:rPr>
            </w:pPr>
          </w:p>
        </w:tc>
      </w:tr>
      <w:tr>
        <w:trPr>
          <w:trHeight w:val="148"/>
        </w:trPr>
        <w:tc>
          <w:tcPr>
            <w:tcW w:w="1540" w:type="dxa"/>
            <w:vAlign w:val="bottom"/>
            <w:tcBorders>
              <w:top w:val="single" w:sz="8" w:color="F2F2F2"/>
              <w:bottom w:val="single" w:sz="8" w:color="376DB5"/>
            </w:tcBorders>
          </w:tcPr>
          <w:p>
            <w:pPr>
              <w:spacing w:after="0"/>
              <w:rPr>
                <w:sz w:val="12"/>
                <w:szCs w:val="12"/>
                <w:color w:val="auto"/>
              </w:rPr>
            </w:pPr>
          </w:p>
        </w:tc>
        <w:tc>
          <w:tcPr>
            <w:tcW w:w="780" w:type="dxa"/>
            <w:vAlign w:val="bottom"/>
            <w:tcBorders>
              <w:top w:val="single" w:sz="8" w:color="376DB5"/>
              <w:bottom w:val="single" w:sz="8" w:color="376DB5"/>
            </w:tcBorders>
          </w:tcPr>
          <w:p>
            <w:pPr>
              <w:spacing w:after="0"/>
              <w:rPr>
                <w:sz w:val="12"/>
                <w:szCs w:val="12"/>
                <w:color w:val="auto"/>
              </w:rPr>
            </w:pPr>
          </w:p>
        </w:tc>
        <w:tc>
          <w:tcPr>
            <w:tcW w:w="3000" w:type="dxa"/>
            <w:vAlign w:val="bottom"/>
            <w:tcBorders>
              <w:top w:val="single" w:sz="8" w:color="F2F2F2"/>
              <w:bottom w:val="single" w:sz="8" w:color="376DB5"/>
            </w:tcBorders>
            <w:gridSpan w:val="3"/>
          </w:tcPr>
          <w:p>
            <w:pPr>
              <w:spacing w:after="0"/>
              <w:rPr>
                <w:sz w:val="12"/>
                <w:szCs w:val="12"/>
                <w:color w:val="auto"/>
              </w:rPr>
            </w:pPr>
          </w:p>
        </w:tc>
        <w:tc>
          <w:tcPr>
            <w:tcW w:w="1820" w:type="dxa"/>
            <w:vAlign w:val="bottom"/>
            <w:tcBorders>
              <w:top w:val="single" w:sz="8" w:color="F2F2F2"/>
              <w:bottom w:val="single" w:sz="8" w:color="376DB5"/>
            </w:tcBorders>
          </w:tcPr>
          <w:p>
            <w:pPr>
              <w:spacing w:after="0"/>
              <w:rPr>
                <w:sz w:val="12"/>
                <w:szCs w:val="12"/>
                <w:color w:val="auto"/>
              </w:rPr>
            </w:pPr>
          </w:p>
        </w:tc>
        <w:tc>
          <w:tcPr>
            <w:tcW w:w="3880" w:type="dxa"/>
            <w:vAlign w:val="bottom"/>
            <w:tcBorders>
              <w:top w:val="single" w:sz="8" w:color="F2F2F2"/>
              <w:bottom w:val="single" w:sz="8" w:color="376DB5"/>
            </w:tcBorders>
            <w:gridSpan w:val="3"/>
          </w:tcPr>
          <w:p>
            <w:pPr>
              <w:spacing w:after="0"/>
              <w:rPr>
                <w:sz w:val="12"/>
                <w:szCs w:val="12"/>
                <w:color w:val="auto"/>
              </w:rPr>
            </w:pPr>
          </w:p>
        </w:tc>
        <w:tc>
          <w:tcPr>
            <w:tcW w:w="20" w:type="dxa"/>
            <w:vAlign w:val="bottom"/>
            <w:tcBorders>
              <w:bottom w:val="single" w:sz="8" w:color="376DB5"/>
            </w:tcBorders>
          </w:tcPr>
          <w:p>
            <w:pPr>
              <w:spacing w:after="0"/>
              <w:rPr>
                <w:sz w:val="12"/>
                <w:szCs w:val="12"/>
                <w:color w:val="auto"/>
              </w:rPr>
            </w:pPr>
          </w:p>
        </w:tc>
      </w:tr>
      <w:tr>
        <w:trPr>
          <w:trHeight w:val="372"/>
        </w:trPr>
        <w:tc>
          <w:tcPr>
            <w:tcW w:w="5320" w:type="dxa"/>
            <w:vAlign w:val="bottom"/>
            <w:tcBorders>
              <w:left w:val="single" w:sz="8" w:color="376DB5"/>
            </w:tcBorders>
            <w:gridSpan w:val="5"/>
            <w:shd w:val="clear" w:color="auto" w:fill="F4F9FC"/>
          </w:tcPr>
          <w:p>
            <w:pPr>
              <w:ind w:left="160"/>
              <w:spacing w:after="0"/>
              <w:rPr>
                <w:sz w:val="20"/>
                <w:szCs w:val="20"/>
                <w:color w:val="auto"/>
              </w:rPr>
            </w:pPr>
            <w:r>
              <w:rPr>
                <w:rFonts w:ascii="Arial" w:cs="Arial" w:eastAsia="Arial" w:hAnsi="Arial"/>
                <w:sz w:val="29"/>
                <w:szCs w:val="29"/>
                <w:b w:val="1"/>
                <w:bCs w:val="1"/>
                <w:color w:val="1F438E"/>
              </w:rPr>
              <w:t xml:space="preserve">  PROPOSAL 1: </w:t>
            </w:r>
            <w:r>
              <w:rPr>
                <w:rFonts w:ascii="Arial" w:cs="Arial" w:eastAsia="Arial" w:hAnsi="Arial"/>
                <w:sz w:val="29"/>
                <w:szCs w:val="29"/>
                <w:color w:val="1F438E"/>
              </w:rPr>
              <w:t>Election of Directors</w:t>
            </w:r>
          </w:p>
        </w:tc>
        <w:tc>
          <w:tcPr>
            <w:tcW w:w="1820" w:type="dxa"/>
            <w:vAlign w:val="bottom"/>
            <w:tcBorders>
              <w:right w:val="single" w:sz="8" w:color="376DB5"/>
            </w:tcBorders>
            <w:shd w:val="clear" w:color="auto" w:fill="F4F9FC"/>
          </w:tcPr>
          <w:p>
            <w:pPr>
              <w:spacing w:after="0"/>
              <w:rPr>
                <w:sz w:val="24"/>
                <w:szCs w:val="24"/>
                <w:color w:val="auto"/>
              </w:rPr>
            </w:pPr>
          </w:p>
        </w:tc>
        <w:tc>
          <w:tcPr>
            <w:tcW w:w="3880" w:type="dxa"/>
            <w:vAlign w:val="bottom"/>
            <w:gridSpan w:val="3"/>
          </w:tcPr>
          <w:p>
            <w:pPr>
              <w:ind w:left="340"/>
              <w:spacing w:after="0" w:line="371" w:lineRule="exact"/>
              <w:rPr>
                <w:sz w:val="20"/>
                <w:szCs w:val="20"/>
                <w:color w:val="auto"/>
              </w:rPr>
            </w:pPr>
            <w:r>
              <w:rPr>
                <w:rFonts w:ascii="Arial" w:cs="Arial" w:eastAsia="Arial" w:hAnsi="Arial"/>
                <w:sz w:val="35"/>
                <w:szCs w:val="35"/>
                <w:color w:val="000000"/>
                <w:vertAlign w:val="subscript"/>
              </w:rPr>
              <w:t xml:space="preserve">   </w:t>
            </w:r>
            <w:r>
              <w:rPr>
                <w:rFonts w:ascii="Arial" w:cs="Arial" w:eastAsia="Arial" w:hAnsi="Arial"/>
                <w:sz w:val="18"/>
                <w:szCs w:val="18"/>
                <w:color w:val="1F438E"/>
              </w:rPr>
              <w:t xml:space="preserve">The Board recommends a vote </w:t>
            </w:r>
            <w:r>
              <w:rPr>
                <w:rFonts w:ascii="Arial" w:cs="Arial" w:eastAsia="Arial" w:hAnsi="Arial"/>
                <w:sz w:val="18"/>
                <w:szCs w:val="18"/>
                <w:b w:val="1"/>
                <w:bCs w:val="1"/>
                <w:color w:val="376DB5"/>
              </w:rPr>
              <w:t>FOR</w:t>
            </w:r>
          </w:p>
        </w:tc>
        <w:tc>
          <w:tcPr>
            <w:tcW w:w="20" w:type="dxa"/>
            <w:vAlign w:val="bottom"/>
            <w:shd w:val="clear" w:color="auto" w:fill="376DB5"/>
          </w:tcPr>
          <w:p>
            <w:pPr>
              <w:spacing w:after="0"/>
              <w:rPr>
                <w:sz w:val="24"/>
                <w:szCs w:val="24"/>
                <w:color w:val="auto"/>
              </w:rPr>
            </w:pPr>
          </w:p>
        </w:tc>
      </w:tr>
      <w:tr>
        <w:trPr>
          <w:trHeight w:val="175"/>
        </w:trPr>
        <w:tc>
          <w:tcPr>
            <w:tcW w:w="1540" w:type="dxa"/>
            <w:vAlign w:val="bottom"/>
            <w:tcBorders>
              <w:left w:val="single" w:sz="8" w:color="376DB5"/>
              <w:bottom w:val="single" w:sz="8" w:color="376DB5"/>
            </w:tcBorders>
            <w:shd w:val="clear" w:color="auto" w:fill="F4F9FC"/>
          </w:tcPr>
          <w:p>
            <w:pPr>
              <w:spacing w:after="0"/>
              <w:rPr>
                <w:sz w:val="15"/>
                <w:szCs w:val="15"/>
                <w:color w:val="auto"/>
              </w:rPr>
            </w:pPr>
          </w:p>
        </w:tc>
        <w:tc>
          <w:tcPr>
            <w:tcW w:w="780" w:type="dxa"/>
            <w:vAlign w:val="bottom"/>
            <w:tcBorders>
              <w:bottom w:val="single" w:sz="8" w:color="376DB5"/>
            </w:tcBorders>
            <w:shd w:val="clear" w:color="auto" w:fill="F4F9FC"/>
          </w:tcPr>
          <w:p>
            <w:pPr>
              <w:spacing w:after="0"/>
              <w:rPr>
                <w:sz w:val="15"/>
                <w:szCs w:val="15"/>
                <w:color w:val="auto"/>
              </w:rPr>
            </w:pPr>
          </w:p>
        </w:tc>
        <w:tc>
          <w:tcPr>
            <w:tcW w:w="200" w:type="dxa"/>
            <w:vAlign w:val="bottom"/>
            <w:tcBorders>
              <w:bottom w:val="single" w:sz="8" w:color="376DB5"/>
            </w:tcBorders>
            <w:shd w:val="clear" w:color="auto" w:fill="F4F9FC"/>
          </w:tcPr>
          <w:p>
            <w:pPr>
              <w:spacing w:after="0"/>
              <w:rPr>
                <w:sz w:val="15"/>
                <w:szCs w:val="15"/>
                <w:color w:val="auto"/>
              </w:rPr>
            </w:pPr>
          </w:p>
        </w:tc>
        <w:tc>
          <w:tcPr>
            <w:tcW w:w="1300" w:type="dxa"/>
            <w:vAlign w:val="bottom"/>
            <w:tcBorders>
              <w:bottom w:val="single" w:sz="8" w:color="376DB5"/>
            </w:tcBorders>
            <w:shd w:val="clear" w:color="auto" w:fill="F4F9FC"/>
          </w:tcPr>
          <w:p>
            <w:pPr>
              <w:spacing w:after="0"/>
              <w:rPr>
                <w:sz w:val="15"/>
                <w:szCs w:val="15"/>
                <w:color w:val="auto"/>
              </w:rPr>
            </w:pPr>
          </w:p>
        </w:tc>
        <w:tc>
          <w:tcPr>
            <w:tcW w:w="1500" w:type="dxa"/>
            <w:vAlign w:val="bottom"/>
            <w:tcBorders>
              <w:bottom w:val="single" w:sz="8" w:color="376DB5"/>
            </w:tcBorders>
            <w:shd w:val="clear" w:color="auto" w:fill="F4F9FC"/>
          </w:tcPr>
          <w:p>
            <w:pPr>
              <w:spacing w:after="0"/>
              <w:rPr>
                <w:sz w:val="15"/>
                <w:szCs w:val="15"/>
                <w:color w:val="auto"/>
              </w:rPr>
            </w:pPr>
          </w:p>
        </w:tc>
        <w:tc>
          <w:tcPr>
            <w:tcW w:w="1820" w:type="dxa"/>
            <w:vAlign w:val="bottom"/>
            <w:tcBorders>
              <w:bottom w:val="single" w:sz="8" w:color="376DB5"/>
              <w:right w:val="single" w:sz="8" w:color="376DB5"/>
            </w:tcBorders>
            <w:shd w:val="clear" w:color="auto" w:fill="F4F9FC"/>
          </w:tcPr>
          <w:p>
            <w:pPr>
              <w:spacing w:after="0"/>
              <w:rPr>
                <w:sz w:val="15"/>
                <w:szCs w:val="15"/>
                <w:color w:val="auto"/>
              </w:rPr>
            </w:pPr>
          </w:p>
        </w:tc>
        <w:tc>
          <w:tcPr>
            <w:tcW w:w="2400" w:type="dxa"/>
            <w:vAlign w:val="bottom"/>
            <w:tcBorders>
              <w:bottom w:val="single" w:sz="8" w:color="376DB5"/>
            </w:tcBorders>
            <w:gridSpan w:val="2"/>
          </w:tcPr>
          <w:p>
            <w:pPr>
              <w:ind w:left="480"/>
              <w:spacing w:after="0" w:line="176" w:lineRule="exact"/>
              <w:rPr>
                <w:sz w:val="20"/>
                <w:szCs w:val="20"/>
                <w:color w:val="auto"/>
              </w:rPr>
            </w:pPr>
            <w:r>
              <w:rPr>
                <w:rFonts w:ascii="Arial" w:cs="Arial" w:eastAsia="Arial" w:hAnsi="Arial"/>
                <w:sz w:val="18"/>
                <w:szCs w:val="18"/>
                <w:color w:val="1F438E"/>
              </w:rPr>
              <w:t>each nominee</w:t>
            </w:r>
          </w:p>
        </w:tc>
        <w:tc>
          <w:tcPr>
            <w:tcW w:w="1480" w:type="dxa"/>
            <w:vAlign w:val="bottom"/>
            <w:tcBorders>
              <w:bottom w:val="single" w:sz="8" w:color="376DB5"/>
            </w:tcBorders>
          </w:tcPr>
          <w:p>
            <w:pPr>
              <w:spacing w:after="0"/>
              <w:rPr>
                <w:sz w:val="15"/>
                <w:szCs w:val="15"/>
                <w:color w:val="auto"/>
              </w:rPr>
            </w:pPr>
          </w:p>
        </w:tc>
        <w:tc>
          <w:tcPr>
            <w:tcW w:w="20" w:type="dxa"/>
            <w:vAlign w:val="bottom"/>
            <w:tcBorders>
              <w:bottom w:val="single" w:sz="8" w:color="376DB5"/>
            </w:tcBorders>
            <w:shd w:val="clear" w:color="auto" w:fill="376DB5"/>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-248285</wp:posOffset>
            </wp:positionV>
            <wp:extent cx="154305"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Annual Elections</w:t>
      </w:r>
    </w:p>
    <w:p>
      <w:pPr>
        <w:spacing w:after="0" w:line="191"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Directors are elected each year at our annual meeting of stockholders to hold office until our next annual meeting and thereafter until their successors are elected and qualified.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Majority Voting Standard</w:t>
      </w:r>
    </w:p>
    <w:p>
      <w:pPr>
        <w:spacing w:after="0" w:line="191"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To be elected, the number of votes cast “FOR” a director nominee must exceed the number of votes cast “AGAINST” that nominee. The Company requires that all nominees submit an irrevocable letter of resignation as a condition to being named as a nominee, which resignation will be effective if (i) the nominee fails to receive a sufficient number of votes to be elected and (ii) the Board of Directors (the “Board” or “Board of Directors”) accepts such resignation. Cumulative voting for the election of directors is not permitted.</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Director Nominee Selection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219075</wp:posOffset>
            </wp:positionV>
            <wp:extent cx="213995" cy="28803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3995" cy="2880360"/>
                    </a:xfrm>
                    <a:prstGeom prst="rect">
                      <a:avLst/>
                    </a:prstGeom>
                    <a:noFill/>
                  </pic:spPr>
                </pic:pic>
              </a:graphicData>
            </a:graphic>
          </wp:anchor>
        </w:drawing>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376DB5"/>
        </w:rPr>
        <w:t>Assess the Board’s strategic requirements and target competencies</w:t>
      </w:r>
    </w:p>
    <w:p>
      <w:pPr>
        <w:spacing w:after="0" w:line="77" w:lineRule="exact"/>
        <w:rPr>
          <w:sz w:val="20"/>
          <w:szCs w:val="20"/>
          <w:color w:val="auto"/>
        </w:rPr>
      </w:pPr>
    </w:p>
    <w:p>
      <w:pPr>
        <w:jc w:val="both"/>
        <w:ind w:left="660" w:right="20"/>
        <w:spacing w:after="0" w:line="271" w:lineRule="auto"/>
        <w:rPr>
          <w:sz w:val="20"/>
          <w:szCs w:val="20"/>
          <w:color w:val="auto"/>
        </w:rPr>
      </w:pPr>
      <w:r>
        <w:rPr>
          <w:rFonts w:ascii="Arial" w:cs="Arial" w:eastAsia="Arial" w:hAnsi="Arial"/>
          <w:sz w:val="18"/>
          <w:szCs w:val="18"/>
          <w:color w:val="auto"/>
        </w:rPr>
        <w:t>The Governance, Nominating and Executive Committee assesses the Board’s current makeup and considers the need to bring in expertise to align with Company goals.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376DB5"/>
        </w:rPr>
        <w:t>Source and Evaluate Potential Candidates</w:t>
      </w:r>
    </w:p>
    <w:p>
      <w:pPr>
        <w:spacing w:after="0" w:line="77" w:lineRule="exact"/>
        <w:rPr>
          <w:sz w:val="20"/>
          <w:szCs w:val="20"/>
          <w:color w:val="auto"/>
        </w:rPr>
      </w:pPr>
    </w:p>
    <w:p>
      <w:pPr>
        <w:jc w:val="both"/>
        <w:ind w:left="660" w:right="20"/>
        <w:spacing w:after="0" w:line="253" w:lineRule="auto"/>
        <w:rPr>
          <w:sz w:val="20"/>
          <w:szCs w:val="20"/>
          <w:color w:val="auto"/>
        </w:rPr>
      </w:pPr>
      <w:r>
        <w:rPr>
          <w:rFonts w:ascii="Arial" w:cs="Arial" w:eastAsia="Arial" w:hAnsi="Arial"/>
          <w:sz w:val="18"/>
          <w:szCs w:val="18"/>
          <w:color w:val="auto"/>
        </w:rPr>
        <w:t>The Governance, Nominating and Executive Committee actively seeks candidates who possess recognized achievements and relevant skills that complement the Board’s strategic goals. They evaluate individuals not only for their skills and experience but also for their ability to contribute varied perspectives.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376DB5"/>
        </w:rPr>
        <w:t>Recommend Nominees to the Committee</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Present the shortlisted candidates to the Governance, Nominating and Executive Committee for review and recommendation.</w:t>
      </w: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376DB5"/>
        </w:rPr>
        <w:t>Secure Full Board Approval</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Obtain unanimous approval from the full Board on the proposed nominees.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376DB5"/>
        </w:rPr>
        <w:t>Stockholder Election</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Finalize the slate of approved nominees and present them for election or re-election at the Annual Meeting by stockholder vote.</w:t>
      </w:r>
    </w:p>
    <w:p>
      <w:pPr>
        <w:spacing w:after="0" w:line="200" w:lineRule="exact"/>
        <w:rPr>
          <w:sz w:val="20"/>
          <w:szCs w:val="20"/>
          <w:color w:val="auto"/>
        </w:rPr>
      </w:pPr>
    </w:p>
    <w:p>
      <w:pPr>
        <w:spacing w:after="0" w:line="228"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Based on the recommendation of the Governance, Nominating and Executive Committee, the Board has nominated for election at the Annual Meeting the eight directors named below, each of whom currently serves on the Board. Each of the nominees has consented to being named in this proxy statement and to serve on the Board if elected.</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11</w:t>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54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98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Board of</w:t>
            </w:r>
          </w:p>
        </w:tc>
        <w:tc>
          <w:tcPr>
            <w:tcW w:w="13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5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54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rPr>
              <w:t>Summary</w:t>
            </w:r>
          </w:p>
        </w:tc>
        <w:tc>
          <w:tcPr>
            <w:tcW w:w="98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Directors</w:t>
            </w:r>
          </w:p>
        </w:tc>
        <w:tc>
          <w:tcPr>
            <w:tcW w:w="13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5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540" w:type="dxa"/>
            <w:vAlign w:val="bottom"/>
            <w:shd w:val="clear" w:color="auto" w:fill="F2F2F2"/>
          </w:tcPr>
          <w:p>
            <w:pPr>
              <w:spacing w:after="0"/>
              <w:rPr>
                <w:sz w:val="16"/>
                <w:szCs w:val="16"/>
                <w:color w:val="auto"/>
              </w:rPr>
            </w:pPr>
          </w:p>
        </w:tc>
        <w:tc>
          <w:tcPr>
            <w:tcW w:w="98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w:t>
            </w:r>
          </w:p>
        </w:tc>
        <w:tc>
          <w:tcPr>
            <w:tcW w:w="1300" w:type="dxa"/>
            <w:vAlign w:val="bottom"/>
            <w:shd w:val="clear" w:color="auto" w:fill="F2F2F2"/>
          </w:tcPr>
          <w:p>
            <w:pPr>
              <w:spacing w:after="0"/>
              <w:rPr>
                <w:sz w:val="16"/>
                <w:szCs w:val="16"/>
                <w:color w:val="auto"/>
              </w:rPr>
            </w:pPr>
          </w:p>
        </w:tc>
        <w:tc>
          <w:tcPr>
            <w:tcW w:w="1500" w:type="dxa"/>
            <w:vAlign w:val="bottom"/>
            <w:shd w:val="clear" w:color="auto" w:fill="F2F2F2"/>
          </w:tcPr>
          <w:p>
            <w:pPr>
              <w:spacing w:after="0"/>
              <w:rPr>
                <w:sz w:val="16"/>
                <w:szCs w:val="16"/>
                <w:color w:val="auto"/>
              </w:rPr>
            </w:pP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540" w:type="dxa"/>
            <w:vAlign w:val="bottom"/>
            <w:tcBorders>
              <w:top w:val="single" w:sz="8" w:color="F2F2F2"/>
            </w:tcBorders>
            <w:shd w:val="clear" w:color="auto" w:fill="F2F2F2"/>
          </w:tcPr>
          <w:p>
            <w:pPr>
              <w:spacing w:after="0"/>
              <w:rPr>
                <w:sz w:val="2"/>
                <w:szCs w:val="2"/>
                <w:color w:val="auto"/>
              </w:rPr>
            </w:pPr>
          </w:p>
        </w:tc>
        <w:tc>
          <w:tcPr>
            <w:tcW w:w="760" w:type="dxa"/>
            <w:vAlign w:val="bottom"/>
            <w:tcBorders>
              <w:top w:val="single" w:sz="8" w:color="376DB5"/>
            </w:tcBorders>
            <w:shd w:val="clear" w:color="auto" w:fill="F2F2F2"/>
          </w:tcPr>
          <w:p>
            <w:pPr>
              <w:spacing w:after="0"/>
              <w:rPr>
                <w:sz w:val="2"/>
                <w:szCs w:val="2"/>
                <w:color w:val="auto"/>
              </w:rPr>
            </w:pPr>
          </w:p>
        </w:tc>
        <w:tc>
          <w:tcPr>
            <w:tcW w:w="220" w:type="dxa"/>
            <w:vAlign w:val="bottom"/>
            <w:tcBorders>
              <w:top w:val="single" w:sz="8" w:color="F2F2F2"/>
            </w:tcBorders>
            <w:shd w:val="clear" w:color="auto" w:fill="F2F2F2"/>
          </w:tcPr>
          <w:p>
            <w:pPr>
              <w:spacing w:after="0"/>
              <w:rPr>
                <w:sz w:val="2"/>
                <w:szCs w:val="2"/>
                <w:color w:val="auto"/>
              </w:rPr>
            </w:pPr>
          </w:p>
        </w:tc>
        <w:tc>
          <w:tcPr>
            <w:tcW w:w="1300" w:type="dxa"/>
            <w:vAlign w:val="bottom"/>
            <w:tcBorders>
              <w:top w:val="single" w:sz="8" w:color="F2F2F2"/>
            </w:tcBorders>
            <w:shd w:val="clear" w:color="auto" w:fill="F2F2F2"/>
          </w:tcPr>
          <w:p>
            <w:pPr>
              <w:spacing w:after="0"/>
              <w:rPr>
                <w:sz w:val="2"/>
                <w:szCs w:val="2"/>
                <w:color w:val="auto"/>
              </w:rPr>
            </w:pPr>
          </w:p>
        </w:tc>
        <w:tc>
          <w:tcPr>
            <w:tcW w:w="150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Director Nominee Skills and Experience Matrix</w:t>
      </w:r>
    </w:p>
    <w:p>
      <w:pPr>
        <w:spacing w:after="0" w:line="123"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The director nominee skills and experience matrix below identifies some of the key skills and experiences the Board has identified as being important to its responsibilities and reflects how the director nominees, individually and in the aggregate, reflect these skills.</w:t>
      </w:r>
    </w:p>
    <w:p>
      <w:pPr>
        <w:spacing w:after="0" w:line="179" w:lineRule="exact"/>
        <w:rPr>
          <w:sz w:val="20"/>
          <w:szCs w:val="20"/>
          <w:color w:val="auto"/>
        </w:rPr>
      </w:pPr>
    </w:p>
    <w:tbl>
      <w:tblPr>
        <w:tblLayout w:type="fixed"/>
        <w:tblInd w:w="960" w:type="dxa"/>
        <w:tblCellMar>
          <w:top w:w="0" w:type="dxa"/>
          <w:left w:w="0" w:type="dxa"/>
          <w:bottom w:w="0" w:type="dxa"/>
          <w:right w:w="0" w:type="dxa"/>
        </w:tblCellMar>
      </w:tblPr>
      <w:tr>
        <w:trPr>
          <w:trHeight w:val="1045"/>
        </w:trPr>
        <w:tc>
          <w:tcPr>
            <w:tcW w:w="4920" w:type="dxa"/>
            <w:vAlign w:val="bottom"/>
            <w:tcBorders>
              <w:top w:val="single" w:sz="8" w:color="939598"/>
              <w:right w:val="single" w:sz="8" w:color="C7C8CA"/>
            </w:tcBorders>
          </w:tcPr>
          <w:p>
            <w:pPr>
              <w:spacing w:after="0"/>
              <w:rPr>
                <w:sz w:val="24"/>
                <w:szCs w:val="24"/>
                <w:color w:val="auto"/>
              </w:rPr>
            </w:pPr>
          </w:p>
        </w:tc>
        <w:tc>
          <w:tcPr>
            <w:tcW w:w="180" w:type="dxa"/>
            <w:vAlign w:val="bottom"/>
            <w:tcBorders>
              <w:top w:val="single" w:sz="8" w:color="939598"/>
            </w:tcBorders>
          </w:tcPr>
          <w:p>
            <w:pPr>
              <w:ind w:left="80"/>
              <w:spacing w:after="0"/>
              <w:rPr>
                <w:sz w:val="20"/>
                <w:szCs w:val="20"/>
                <w:color w:val="auto"/>
              </w:rPr>
            </w:pPr>
            <w:r>
              <w:rPr>
                <w:rFonts w:ascii="Arial" w:cs="Arial" w:eastAsia="Arial" w:hAnsi="Arial"/>
                <w:sz w:val="14"/>
                <w:szCs w:val="14"/>
                <w:color w:val="auto"/>
              </w:rPr>
              <w:t> </w:t>
            </w:r>
          </w:p>
        </w:tc>
        <w:tc>
          <w:tcPr>
            <w:tcW w:w="420" w:type="dxa"/>
            <w:vAlign w:val="bottom"/>
            <w:tcBorders>
              <w:top w:val="single" w:sz="8" w:color="939598"/>
            </w:tcBorders>
          </w:tcPr>
          <w:p>
            <w:pPr>
              <w:ind w:left="240"/>
              <w:spacing w:after="0"/>
              <w:rPr>
                <w:sz w:val="20"/>
                <w:szCs w:val="20"/>
                <w:color w:val="auto"/>
              </w:rPr>
            </w:pPr>
            <w:r>
              <w:rPr>
                <w:rFonts w:ascii="Arial" w:cs="Arial" w:eastAsia="Arial" w:hAnsi="Arial"/>
                <w:sz w:val="14"/>
                <w:szCs w:val="14"/>
                <w:color w:val="auto"/>
              </w:rPr>
              <w:t xml:space="preserve">    </w:t>
            </w:r>
          </w:p>
        </w:tc>
        <w:tc>
          <w:tcPr>
            <w:tcW w:w="560" w:type="dxa"/>
            <w:vAlign w:val="bottom"/>
            <w:tcBorders>
              <w:top w:val="single" w:sz="8" w:color="939598"/>
              <w:left w:val="single" w:sz="8" w:color="C7C8CA"/>
              <w:right w:val="single" w:sz="8" w:color="C7C8CA"/>
            </w:tcBorders>
          </w:tcPr>
          <w:p>
            <w:pPr>
              <w:ind w:left="400"/>
              <w:spacing w:after="0"/>
              <w:rPr>
                <w:sz w:val="20"/>
                <w:szCs w:val="20"/>
                <w:color w:val="auto"/>
              </w:rPr>
            </w:pPr>
            <w:r>
              <w:rPr>
                <w:rFonts w:ascii="Arial" w:cs="Arial" w:eastAsia="Arial" w:hAnsi="Arial"/>
                <w:sz w:val="14"/>
                <w:szCs w:val="14"/>
                <w:color w:val="auto"/>
              </w:rPr>
              <w:t xml:space="preserve">    </w:t>
            </w:r>
          </w:p>
        </w:tc>
        <w:tc>
          <w:tcPr>
            <w:tcW w:w="520" w:type="dxa"/>
            <w:vAlign w:val="bottom"/>
            <w:tcBorders>
              <w:top w:val="single" w:sz="8" w:color="939598"/>
            </w:tcBorders>
          </w:tcPr>
          <w:p>
            <w:pPr>
              <w:ind w:left="380"/>
              <w:spacing w:after="0"/>
              <w:rPr>
                <w:sz w:val="20"/>
                <w:szCs w:val="20"/>
                <w:color w:val="auto"/>
              </w:rPr>
            </w:pPr>
            <w:r>
              <w:rPr>
                <w:rFonts w:ascii="Arial" w:cs="Arial" w:eastAsia="Arial" w:hAnsi="Arial"/>
                <w:sz w:val="14"/>
                <w:szCs w:val="14"/>
                <w:color w:val="auto"/>
                <w:w w:val="91"/>
              </w:rPr>
              <w:t xml:space="preserve">    </w:t>
            </w:r>
          </w:p>
        </w:tc>
        <w:tc>
          <w:tcPr>
            <w:tcW w:w="560" w:type="dxa"/>
            <w:vAlign w:val="bottom"/>
            <w:tcBorders>
              <w:top w:val="single" w:sz="8" w:color="939598"/>
              <w:left w:val="single" w:sz="8" w:color="C7C8CA"/>
              <w:right w:val="single" w:sz="8" w:color="C7C8CA"/>
            </w:tcBorders>
          </w:tcPr>
          <w:p>
            <w:pPr>
              <w:ind w:left="400"/>
              <w:spacing w:after="0"/>
              <w:rPr>
                <w:sz w:val="20"/>
                <w:szCs w:val="20"/>
                <w:color w:val="auto"/>
              </w:rPr>
            </w:pPr>
            <w:r>
              <w:rPr>
                <w:rFonts w:ascii="Arial" w:cs="Arial" w:eastAsia="Arial" w:hAnsi="Arial"/>
                <w:sz w:val="14"/>
                <w:szCs w:val="14"/>
                <w:color w:val="auto"/>
              </w:rPr>
              <w:t xml:space="preserve">    </w:t>
            </w:r>
          </w:p>
        </w:tc>
        <w:tc>
          <w:tcPr>
            <w:tcW w:w="520" w:type="dxa"/>
            <w:vAlign w:val="bottom"/>
            <w:tcBorders>
              <w:top w:val="single" w:sz="8" w:color="939598"/>
            </w:tcBorders>
          </w:tcPr>
          <w:p>
            <w:pPr>
              <w:ind w:left="380"/>
              <w:spacing w:after="0"/>
              <w:rPr>
                <w:sz w:val="20"/>
                <w:szCs w:val="20"/>
                <w:color w:val="auto"/>
              </w:rPr>
            </w:pPr>
            <w:r>
              <w:rPr>
                <w:rFonts w:ascii="Arial" w:cs="Arial" w:eastAsia="Arial" w:hAnsi="Arial"/>
                <w:sz w:val="14"/>
                <w:szCs w:val="14"/>
                <w:color w:val="auto"/>
                <w:w w:val="91"/>
              </w:rPr>
              <w:t xml:space="preserve">    </w:t>
            </w:r>
          </w:p>
        </w:tc>
        <w:tc>
          <w:tcPr>
            <w:tcW w:w="560" w:type="dxa"/>
            <w:vAlign w:val="bottom"/>
            <w:tcBorders>
              <w:top w:val="single" w:sz="8" w:color="939598"/>
              <w:left w:val="single" w:sz="8" w:color="C7C8CA"/>
              <w:right w:val="single" w:sz="8" w:color="C7C8CA"/>
            </w:tcBorders>
          </w:tcPr>
          <w:p>
            <w:pPr>
              <w:ind w:left="400"/>
              <w:spacing w:after="0"/>
              <w:rPr>
                <w:sz w:val="20"/>
                <w:szCs w:val="20"/>
                <w:color w:val="auto"/>
              </w:rPr>
            </w:pPr>
            <w:r>
              <w:rPr>
                <w:rFonts w:ascii="Arial" w:cs="Arial" w:eastAsia="Arial" w:hAnsi="Arial"/>
                <w:sz w:val="14"/>
                <w:szCs w:val="14"/>
                <w:color w:val="auto"/>
              </w:rPr>
              <w:t xml:space="preserve">    </w:t>
            </w:r>
          </w:p>
        </w:tc>
        <w:tc>
          <w:tcPr>
            <w:tcW w:w="520" w:type="dxa"/>
            <w:vAlign w:val="bottom"/>
            <w:tcBorders>
              <w:top w:val="single" w:sz="8" w:color="939598"/>
            </w:tcBorders>
          </w:tcPr>
          <w:p>
            <w:pPr>
              <w:ind w:left="380"/>
              <w:spacing w:after="0"/>
              <w:rPr>
                <w:sz w:val="20"/>
                <w:szCs w:val="20"/>
                <w:color w:val="auto"/>
              </w:rPr>
            </w:pPr>
            <w:r>
              <w:rPr>
                <w:rFonts w:ascii="Arial" w:cs="Arial" w:eastAsia="Arial" w:hAnsi="Arial"/>
                <w:sz w:val="14"/>
                <w:szCs w:val="14"/>
                <w:color w:val="auto"/>
                <w:w w:val="91"/>
              </w:rPr>
              <w:t xml:space="preserve">    </w:t>
            </w:r>
          </w:p>
        </w:tc>
        <w:tc>
          <w:tcPr>
            <w:tcW w:w="600" w:type="dxa"/>
            <w:vAlign w:val="bottom"/>
            <w:tcBorders>
              <w:top w:val="single" w:sz="8" w:color="939598"/>
              <w:left w:val="single" w:sz="8" w:color="C7C8CA"/>
              <w:right w:val="single" w:sz="8" w:color="C7C8CA"/>
            </w:tcBorders>
          </w:tcPr>
          <w:p>
            <w:pPr>
              <w:ind w:left="400"/>
              <w:spacing w:after="0"/>
              <w:rPr>
                <w:sz w:val="20"/>
                <w:szCs w:val="20"/>
                <w:color w:val="auto"/>
              </w:rPr>
            </w:pPr>
            <w:r>
              <w:rPr>
                <w:rFonts w:ascii="Arial" w:cs="Arial" w:eastAsia="Arial" w:hAnsi="Arial"/>
                <w:sz w:val="14"/>
                <w:szCs w:val="14"/>
                <w:color w:val="auto"/>
              </w:rPr>
              <w:t xml:space="preserve">    </w:t>
            </w:r>
          </w:p>
        </w:tc>
      </w:tr>
      <w:tr>
        <w:trPr>
          <w:trHeight w:val="96"/>
        </w:trPr>
        <w:tc>
          <w:tcPr>
            <w:tcW w:w="4920" w:type="dxa"/>
            <w:vAlign w:val="bottom"/>
            <w:tcBorders>
              <w:bottom w:val="single" w:sz="8" w:color="auto"/>
              <w:right w:val="single" w:sz="8" w:color="C7C8CA"/>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60" w:type="dxa"/>
            <w:vAlign w:val="bottom"/>
            <w:tcBorders>
              <w:left w:val="single" w:sz="8" w:color="C7C8CA"/>
              <w:bottom w:val="single" w:sz="8" w:color="auto"/>
              <w:right w:val="single" w:sz="8" w:color="C7C8CA"/>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Borders>
              <w:left w:val="single" w:sz="8" w:color="C7C8CA"/>
              <w:bottom w:val="single" w:sz="8" w:color="auto"/>
              <w:right w:val="single" w:sz="8" w:color="C7C8CA"/>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Borders>
              <w:left w:val="single" w:sz="8" w:color="C7C8CA"/>
              <w:bottom w:val="single" w:sz="8" w:color="auto"/>
              <w:right w:val="single" w:sz="8" w:color="C7C8CA"/>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left w:val="single" w:sz="8" w:color="C7C8CA"/>
              <w:bottom w:val="single" w:sz="8" w:color="auto"/>
              <w:right w:val="single" w:sz="8" w:color="C7C8CA"/>
            </w:tcBorders>
          </w:tcPr>
          <w:p>
            <w:pPr>
              <w:spacing w:after="0"/>
              <w:rPr>
                <w:sz w:val="8"/>
                <w:szCs w:val="8"/>
                <w:color w:val="auto"/>
              </w:rPr>
            </w:pPr>
          </w:p>
        </w:tc>
      </w:tr>
      <w:tr>
        <w:trPr>
          <w:trHeight w:val="396"/>
        </w:trPr>
        <w:tc>
          <w:tcPr>
            <w:tcW w:w="4920" w:type="dxa"/>
            <w:vAlign w:val="bottom"/>
            <w:tcBorders>
              <w:right w:val="single" w:sz="8" w:color="F2F2F2"/>
            </w:tcBorders>
          </w:tcPr>
          <w:p>
            <w:pPr>
              <w:ind w:left="700"/>
              <w:spacing w:after="0"/>
              <w:rPr>
                <w:sz w:val="20"/>
                <w:szCs w:val="20"/>
                <w:color w:val="auto"/>
              </w:rPr>
            </w:pPr>
            <w:r>
              <w:rPr>
                <w:rFonts w:ascii="Arial" w:cs="Arial" w:eastAsia="Arial" w:hAnsi="Arial"/>
                <w:sz w:val="18"/>
                <w:szCs w:val="18"/>
                <w:color w:val="auto"/>
              </w:rPr>
              <w:t>Technology leadership</w:t>
            </w:r>
          </w:p>
        </w:tc>
        <w:tc>
          <w:tcPr>
            <w:tcW w:w="180" w:type="dxa"/>
            <w:vAlign w:val="bottom"/>
            <w:shd w:val="clear" w:color="auto" w:fill="F2F2F2"/>
          </w:tcPr>
          <w:p>
            <w:pPr>
              <w:spacing w:after="0"/>
              <w:rPr>
                <w:sz w:val="24"/>
                <w:szCs w:val="24"/>
                <w:color w:val="auto"/>
              </w:rPr>
            </w:pPr>
          </w:p>
        </w:tc>
        <w:tc>
          <w:tcPr>
            <w:tcW w:w="420" w:type="dxa"/>
            <w:vAlign w:val="bottom"/>
            <w:shd w:val="clear" w:color="auto" w:fill="F2F2F2"/>
          </w:tcPr>
          <w:p>
            <w:pPr>
              <w:ind w:left="6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60" w:type="dxa"/>
            <w:vAlign w:val="bottom"/>
            <w:tcBorders>
              <w:right w:val="single" w:sz="8" w:color="F2F2F2"/>
            </w:tcBorders>
          </w:tcPr>
          <w:p>
            <w:pPr>
              <w:ind w:left="26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2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60" w:type="dxa"/>
            <w:vAlign w:val="bottom"/>
            <w:tcBorders>
              <w:right w:val="single" w:sz="8" w:color="F2F2F2"/>
            </w:tcBorders>
          </w:tcPr>
          <w:p>
            <w:pPr>
              <w:ind w:left="26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20" w:type="dxa"/>
            <w:vAlign w:val="bottom"/>
            <w:shd w:val="clear" w:color="auto" w:fill="F2F2F2"/>
          </w:tcPr>
          <w:p>
            <w:pPr>
              <w:spacing w:after="0"/>
              <w:rPr>
                <w:sz w:val="24"/>
                <w:szCs w:val="24"/>
                <w:color w:val="auto"/>
              </w:rPr>
            </w:pPr>
          </w:p>
        </w:tc>
        <w:tc>
          <w:tcPr>
            <w:tcW w:w="600" w:type="dxa"/>
            <w:vAlign w:val="bottom"/>
            <w:tcBorders>
              <w:right w:val="single" w:sz="8" w:color="C7C8CA"/>
            </w:tcBorders>
          </w:tcPr>
          <w:p>
            <w:pPr>
              <w:ind w:left="28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r>
      <w:tr>
        <w:trPr>
          <w:trHeight w:val="144"/>
        </w:trPr>
        <w:tc>
          <w:tcPr>
            <w:tcW w:w="4920" w:type="dxa"/>
            <w:vAlign w:val="bottom"/>
            <w:tcBorders>
              <w:bottom w:val="single" w:sz="8" w:color="C7C8CA"/>
              <w:right w:val="single" w:sz="8" w:color="F2F2F2"/>
            </w:tcBorders>
          </w:tcPr>
          <w:p>
            <w:pPr>
              <w:spacing w:after="0"/>
              <w:rPr>
                <w:sz w:val="12"/>
                <w:szCs w:val="12"/>
                <w:color w:val="auto"/>
              </w:rPr>
            </w:pPr>
          </w:p>
        </w:tc>
        <w:tc>
          <w:tcPr>
            <w:tcW w:w="180" w:type="dxa"/>
            <w:vAlign w:val="bottom"/>
            <w:tcBorders>
              <w:bottom w:val="single" w:sz="8" w:color="C7C8CA"/>
            </w:tcBorders>
            <w:shd w:val="clear" w:color="auto" w:fill="F2F2F2"/>
          </w:tcPr>
          <w:p>
            <w:pPr>
              <w:spacing w:after="0"/>
              <w:rPr>
                <w:sz w:val="12"/>
                <w:szCs w:val="12"/>
                <w:color w:val="auto"/>
              </w:rPr>
            </w:pPr>
          </w:p>
        </w:tc>
        <w:tc>
          <w:tcPr>
            <w:tcW w:w="420" w:type="dxa"/>
            <w:vAlign w:val="bottom"/>
            <w:tcBorders>
              <w:bottom w:val="single" w:sz="8" w:color="C7C8CA"/>
            </w:tcBorders>
            <w:shd w:val="clear" w:color="auto" w:fill="F2F2F2"/>
          </w:tcPr>
          <w:p>
            <w:pPr>
              <w:spacing w:after="0"/>
              <w:rPr>
                <w:sz w:val="12"/>
                <w:szCs w:val="12"/>
                <w:color w:val="auto"/>
              </w:rPr>
            </w:pPr>
          </w:p>
        </w:tc>
        <w:tc>
          <w:tcPr>
            <w:tcW w:w="560" w:type="dxa"/>
            <w:vAlign w:val="bottom"/>
            <w:tcBorders>
              <w:bottom w:val="single" w:sz="8" w:color="C7C8CA"/>
              <w:right w:val="single" w:sz="8" w:color="F2F2F2"/>
            </w:tcBorders>
          </w:tcPr>
          <w:p>
            <w:pPr>
              <w:spacing w:after="0"/>
              <w:rPr>
                <w:sz w:val="12"/>
                <w:szCs w:val="12"/>
                <w:color w:val="auto"/>
              </w:rPr>
            </w:pPr>
          </w:p>
        </w:tc>
        <w:tc>
          <w:tcPr>
            <w:tcW w:w="520" w:type="dxa"/>
            <w:vAlign w:val="bottom"/>
            <w:tcBorders>
              <w:bottom w:val="single" w:sz="8" w:color="C7C8CA"/>
            </w:tcBorders>
            <w:shd w:val="clear" w:color="auto" w:fill="F2F2F2"/>
          </w:tcPr>
          <w:p>
            <w:pPr>
              <w:spacing w:after="0"/>
              <w:rPr>
                <w:sz w:val="12"/>
                <w:szCs w:val="12"/>
                <w:color w:val="auto"/>
              </w:rPr>
            </w:pPr>
          </w:p>
        </w:tc>
        <w:tc>
          <w:tcPr>
            <w:tcW w:w="560" w:type="dxa"/>
            <w:vAlign w:val="bottom"/>
            <w:tcBorders>
              <w:bottom w:val="single" w:sz="8" w:color="C7C8CA"/>
              <w:right w:val="single" w:sz="8" w:color="F2F2F2"/>
            </w:tcBorders>
          </w:tcPr>
          <w:p>
            <w:pPr>
              <w:spacing w:after="0"/>
              <w:rPr>
                <w:sz w:val="12"/>
                <w:szCs w:val="12"/>
                <w:color w:val="auto"/>
              </w:rPr>
            </w:pPr>
          </w:p>
        </w:tc>
        <w:tc>
          <w:tcPr>
            <w:tcW w:w="520" w:type="dxa"/>
            <w:vAlign w:val="bottom"/>
            <w:tcBorders>
              <w:bottom w:val="single" w:sz="8" w:color="C7C8CA"/>
            </w:tcBorders>
            <w:shd w:val="clear" w:color="auto" w:fill="F2F2F2"/>
          </w:tcPr>
          <w:p>
            <w:pPr>
              <w:spacing w:after="0"/>
              <w:rPr>
                <w:sz w:val="12"/>
                <w:szCs w:val="12"/>
                <w:color w:val="auto"/>
              </w:rPr>
            </w:pPr>
          </w:p>
        </w:tc>
        <w:tc>
          <w:tcPr>
            <w:tcW w:w="560" w:type="dxa"/>
            <w:vAlign w:val="bottom"/>
            <w:tcBorders>
              <w:bottom w:val="single" w:sz="8" w:color="C7C8CA"/>
              <w:right w:val="single" w:sz="8" w:color="F2F2F2"/>
            </w:tcBorders>
          </w:tcPr>
          <w:p>
            <w:pPr>
              <w:spacing w:after="0"/>
              <w:rPr>
                <w:sz w:val="12"/>
                <w:szCs w:val="12"/>
                <w:color w:val="auto"/>
              </w:rPr>
            </w:pPr>
          </w:p>
        </w:tc>
        <w:tc>
          <w:tcPr>
            <w:tcW w:w="520" w:type="dxa"/>
            <w:vAlign w:val="bottom"/>
            <w:tcBorders>
              <w:bottom w:val="single" w:sz="8" w:color="C7C8CA"/>
            </w:tcBorders>
            <w:shd w:val="clear" w:color="auto" w:fill="F2F2F2"/>
          </w:tcPr>
          <w:p>
            <w:pPr>
              <w:spacing w:after="0"/>
              <w:rPr>
                <w:sz w:val="12"/>
                <w:szCs w:val="12"/>
                <w:color w:val="auto"/>
              </w:rPr>
            </w:pPr>
          </w:p>
        </w:tc>
        <w:tc>
          <w:tcPr>
            <w:tcW w:w="600" w:type="dxa"/>
            <w:vAlign w:val="bottom"/>
            <w:tcBorders>
              <w:bottom w:val="single" w:sz="8" w:color="C7C8CA"/>
              <w:right w:val="single" w:sz="8" w:color="C7C8CA"/>
            </w:tcBorders>
          </w:tcPr>
          <w:p>
            <w:pPr>
              <w:spacing w:after="0"/>
              <w:rPr>
                <w:sz w:val="12"/>
                <w:szCs w:val="12"/>
                <w:color w:val="auto"/>
              </w:rPr>
            </w:pPr>
          </w:p>
        </w:tc>
      </w:tr>
      <w:tr>
        <w:trPr>
          <w:trHeight w:val="497"/>
        </w:trPr>
        <w:tc>
          <w:tcPr>
            <w:tcW w:w="4920" w:type="dxa"/>
            <w:vAlign w:val="bottom"/>
            <w:tcBorders>
              <w:right w:val="single" w:sz="8" w:color="F2F2F2"/>
            </w:tcBorders>
          </w:tcPr>
          <w:p>
            <w:pPr>
              <w:ind w:left="700"/>
              <w:spacing w:after="0"/>
              <w:rPr>
                <w:sz w:val="20"/>
                <w:szCs w:val="20"/>
                <w:color w:val="auto"/>
              </w:rPr>
            </w:pPr>
            <w:r>
              <w:rPr>
                <w:rFonts w:ascii="Arial" w:cs="Arial" w:eastAsia="Arial" w:hAnsi="Arial"/>
                <w:sz w:val="18"/>
                <w:szCs w:val="18"/>
                <w:color w:val="auto"/>
              </w:rPr>
              <w:t>Executive leadership</w:t>
            </w:r>
          </w:p>
        </w:tc>
        <w:tc>
          <w:tcPr>
            <w:tcW w:w="180" w:type="dxa"/>
            <w:vAlign w:val="bottom"/>
            <w:shd w:val="clear" w:color="auto" w:fill="F2F2F2"/>
          </w:tcPr>
          <w:p>
            <w:pPr>
              <w:spacing w:after="0"/>
              <w:rPr>
                <w:sz w:val="24"/>
                <w:szCs w:val="24"/>
                <w:color w:val="auto"/>
              </w:rPr>
            </w:pPr>
          </w:p>
        </w:tc>
        <w:tc>
          <w:tcPr>
            <w:tcW w:w="420" w:type="dxa"/>
            <w:vAlign w:val="bottom"/>
            <w:shd w:val="clear" w:color="auto" w:fill="F2F2F2"/>
          </w:tcPr>
          <w:p>
            <w:pPr>
              <w:spacing w:after="0"/>
              <w:rPr>
                <w:sz w:val="24"/>
                <w:szCs w:val="24"/>
                <w:color w:val="auto"/>
              </w:rPr>
            </w:pP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60" w:type="dxa"/>
            <w:vAlign w:val="bottom"/>
            <w:tcBorders>
              <w:right w:val="single" w:sz="8" w:color="F2F2F2"/>
            </w:tcBorders>
          </w:tcPr>
          <w:p>
            <w:pPr>
              <w:ind w:left="26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20" w:type="dxa"/>
            <w:vAlign w:val="bottom"/>
            <w:shd w:val="clear" w:color="auto" w:fill="F2F2F2"/>
          </w:tcPr>
          <w:p>
            <w:pPr>
              <w:spacing w:after="0"/>
              <w:rPr>
                <w:sz w:val="24"/>
                <w:szCs w:val="24"/>
                <w:color w:val="auto"/>
              </w:rPr>
            </w:pPr>
          </w:p>
        </w:tc>
        <w:tc>
          <w:tcPr>
            <w:tcW w:w="560" w:type="dxa"/>
            <w:vAlign w:val="bottom"/>
            <w:tcBorders>
              <w:right w:val="single" w:sz="8" w:color="F2F2F2"/>
            </w:tcBorders>
          </w:tcPr>
          <w:p>
            <w:pPr>
              <w:ind w:left="26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20" w:type="dxa"/>
            <w:vAlign w:val="bottom"/>
            <w:shd w:val="clear" w:color="auto" w:fill="F2F2F2"/>
          </w:tcPr>
          <w:p>
            <w:pPr>
              <w:spacing w:after="0"/>
              <w:rPr>
                <w:sz w:val="24"/>
                <w:szCs w:val="24"/>
                <w:color w:val="auto"/>
              </w:rPr>
            </w:pPr>
          </w:p>
        </w:tc>
        <w:tc>
          <w:tcPr>
            <w:tcW w:w="600" w:type="dxa"/>
            <w:vAlign w:val="bottom"/>
            <w:tcBorders>
              <w:right w:val="single" w:sz="8" w:color="C7C8CA"/>
            </w:tcBorders>
          </w:tcPr>
          <w:p>
            <w:pPr>
              <w:ind w:left="28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r>
      <w:tr>
        <w:trPr>
          <w:trHeight w:val="171"/>
        </w:trPr>
        <w:tc>
          <w:tcPr>
            <w:tcW w:w="4920" w:type="dxa"/>
            <w:vAlign w:val="bottom"/>
            <w:tcBorders>
              <w:bottom w:val="single" w:sz="8" w:color="C7C8CA"/>
              <w:right w:val="single" w:sz="8" w:color="F2F2F2"/>
            </w:tcBorders>
          </w:tcPr>
          <w:p>
            <w:pPr>
              <w:spacing w:after="0"/>
              <w:rPr>
                <w:sz w:val="14"/>
                <w:szCs w:val="14"/>
                <w:color w:val="auto"/>
              </w:rPr>
            </w:pPr>
          </w:p>
        </w:tc>
        <w:tc>
          <w:tcPr>
            <w:tcW w:w="180" w:type="dxa"/>
            <w:vAlign w:val="bottom"/>
            <w:tcBorders>
              <w:bottom w:val="single" w:sz="8" w:color="C7C8CA"/>
            </w:tcBorders>
            <w:shd w:val="clear" w:color="auto" w:fill="F2F2F2"/>
          </w:tcPr>
          <w:p>
            <w:pPr>
              <w:spacing w:after="0"/>
              <w:rPr>
                <w:sz w:val="14"/>
                <w:szCs w:val="14"/>
                <w:color w:val="auto"/>
              </w:rPr>
            </w:pPr>
          </w:p>
        </w:tc>
        <w:tc>
          <w:tcPr>
            <w:tcW w:w="420" w:type="dxa"/>
            <w:vAlign w:val="bottom"/>
            <w:tcBorders>
              <w:bottom w:val="single" w:sz="8" w:color="C7C8CA"/>
            </w:tcBorders>
            <w:shd w:val="clear" w:color="auto" w:fill="F2F2F2"/>
          </w:tcPr>
          <w:p>
            <w:pPr>
              <w:spacing w:after="0"/>
              <w:rPr>
                <w:sz w:val="14"/>
                <w:szCs w:val="14"/>
                <w:color w:val="auto"/>
              </w:rPr>
            </w:pPr>
          </w:p>
        </w:tc>
        <w:tc>
          <w:tcPr>
            <w:tcW w:w="560" w:type="dxa"/>
            <w:vAlign w:val="bottom"/>
            <w:tcBorders>
              <w:bottom w:val="single" w:sz="8" w:color="C7C8CA"/>
              <w:right w:val="single" w:sz="8" w:color="F2F2F2"/>
            </w:tcBorders>
          </w:tcPr>
          <w:p>
            <w:pPr>
              <w:spacing w:after="0"/>
              <w:rPr>
                <w:sz w:val="14"/>
                <w:szCs w:val="14"/>
                <w:color w:val="auto"/>
              </w:rPr>
            </w:pPr>
          </w:p>
        </w:tc>
        <w:tc>
          <w:tcPr>
            <w:tcW w:w="520" w:type="dxa"/>
            <w:vAlign w:val="bottom"/>
            <w:tcBorders>
              <w:bottom w:val="single" w:sz="8" w:color="C7C8CA"/>
            </w:tcBorders>
            <w:shd w:val="clear" w:color="auto" w:fill="F2F2F2"/>
          </w:tcPr>
          <w:p>
            <w:pPr>
              <w:spacing w:after="0"/>
              <w:rPr>
                <w:sz w:val="14"/>
                <w:szCs w:val="14"/>
                <w:color w:val="auto"/>
              </w:rPr>
            </w:pPr>
          </w:p>
        </w:tc>
        <w:tc>
          <w:tcPr>
            <w:tcW w:w="560" w:type="dxa"/>
            <w:vAlign w:val="bottom"/>
            <w:tcBorders>
              <w:bottom w:val="single" w:sz="8" w:color="C7C8CA"/>
              <w:right w:val="single" w:sz="8" w:color="F2F2F2"/>
            </w:tcBorders>
          </w:tcPr>
          <w:p>
            <w:pPr>
              <w:spacing w:after="0"/>
              <w:rPr>
                <w:sz w:val="14"/>
                <w:szCs w:val="14"/>
                <w:color w:val="auto"/>
              </w:rPr>
            </w:pPr>
          </w:p>
        </w:tc>
        <w:tc>
          <w:tcPr>
            <w:tcW w:w="520" w:type="dxa"/>
            <w:vAlign w:val="bottom"/>
            <w:tcBorders>
              <w:bottom w:val="single" w:sz="8" w:color="C7C8CA"/>
            </w:tcBorders>
            <w:shd w:val="clear" w:color="auto" w:fill="F2F2F2"/>
          </w:tcPr>
          <w:p>
            <w:pPr>
              <w:spacing w:after="0"/>
              <w:rPr>
                <w:sz w:val="14"/>
                <w:szCs w:val="14"/>
                <w:color w:val="auto"/>
              </w:rPr>
            </w:pPr>
          </w:p>
        </w:tc>
        <w:tc>
          <w:tcPr>
            <w:tcW w:w="560" w:type="dxa"/>
            <w:vAlign w:val="bottom"/>
            <w:tcBorders>
              <w:bottom w:val="single" w:sz="8" w:color="C7C8CA"/>
              <w:right w:val="single" w:sz="8" w:color="F2F2F2"/>
            </w:tcBorders>
          </w:tcPr>
          <w:p>
            <w:pPr>
              <w:spacing w:after="0"/>
              <w:rPr>
                <w:sz w:val="14"/>
                <w:szCs w:val="14"/>
                <w:color w:val="auto"/>
              </w:rPr>
            </w:pPr>
          </w:p>
        </w:tc>
        <w:tc>
          <w:tcPr>
            <w:tcW w:w="520" w:type="dxa"/>
            <w:vAlign w:val="bottom"/>
            <w:tcBorders>
              <w:bottom w:val="single" w:sz="8" w:color="C7C8CA"/>
            </w:tcBorders>
            <w:shd w:val="clear" w:color="auto" w:fill="F2F2F2"/>
          </w:tcPr>
          <w:p>
            <w:pPr>
              <w:spacing w:after="0"/>
              <w:rPr>
                <w:sz w:val="14"/>
                <w:szCs w:val="14"/>
                <w:color w:val="auto"/>
              </w:rPr>
            </w:pPr>
          </w:p>
        </w:tc>
        <w:tc>
          <w:tcPr>
            <w:tcW w:w="600" w:type="dxa"/>
            <w:vAlign w:val="bottom"/>
            <w:tcBorders>
              <w:bottom w:val="single" w:sz="8" w:color="C7C8CA"/>
              <w:right w:val="single" w:sz="8" w:color="C7C8CA"/>
            </w:tcBorders>
          </w:tcPr>
          <w:p>
            <w:pPr>
              <w:spacing w:after="0"/>
              <w:rPr>
                <w:sz w:val="14"/>
                <w:szCs w:val="14"/>
                <w:color w:val="auto"/>
              </w:rPr>
            </w:pPr>
          </w:p>
        </w:tc>
      </w:tr>
      <w:tr>
        <w:trPr>
          <w:trHeight w:val="362"/>
        </w:trPr>
        <w:tc>
          <w:tcPr>
            <w:tcW w:w="4920" w:type="dxa"/>
            <w:vAlign w:val="bottom"/>
            <w:tcBorders>
              <w:right w:val="single" w:sz="8" w:color="F2F2F2"/>
            </w:tcBorders>
          </w:tcPr>
          <w:p>
            <w:pPr>
              <w:ind w:left="700"/>
              <w:spacing w:after="0"/>
              <w:rPr>
                <w:sz w:val="20"/>
                <w:szCs w:val="20"/>
                <w:color w:val="auto"/>
              </w:rPr>
            </w:pPr>
            <w:r>
              <w:rPr>
                <w:rFonts w:ascii="Arial" w:cs="Arial" w:eastAsia="Arial" w:hAnsi="Arial"/>
                <w:sz w:val="18"/>
                <w:szCs w:val="18"/>
                <w:color w:val="auto"/>
              </w:rPr>
              <w:t>Financial expertise</w:t>
            </w:r>
          </w:p>
        </w:tc>
        <w:tc>
          <w:tcPr>
            <w:tcW w:w="180" w:type="dxa"/>
            <w:vAlign w:val="bottom"/>
            <w:shd w:val="clear" w:color="auto" w:fill="F2F2F2"/>
          </w:tcPr>
          <w:p>
            <w:pPr>
              <w:spacing w:after="0"/>
              <w:rPr>
                <w:sz w:val="24"/>
                <w:szCs w:val="24"/>
                <w:color w:val="auto"/>
              </w:rPr>
            </w:pPr>
          </w:p>
        </w:tc>
        <w:tc>
          <w:tcPr>
            <w:tcW w:w="420" w:type="dxa"/>
            <w:vAlign w:val="bottom"/>
            <w:shd w:val="clear" w:color="auto" w:fill="F2F2F2"/>
          </w:tcPr>
          <w:p>
            <w:pPr>
              <w:ind w:left="6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60" w:type="dxa"/>
            <w:vAlign w:val="bottom"/>
            <w:tcBorders>
              <w:right w:val="single" w:sz="8" w:color="F2F2F2"/>
            </w:tcBorders>
          </w:tcPr>
          <w:p>
            <w:pPr>
              <w:ind w:left="26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2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600" w:type="dxa"/>
            <w:vAlign w:val="bottom"/>
            <w:tcBorders>
              <w:right w:val="single" w:sz="8" w:color="C7C8CA"/>
            </w:tcBorders>
          </w:tcPr>
          <w:p>
            <w:pPr>
              <w:ind w:left="28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r>
      <w:tr>
        <w:trPr>
          <w:trHeight w:val="104"/>
        </w:trPr>
        <w:tc>
          <w:tcPr>
            <w:tcW w:w="4920" w:type="dxa"/>
            <w:vAlign w:val="bottom"/>
            <w:tcBorders>
              <w:bottom w:val="single" w:sz="8" w:color="C7C8CA"/>
              <w:right w:val="single" w:sz="8" w:color="F2F2F2"/>
            </w:tcBorders>
          </w:tcPr>
          <w:p>
            <w:pPr>
              <w:spacing w:after="0"/>
              <w:rPr>
                <w:sz w:val="9"/>
                <w:szCs w:val="9"/>
                <w:color w:val="auto"/>
              </w:rPr>
            </w:pPr>
          </w:p>
        </w:tc>
        <w:tc>
          <w:tcPr>
            <w:tcW w:w="180" w:type="dxa"/>
            <w:vAlign w:val="bottom"/>
            <w:tcBorders>
              <w:bottom w:val="single" w:sz="8" w:color="C7C8CA"/>
            </w:tcBorders>
            <w:shd w:val="clear" w:color="auto" w:fill="F2F2F2"/>
          </w:tcPr>
          <w:p>
            <w:pPr>
              <w:spacing w:after="0"/>
              <w:rPr>
                <w:sz w:val="9"/>
                <w:szCs w:val="9"/>
                <w:color w:val="auto"/>
              </w:rPr>
            </w:pPr>
          </w:p>
        </w:tc>
        <w:tc>
          <w:tcPr>
            <w:tcW w:w="420" w:type="dxa"/>
            <w:vAlign w:val="bottom"/>
            <w:tcBorders>
              <w:bottom w:val="single" w:sz="8" w:color="C7C8CA"/>
            </w:tcBorders>
            <w:shd w:val="clear" w:color="auto" w:fill="F2F2F2"/>
          </w:tcPr>
          <w:p>
            <w:pPr>
              <w:spacing w:after="0"/>
              <w:rPr>
                <w:sz w:val="9"/>
                <w:szCs w:val="9"/>
                <w:color w:val="auto"/>
              </w:rPr>
            </w:pPr>
          </w:p>
        </w:tc>
        <w:tc>
          <w:tcPr>
            <w:tcW w:w="560" w:type="dxa"/>
            <w:vAlign w:val="bottom"/>
            <w:tcBorders>
              <w:bottom w:val="single" w:sz="8" w:color="C7C8CA"/>
              <w:right w:val="single" w:sz="8" w:color="F2F2F2"/>
            </w:tcBorders>
          </w:tcPr>
          <w:p>
            <w:pPr>
              <w:spacing w:after="0"/>
              <w:rPr>
                <w:sz w:val="9"/>
                <w:szCs w:val="9"/>
                <w:color w:val="auto"/>
              </w:rPr>
            </w:pPr>
          </w:p>
        </w:tc>
        <w:tc>
          <w:tcPr>
            <w:tcW w:w="520" w:type="dxa"/>
            <w:vAlign w:val="bottom"/>
            <w:tcBorders>
              <w:bottom w:val="single" w:sz="8" w:color="C7C8CA"/>
            </w:tcBorders>
            <w:shd w:val="clear" w:color="auto" w:fill="F2F2F2"/>
          </w:tcPr>
          <w:p>
            <w:pPr>
              <w:spacing w:after="0"/>
              <w:rPr>
                <w:sz w:val="9"/>
                <w:szCs w:val="9"/>
                <w:color w:val="auto"/>
              </w:rPr>
            </w:pPr>
          </w:p>
        </w:tc>
        <w:tc>
          <w:tcPr>
            <w:tcW w:w="560" w:type="dxa"/>
            <w:vAlign w:val="bottom"/>
            <w:tcBorders>
              <w:bottom w:val="single" w:sz="8" w:color="C7C8CA"/>
              <w:right w:val="single" w:sz="8" w:color="F2F2F2"/>
            </w:tcBorders>
          </w:tcPr>
          <w:p>
            <w:pPr>
              <w:spacing w:after="0"/>
              <w:rPr>
                <w:sz w:val="9"/>
                <w:szCs w:val="9"/>
                <w:color w:val="auto"/>
              </w:rPr>
            </w:pPr>
          </w:p>
        </w:tc>
        <w:tc>
          <w:tcPr>
            <w:tcW w:w="520" w:type="dxa"/>
            <w:vAlign w:val="bottom"/>
            <w:tcBorders>
              <w:bottom w:val="single" w:sz="8" w:color="C7C8CA"/>
            </w:tcBorders>
            <w:shd w:val="clear" w:color="auto" w:fill="F2F2F2"/>
          </w:tcPr>
          <w:p>
            <w:pPr>
              <w:spacing w:after="0"/>
              <w:rPr>
                <w:sz w:val="9"/>
                <w:szCs w:val="9"/>
                <w:color w:val="auto"/>
              </w:rPr>
            </w:pPr>
          </w:p>
        </w:tc>
        <w:tc>
          <w:tcPr>
            <w:tcW w:w="560" w:type="dxa"/>
            <w:vAlign w:val="bottom"/>
            <w:tcBorders>
              <w:bottom w:val="single" w:sz="8" w:color="C7C8CA"/>
              <w:right w:val="single" w:sz="8" w:color="F2F2F2"/>
            </w:tcBorders>
          </w:tcPr>
          <w:p>
            <w:pPr>
              <w:spacing w:after="0"/>
              <w:rPr>
                <w:sz w:val="9"/>
                <w:szCs w:val="9"/>
                <w:color w:val="auto"/>
              </w:rPr>
            </w:pPr>
          </w:p>
        </w:tc>
        <w:tc>
          <w:tcPr>
            <w:tcW w:w="520" w:type="dxa"/>
            <w:vAlign w:val="bottom"/>
            <w:tcBorders>
              <w:bottom w:val="single" w:sz="8" w:color="C7C8CA"/>
            </w:tcBorders>
            <w:shd w:val="clear" w:color="auto" w:fill="F2F2F2"/>
          </w:tcPr>
          <w:p>
            <w:pPr>
              <w:spacing w:after="0"/>
              <w:rPr>
                <w:sz w:val="9"/>
                <w:szCs w:val="9"/>
                <w:color w:val="auto"/>
              </w:rPr>
            </w:pPr>
          </w:p>
        </w:tc>
        <w:tc>
          <w:tcPr>
            <w:tcW w:w="600" w:type="dxa"/>
            <w:vAlign w:val="bottom"/>
            <w:tcBorders>
              <w:bottom w:val="single" w:sz="8" w:color="C7C8CA"/>
              <w:right w:val="single" w:sz="8" w:color="C7C8CA"/>
            </w:tcBorders>
          </w:tcPr>
          <w:p>
            <w:pPr>
              <w:spacing w:after="0"/>
              <w:rPr>
                <w:sz w:val="9"/>
                <w:szCs w:val="9"/>
                <w:color w:val="auto"/>
              </w:rPr>
            </w:pPr>
          </w:p>
        </w:tc>
      </w:tr>
      <w:tr>
        <w:trPr>
          <w:trHeight w:val="389"/>
        </w:trPr>
        <w:tc>
          <w:tcPr>
            <w:tcW w:w="4920" w:type="dxa"/>
            <w:vAlign w:val="bottom"/>
            <w:tcBorders>
              <w:right w:val="single" w:sz="8" w:color="F2F2F2"/>
            </w:tcBorders>
          </w:tcPr>
          <w:p>
            <w:pPr>
              <w:ind w:left="700"/>
              <w:spacing w:after="0"/>
              <w:rPr>
                <w:sz w:val="20"/>
                <w:szCs w:val="20"/>
                <w:color w:val="auto"/>
              </w:rPr>
            </w:pPr>
            <w:r>
              <w:rPr>
                <w:rFonts w:ascii="Arial" w:cs="Arial" w:eastAsia="Arial" w:hAnsi="Arial"/>
                <w:sz w:val="18"/>
                <w:szCs w:val="18"/>
                <w:color w:val="auto"/>
              </w:rPr>
              <w:t>Investment experience</w:t>
            </w:r>
          </w:p>
        </w:tc>
        <w:tc>
          <w:tcPr>
            <w:tcW w:w="180" w:type="dxa"/>
            <w:vAlign w:val="bottom"/>
            <w:shd w:val="clear" w:color="auto" w:fill="F2F2F2"/>
          </w:tcPr>
          <w:p>
            <w:pPr>
              <w:spacing w:after="0"/>
              <w:rPr>
                <w:sz w:val="24"/>
                <w:szCs w:val="24"/>
                <w:color w:val="auto"/>
              </w:rPr>
            </w:pPr>
          </w:p>
        </w:tc>
        <w:tc>
          <w:tcPr>
            <w:tcW w:w="420" w:type="dxa"/>
            <w:vAlign w:val="bottom"/>
            <w:shd w:val="clear" w:color="auto" w:fill="F2F2F2"/>
          </w:tcPr>
          <w:p>
            <w:pPr>
              <w:ind w:left="6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60" w:type="dxa"/>
            <w:vAlign w:val="bottom"/>
            <w:tcBorders>
              <w:right w:val="single" w:sz="8" w:color="F2F2F2"/>
            </w:tcBorders>
          </w:tcPr>
          <w:p>
            <w:pPr>
              <w:ind w:left="26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20" w:type="dxa"/>
            <w:vAlign w:val="bottom"/>
            <w:shd w:val="clear" w:color="auto" w:fill="F2F2F2"/>
          </w:tcPr>
          <w:p>
            <w:pPr>
              <w:spacing w:after="0"/>
              <w:rPr>
                <w:sz w:val="24"/>
                <w:szCs w:val="24"/>
                <w:color w:val="auto"/>
              </w:rPr>
            </w:pP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60" w:type="dxa"/>
            <w:vAlign w:val="bottom"/>
            <w:tcBorders>
              <w:right w:val="single" w:sz="8" w:color="F2F2F2"/>
            </w:tcBorders>
          </w:tcPr>
          <w:p>
            <w:pPr>
              <w:ind w:left="26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20" w:type="dxa"/>
            <w:vAlign w:val="bottom"/>
            <w:shd w:val="clear" w:color="auto" w:fill="F2F2F2"/>
          </w:tcPr>
          <w:p>
            <w:pPr>
              <w:spacing w:after="0"/>
              <w:rPr>
                <w:sz w:val="24"/>
                <w:szCs w:val="24"/>
                <w:color w:val="auto"/>
              </w:rPr>
            </w:pPr>
          </w:p>
        </w:tc>
        <w:tc>
          <w:tcPr>
            <w:tcW w:w="600" w:type="dxa"/>
            <w:vAlign w:val="bottom"/>
            <w:tcBorders>
              <w:right w:val="single" w:sz="8" w:color="C7C8CA"/>
            </w:tcBorders>
          </w:tcPr>
          <w:p>
            <w:pPr>
              <w:ind w:left="28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r>
      <w:tr>
        <w:trPr>
          <w:trHeight w:val="145"/>
        </w:trPr>
        <w:tc>
          <w:tcPr>
            <w:tcW w:w="4920" w:type="dxa"/>
            <w:vAlign w:val="bottom"/>
            <w:tcBorders>
              <w:bottom w:val="single" w:sz="8" w:color="C7C8CA"/>
              <w:right w:val="single" w:sz="8" w:color="F2F2F2"/>
            </w:tcBorders>
          </w:tcPr>
          <w:p>
            <w:pPr>
              <w:spacing w:after="0"/>
              <w:rPr>
                <w:sz w:val="12"/>
                <w:szCs w:val="12"/>
                <w:color w:val="auto"/>
              </w:rPr>
            </w:pPr>
          </w:p>
        </w:tc>
        <w:tc>
          <w:tcPr>
            <w:tcW w:w="180" w:type="dxa"/>
            <w:vAlign w:val="bottom"/>
            <w:tcBorders>
              <w:bottom w:val="single" w:sz="8" w:color="C7C8CA"/>
            </w:tcBorders>
            <w:shd w:val="clear" w:color="auto" w:fill="F2F2F2"/>
          </w:tcPr>
          <w:p>
            <w:pPr>
              <w:spacing w:after="0"/>
              <w:rPr>
                <w:sz w:val="12"/>
                <w:szCs w:val="12"/>
                <w:color w:val="auto"/>
              </w:rPr>
            </w:pPr>
          </w:p>
        </w:tc>
        <w:tc>
          <w:tcPr>
            <w:tcW w:w="420" w:type="dxa"/>
            <w:vAlign w:val="bottom"/>
            <w:tcBorders>
              <w:bottom w:val="single" w:sz="8" w:color="C7C8CA"/>
            </w:tcBorders>
            <w:shd w:val="clear" w:color="auto" w:fill="F2F2F2"/>
          </w:tcPr>
          <w:p>
            <w:pPr>
              <w:spacing w:after="0"/>
              <w:rPr>
                <w:sz w:val="12"/>
                <w:szCs w:val="12"/>
                <w:color w:val="auto"/>
              </w:rPr>
            </w:pPr>
          </w:p>
        </w:tc>
        <w:tc>
          <w:tcPr>
            <w:tcW w:w="560" w:type="dxa"/>
            <w:vAlign w:val="bottom"/>
            <w:tcBorders>
              <w:bottom w:val="single" w:sz="8" w:color="C7C8CA"/>
              <w:right w:val="single" w:sz="8" w:color="F2F2F2"/>
            </w:tcBorders>
          </w:tcPr>
          <w:p>
            <w:pPr>
              <w:spacing w:after="0"/>
              <w:rPr>
                <w:sz w:val="12"/>
                <w:szCs w:val="12"/>
                <w:color w:val="auto"/>
              </w:rPr>
            </w:pPr>
          </w:p>
        </w:tc>
        <w:tc>
          <w:tcPr>
            <w:tcW w:w="520" w:type="dxa"/>
            <w:vAlign w:val="bottom"/>
            <w:tcBorders>
              <w:bottom w:val="single" w:sz="8" w:color="C7C8CA"/>
            </w:tcBorders>
            <w:shd w:val="clear" w:color="auto" w:fill="F2F2F2"/>
          </w:tcPr>
          <w:p>
            <w:pPr>
              <w:spacing w:after="0"/>
              <w:rPr>
                <w:sz w:val="12"/>
                <w:szCs w:val="12"/>
                <w:color w:val="auto"/>
              </w:rPr>
            </w:pPr>
          </w:p>
        </w:tc>
        <w:tc>
          <w:tcPr>
            <w:tcW w:w="560" w:type="dxa"/>
            <w:vAlign w:val="bottom"/>
            <w:tcBorders>
              <w:bottom w:val="single" w:sz="8" w:color="C7C8CA"/>
              <w:right w:val="single" w:sz="8" w:color="F2F2F2"/>
            </w:tcBorders>
          </w:tcPr>
          <w:p>
            <w:pPr>
              <w:spacing w:after="0"/>
              <w:rPr>
                <w:sz w:val="12"/>
                <w:szCs w:val="12"/>
                <w:color w:val="auto"/>
              </w:rPr>
            </w:pPr>
          </w:p>
        </w:tc>
        <w:tc>
          <w:tcPr>
            <w:tcW w:w="520" w:type="dxa"/>
            <w:vAlign w:val="bottom"/>
            <w:tcBorders>
              <w:bottom w:val="single" w:sz="8" w:color="C7C8CA"/>
            </w:tcBorders>
            <w:shd w:val="clear" w:color="auto" w:fill="F2F2F2"/>
          </w:tcPr>
          <w:p>
            <w:pPr>
              <w:spacing w:after="0"/>
              <w:rPr>
                <w:sz w:val="12"/>
                <w:szCs w:val="12"/>
                <w:color w:val="auto"/>
              </w:rPr>
            </w:pPr>
          </w:p>
        </w:tc>
        <w:tc>
          <w:tcPr>
            <w:tcW w:w="560" w:type="dxa"/>
            <w:vAlign w:val="bottom"/>
            <w:tcBorders>
              <w:bottom w:val="single" w:sz="8" w:color="C7C8CA"/>
              <w:right w:val="single" w:sz="8" w:color="F2F2F2"/>
            </w:tcBorders>
          </w:tcPr>
          <w:p>
            <w:pPr>
              <w:spacing w:after="0"/>
              <w:rPr>
                <w:sz w:val="12"/>
                <w:szCs w:val="12"/>
                <w:color w:val="auto"/>
              </w:rPr>
            </w:pPr>
          </w:p>
        </w:tc>
        <w:tc>
          <w:tcPr>
            <w:tcW w:w="520" w:type="dxa"/>
            <w:vAlign w:val="bottom"/>
            <w:tcBorders>
              <w:bottom w:val="single" w:sz="8" w:color="C7C8CA"/>
            </w:tcBorders>
            <w:shd w:val="clear" w:color="auto" w:fill="F2F2F2"/>
          </w:tcPr>
          <w:p>
            <w:pPr>
              <w:spacing w:after="0"/>
              <w:rPr>
                <w:sz w:val="12"/>
                <w:szCs w:val="12"/>
                <w:color w:val="auto"/>
              </w:rPr>
            </w:pPr>
          </w:p>
        </w:tc>
        <w:tc>
          <w:tcPr>
            <w:tcW w:w="600" w:type="dxa"/>
            <w:vAlign w:val="bottom"/>
            <w:tcBorders>
              <w:bottom w:val="single" w:sz="8" w:color="C7C8CA"/>
              <w:right w:val="single" w:sz="8" w:color="C7C8CA"/>
            </w:tcBorders>
          </w:tcPr>
          <w:p>
            <w:pPr>
              <w:spacing w:after="0"/>
              <w:rPr>
                <w:sz w:val="12"/>
                <w:szCs w:val="12"/>
                <w:color w:val="auto"/>
              </w:rPr>
            </w:pPr>
          </w:p>
        </w:tc>
      </w:tr>
      <w:tr>
        <w:trPr>
          <w:trHeight w:val="375"/>
        </w:trPr>
        <w:tc>
          <w:tcPr>
            <w:tcW w:w="4920" w:type="dxa"/>
            <w:vAlign w:val="bottom"/>
            <w:tcBorders>
              <w:right w:val="single" w:sz="8" w:color="F2F2F2"/>
            </w:tcBorders>
          </w:tcPr>
          <w:p>
            <w:pPr>
              <w:ind w:left="700"/>
              <w:spacing w:after="0"/>
              <w:rPr>
                <w:sz w:val="20"/>
                <w:szCs w:val="20"/>
                <w:color w:val="auto"/>
              </w:rPr>
            </w:pPr>
            <w:r>
              <w:rPr>
                <w:rFonts w:ascii="Arial" w:cs="Arial" w:eastAsia="Arial" w:hAnsi="Arial"/>
                <w:sz w:val="18"/>
                <w:szCs w:val="18"/>
                <w:color w:val="auto"/>
              </w:rPr>
              <w:t>Strategy development</w:t>
            </w:r>
          </w:p>
        </w:tc>
        <w:tc>
          <w:tcPr>
            <w:tcW w:w="180" w:type="dxa"/>
            <w:vAlign w:val="bottom"/>
            <w:shd w:val="clear" w:color="auto" w:fill="F2F2F2"/>
          </w:tcPr>
          <w:p>
            <w:pPr>
              <w:spacing w:after="0"/>
              <w:rPr>
                <w:sz w:val="24"/>
                <w:szCs w:val="24"/>
                <w:color w:val="auto"/>
              </w:rPr>
            </w:pPr>
          </w:p>
        </w:tc>
        <w:tc>
          <w:tcPr>
            <w:tcW w:w="420" w:type="dxa"/>
            <w:vAlign w:val="bottom"/>
            <w:shd w:val="clear" w:color="auto" w:fill="F2F2F2"/>
          </w:tcPr>
          <w:p>
            <w:pPr>
              <w:ind w:left="6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60" w:type="dxa"/>
            <w:vAlign w:val="bottom"/>
            <w:tcBorders>
              <w:right w:val="single" w:sz="8" w:color="F2F2F2"/>
            </w:tcBorders>
          </w:tcPr>
          <w:p>
            <w:pPr>
              <w:ind w:left="26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2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600" w:type="dxa"/>
            <w:vAlign w:val="bottom"/>
            <w:tcBorders>
              <w:right w:val="single" w:sz="8" w:color="C7C8CA"/>
            </w:tcBorders>
          </w:tcPr>
          <w:p>
            <w:pPr>
              <w:spacing w:after="0"/>
              <w:rPr>
                <w:sz w:val="24"/>
                <w:szCs w:val="24"/>
                <w:color w:val="auto"/>
              </w:rPr>
            </w:pPr>
          </w:p>
        </w:tc>
      </w:tr>
      <w:tr>
        <w:trPr>
          <w:trHeight w:val="144"/>
        </w:trPr>
        <w:tc>
          <w:tcPr>
            <w:tcW w:w="4920" w:type="dxa"/>
            <w:vAlign w:val="bottom"/>
            <w:tcBorders>
              <w:bottom w:val="single" w:sz="8" w:color="C7C8CA"/>
              <w:right w:val="single" w:sz="8" w:color="F2F2F2"/>
            </w:tcBorders>
          </w:tcPr>
          <w:p>
            <w:pPr>
              <w:spacing w:after="0"/>
              <w:rPr>
                <w:sz w:val="12"/>
                <w:szCs w:val="12"/>
                <w:color w:val="auto"/>
              </w:rPr>
            </w:pPr>
          </w:p>
        </w:tc>
        <w:tc>
          <w:tcPr>
            <w:tcW w:w="180" w:type="dxa"/>
            <w:vAlign w:val="bottom"/>
            <w:tcBorders>
              <w:bottom w:val="single" w:sz="8" w:color="C7C8CA"/>
            </w:tcBorders>
            <w:shd w:val="clear" w:color="auto" w:fill="F2F2F2"/>
          </w:tcPr>
          <w:p>
            <w:pPr>
              <w:spacing w:after="0"/>
              <w:rPr>
                <w:sz w:val="12"/>
                <w:szCs w:val="12"/>
                <w:color w:val="auto"/>
              </w:rPr>
            </w:pPr>
          </w:p>
        </w:tc>
        <w:tc>
          <w:tcPr>
            <w:tcW w:w="420" w:type="dxa"/>
            <w:vAlign w:val="bottom"/>
            <w:tcBorders>
              <w:bottom w:val="single" w:sz="8" w:color="C7C8CA"/>
            </w:tcBorders>
            <w:shd w:val="clear" w:color="auto" w:fill="F2F2F2"/>
          </w:tcPr>
          <w:p>
            <w:pPr>
              <w:spacing w:after="0"/>
              <w:rPr>
                <w:sz w:val="12"/>
                <w:szCs w:val="12"/>
                <w:color w:val="auto"/>
              </w:rPr>
            </w:pPr>
          </w:p>
        </w:tc>
        <w:tc>
          <w:tcPr>
            <w:tcW w:w="560" w:type="dxa"/>
            <w:vAlign w:val="bottom"/>
            <w:tcBorders>
              <w:bottom w:val="single" w:sz="8" w:color="C7C8CA"/>
              <w:right w:val="single" w:sz="8" w:color="F2F2F2"/>
            </w:tcBorders>
          </w:tcPr>
          <w:p>
            <w:pPr>
              <w:spacing w:after="0"/>
              <w:rPr>
                <w:sz w:val="12"/>
                <w:szCs w:val="12"/>
                <w:color w:val="auto"/>
              </w:rPr>
            </w:pPr>
          </w:p>
        </w:tc>
        <w:tc>
          <w:tcPr>
            <w:tcW w:w="520" w:type="dxa"/>
            <w:vAlign w:val="bottom"/>
            <w:tcBorders>
              <w:bottom w:val="single" w:sz="8" w:color="C7C8CA"/>
            </w:tcBorders>
            <w:shd w:val="clear" w:color="auto" w:fill="F2F2F2"/>
          </w:tcPr>
          <w:p>
            <w:pPr>
              <w:spacing w:after="0"/>
              <w:rPr>
                <w:sz w:val="12"/>
                <w:szCs w:val="12"/>
                <w:color w:val="auto"/>
              </w:rPr>
            </w:pPr>
          </w:p>
        </w:tc>
        <w:tc>
          <w:tcPr>
            <w:tcW w:w="560" w:type="dxa"/>
            <w:vAlign w:val="bottom"/>
            <w:tcBorders>
              <w:bottom w:val="single" w:sz="8" w:color="C7C8CA"/>
              <w:right w:val="single" w:sz="8" w:color="F2F2F2"/>
            </w:tcBorders>
          </w:tcPr>
          <w:p>
            <w:pPr>
              <w:spacing w:after="0"/>
              <w:rPr>
                <w:sz w:val="12"/>
                <w:szCs w:val="12"/>
                <w:color w:val="auto"/>
              </w:rPr>
            </w:pPr>
          </w:p>
        </w:tc>
        <w:tc>
          <w:tcPr>
            <w:tcW w:w="520" w:type="dxa"/>
            <w:vAlign w:val="bottom"/>
            <w:tcBorders>
              <w:bottom w:val="single" w:sz="8" w:color="C7C8CA"/>
            </w:tcBorders>
            <w:shd w:val="clear" w:color="auto" w:fill="F2F2F2"/>
          </w:tcPr>
          <w:p>
            <w:pPr>
              <w:spacing w:after="0"/>
              <w:rPr>
                <w:sz w:val="12"/>
                <w:szCs w:val="12"/>
                <w:color w:val="auto"/>
              </w:rPr>
            </w:pPr>
          </w:p>
        </w:tc>
        <w:tc>
          <w:tcPr>
            <w:tcW w:w="560" w:type="dxa"/>
            <w:vAlign w:val="bottom"/>
            <w:tcBorders>
              <w:bottom w:val="single" w:sz="8" w:color="C7C8CA"/>
              <w:right w:val="single" w:sz="8" w:color="F2F2F2"/>
            </w:tcBorders>
          </w:tcPr>
          <w:p>
            <w:pPr>
              <w:spacing w:after="0"/>
              <w:rPr>
                <w:sz w:val="12"/>
                <w:szCs w:val="12"/>
                <w:color w:val="auto"/>
              </w:rPr>
            </w:pPr>
          </w:p>
        </w:tc>
        <w:tc>
          <w:tcPr>
            <w:tcW w:w="520" w:type="dxa"/>
            <w:vAlign w:val="bottom"/>
            <w:tcBorders>
              <w:bottom w:val="single" w:sz="8" w:color="C7C8CA"/>
            </w:tcBorders>
            <w:shd w:val="clear" w:color="auto" w:fill="F2F2F2"/>
          </w:tcPr>
          <w:p>
            <w:pPr>
              <w:spacing w:after="0"/>
              <w:rPr>
                <w:sz w:val="12"/>
                <w:szCs w:val="12"/>
                <w:color w:val="auto"/>
              </w:rPr>
            </w:pPr>
          </w:p>
        </w:tc>
        <w:tc>
          <w:tcPr>
            <w:tcW w:w="600" w:type="dxa"/>
            <w:vAlign w:val="bottom"/>
            <w:tcBorders>
              <w:bottom w:val="single" w:sz="8" w:color="C7C8CA"/>
              <w:right w:val="single" w:sz="8" w:color="C7C8CA"/>
            </w:tcBorders>
          </w:tcPr>
          <w:p>
            <w:pPr>
              <w:spacing w:after="0"/>
              <w:rPr>
                <w:sz w:val="12"/>
                <w:szCs w:val="12"/>
                <w:color w:val="auto"/>
              </w:rPr>
            </w:pPr>
          </w:p>
        </w:tc>
      </w:tr>
      <w:tr>
        <w:trPr>
          <w:trHeight w:val="403"/>
        </w:trPr>
        <w:tc>
          <w:tcPr>
            <w:tcW w:w="4920" w:type="dxa"/>
            <w:vAlign w:val="bottom"/>
            <w:tcBorders>
              <w:right w:val="single" w:sz="8" w:color="F2F2F2"/>
            </w:tcBorders>
          </w:tcPr>
          <w:p>
            <w:pPr>
              <w:ind w:left="700"/>
              <w:spacing w:after="0"/>
              <w:rPr>
                <w:sz w:val="20"/>
                <w:szCs w:val="20"/>
                <w:color w:val="auto"/>
              </w:rPr>
            </w:pPr>
            <w:r>
              <w:rPr>
                <w:rFonts w:ascii="Arial" w:cs="Arial" w:eastAsia="Arial" w:hAnsi="Arial"/>
                <w:sz w:val="18"/>
                <w:szCs w:val="18"/>
                <w:color w:val="auto"/>
              </w:rPr>
              <w:t>International business</w:t>
            </w:r>
          </w:p>
        </w:tc>
        <w:tc>
          <w:tcPr>
            <w:tcW w:w="180" w:type="dxa"/>
            <w:vAlign w:val="bottom"/>
            <w:shd w:val="clear" w:color="auto" w:fill="F2F2F2"/>
          </w:tcPr>
          <w:p>
            <w:pPr>
              <w:spacing w:after="0"/>
              <w:rPr>
                <w:sz w:val="24"/>
                <w:szCs w:val="24"/>
                <w:color w:val="auto"/>
              </w:rPr>
            </w:pPr>
          </w:p>
        </w:tc>
        <w:tc>
          <w:tcPr>
            <w:tcW w:w="420" w:type="dxa"/>
            <w:vAlign w:val="bottom"/>
            <w:shd w:val="clear" w:color="auto" w:fill="F2F2F2"/>
          </w:tcPr>
          <w:p>
            <w:pPr>
              <w:ind w:left="6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60" w:type="dxa"/>
            <w:vAlign w:val="bottom"/>
            <w:tcBorders>
              <w:right w:val="single" w:sz="8" w:color="F2F2F2"/>
            </w:tcBorders>
          </w:tcPr>
          <w:p>
            <w:pPr>
              <w:ind w:left="26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20" w:type="dxa"/>
            <w:vAlign w:val="bottom"/>
            <w:shd w:val="clear" w:color="auto" w:fill="F2F2F2"/>
          </w:tcPr>
          <w:p>
            <w:pPr>
              <w:spacing w:after="0"/>
              <w:rPr>
                <w:sz w:val="24"/>
                <w:szCs w:val="24"/>
                <w:color w:val="auto"/>
              </w:rPr>
            </w:pP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600" w:type="dxa"/>
            <w:vAlign w:val="bottom"/>
            <w:tcBorders>
              <w:right w:val="single" w:sz="8" w:color="C7C8CA"/>
            </w:tcBorders>
          </w:tcPr>
          <w:p>
            <w:pPr>
              <w:spacing w:after="0"/>
              <w:rPr>
                <w:sz w:val="24"/>
                <w:szCs w:val="24"/>
                <w:color w:val="auto"/>
              </w:rPr>
            </w:pPr>
          </w:p>
        </w:tc>
      </w:tr>
      <w:tr>
        <w:trPr>
          <w:trHeight w:val="172"/>
        </w:trPr>
        <w:tc>
          <w:tcPr>
            <w:tcW w:w="4920" w:type="dxa"/>
            <w:vAlign w:val="bottom"/>
            <w:tcBorders>
              <w:bottom w:val="single" w:sz="8" w:color="C7C8CA"/>
              <w:right w:val="single" w:sz="8" w:color="F2F2F2"/>
            </w:tcBorders>
          </w:tcPr>
          <w:p>
            <w:pPr>
              <w:spacing w:after="0"/>
              <w:rPr>
                <w:sz w:val="14"/>
                <w:szCs w:val="14"/>
                <w:color w:val="auto"/>
              </w:rPr>
            </w:pPr>
          </w:p>
        </w:tc>
        <w:tc>
          <w:tcPr>
            <w:tcW w:w="180" w:type="dxa"/>
            <w:vAlign w:val="bottom"/>
            <w:tcBorders>
              <w:bottom w:val="single" w:sz="8" w:color="C7C8CA"/>
            </w:tcBorders>
            <w:shd w:val="clear" w:color="auto" w:fill="F2F2F2"/>
          </w:tcPr>
          <w:p>
            <w:pPr>
              <w:spacing w:after="0"/>
              <w:rPr>
                <w:sz w:val="14"/>
                <w:szCs w:val="14"/>
                <w:color w:val="auto"/>
              </w:rPr>
            </w:pPr>
          </w:p>
        </w:tc>
        <w:tc>
          <w:tcPr>
            <w:tcW w:w="420" w:type="dxa"/>
            <w:vAlign w:val="bottom"/>
            <w:tcBorders>
              <w:bottom w:val="single" w:sz="8" w:color="C7C8CA"/>
            </w:tcBorders>
            <w:shd w:val="clear" w:color="auto" w:fill="F2F2F2"/>
          </w:tcPr>
          <w:p>
            <w:pPr>
              <w:spacing w:after="0"/>
              <w:rPr>
                <w:sz w:val="14"/>
                <w:szCs w:val="14"/>
                <w:color w:val="auto"/>
              </w:rPr>
            </w:pPr>
          </w:p>
        </w:tc>
        <w:tc>
          <w:tcPr>
            <w:tcW w:w="560" w:type="dxa"/>
            <w:vAlign w:val="bottom"/>
            <w:tcBorders>
              <w:bottom w:val="single" w:sz="8" w:color="C7C8CA"/>
              <w:right w:val="single" w:sz="8" w:color="F2F2F2"/>
            </w:tcBorders>
          </w:tcPr>
          <w:p>
            <w:pPr>
              <w:spacing w:after="0"/>
              <w:rPr>
                <w:sz w:val="14"/>
                <w:szCs w:val="14"/>
                <w:color w:val="auto"/>
              </w:rPr>
            </w:pPr>
          </w:p>
        </w:tc>
        <w:tc>
          <w:tcPr>
            <w:tcW w:w="520" w:type="dxa"/>
            <w:vAlign w:val="bottom"/>
            <w:tcBorders>
              <w:bottom w:val="single" w:sz="8" w:color="C7C8CA"/>
            </w:tcBorders>
            <w:shd w:val="clear" w:color="auto" w:fill="F2F2F2"/>
          </w:tcPr>
          <w:p>
            <w:pPr>
              <w:spacing w:after="0"/>
              <w:rPr>
                <w:sz w:val="14"/>
                <w:szCs w:val="14"/>
                <w:color w:val="auto"/>
              </w:rPr>
            </w:pPr>
          </w:p>
        </w:tc>
        <w:tc>
          <w:tcPr>
            <w:tcW w:w="560" w:type="dxa"/>
            <w:vAlign w:val="bottom"/>
            <w:tcBorders>
              <w:bottom w:val="single" w:sz="8" w:color="C7C8CA"/>
              <w:right w:val="single" w:sz="8" w:color="F2F2F2"/>
            </w:tcBorders>
          </w:tcPr>
          <w:p>
            <w:pPr>
              <w:spacing w:after="0"/>
              <w:rPr>
                <w:sz w:val="14"/>
                <w:szCs w:val="14"/>
                <w:color w:val="auto"/>
              </w:rPr>
            </w:pPr>
          </w:p>
        </w:tc>
        <w:tc>
          <w:tcPr>
            <w:tcW w:w="520" w:type="dxa"/>
            <w:vAlign w:val="bottom"/>
            <w:tcBorders>
              <w:bottom w:val="single" w:sz="8" w:color="C7C8CA"/>
            </w:tcBorders>
            <w:shd w:val="clear" w:color="auto" w:fill="F2F2F2"/>
          </w:tcPr>
          <w:p>
            <w:pPr>
              <w:spacing w:after="0"/>
              <w:rPr>
                <w:sz w:val="14"/>
                <w:szCs w:val="14"/>
                <w:color w:val="auto"/>
              </w:rPr>
            </w:pPr>
          </w:p>
        </w:tc>
        <w:tc>
          <w:tcPr>
            <w:tcW w:w="560" w:type="dxa"/>
            <w:vAlign w:val="bottom"/>
            <w:tcBorders>
              <w:bottom w:val="single" w:sz="8" w:color="C7C8CA"/>
              <w:right w:val="single" w:sz="8" w:color="F2F2F2"/>
            </w:tcBorders>
          </w:tcPr>
          <w:p>
            <w:pPr>
              <w:spacing w:after="0"/>
              <w:rPr>
                <w:sz w:val="14"/>
                <w:szCs w:val="14"/>
                <w:color w:val="auto"/>
              </w:rPr>
            </w:pPr>
          </w:p>
        </w:tc>
        <w:tc>
          <w:tcPr>
            <w:tcW w:w="520" w:type="dxa"/>
            <w:vAlign w:val="bottom"/>
            <w:tcBorders>
              <w:bottom w:val="single" w:sz="8" w:color="C7C8CA"/>
            </w:tcBorders>
            <w:shd w:val="clear" w:color="auto" w:fill="F2F2F2"/>
          </w:tcPr>
          <w:p>
            <w:pPr>
              <w:spacing w:after="0"/>
              <w:rPr>
                <w:sz w:val="14"/>
                <w:szCs w:val="14"/>
                <w:color w:val="auto"/>
              </w:rPr>
            </w:pPr>
          </w:p>
        </w:tc>
        <w:tc>
          <w:tcPr>
            <w:tcW w:w="600" w:type="dxa"/>
            <w:vAlign w:val="bottom"/>
            <w:tcBorders>
              <w:bottom w:val="single" w:sz="8" w:color="C7C8CA"/>
              <w:right w:val="single" w:sz="8" w:color="C7C8CA"/>
            </w:tcBorders>
          </w:tcPr>
          <w:p>
            <w:pPr>
              <w:spacing w:after="0"/>
              <w:rPr>
                <w:sz w:val="14"/>
                <w:szCs w:val="14"/>
                <w:color w:val="auto"/>
              </w:rPr>
            </w:pPr>
          </w:p>
        </w:tc>
      </w:tr>
      <w:tr>
        <w:trPr>
          <w:trHeight w:val="375"/>
        </w:trPr>
        <w:tc>
          <w:tcPr>
            <w:tcW w:w="4920" w:type="dxa"/>
            <w:vAlign w:val="bottom"/>
            <w:tcBorders>
              <w:right w:val="single" w:sz="8" w:color="F2F2F2"/>
            </w:tcBorders>
          </w:tcPr>
          <w:p>
            <w:pPr>
              <w:ind w:left="700"/>
              <w:spacing w:after="0"/>
              <w:rPr>
                <w:sz w:val="20"/>
                <w:szCs w:val="20"/>
                <w:color w:val="auto"/>
              </w:rPr>
            </w:pPr>
            <w:r>
              <w:rPr>
                <w:rFonts w:ascii="Arial" w:cs="Arial" w:eastAsia="Arial" w:hAnsi="Arial"/>
                <w:sz w:val="18"/>
                <w:szCs w:val="18"/>
                <w:color w:val="auto"/>
              </w:rPr>
              <w:t>Cybersecurity oversight</w:t>
            </w:r>
          </w:p>
        </w:tc>
        <w:tc>
          <w:tcPr>
            <w:tcW w:w="180" w:type="dxa"/>
            <w:vAlign w:val="bottom"/>
            <w:shd w:val="clear" w:color="auto" w:fill="F2F2F2"/>
          </w:tcPr>
          <w:p>
            <w:pPr>
              <w:spacing w:after="0"/>
              <w:rPr>
                <w:sz w:val="24"/>
                <w:szCs w:val="24"/>
                <w:color w:val="auto"/>
              </w:rPr>
            </w:pPr>
          </w:p>
        </w:tc>
        <w:tc>
          <w:tcPr>
            <w:tcW w:w="420" w:type="dxa"/>
            <w:vAlign w:val="bottom"/>
            <w:shd w:val="clear" w:color="auto" w:fill="F2F2F2"/>
          </w:tcPr>
          <w:p>
            <w:pPr>
              <w:spacing w:after="0"/>
              <w:rPr>
                <w:sz w:val="24"/>
                <w:szCs w:val="24"/>
                <w:color w:val="auto"/>
              </w:rPr>
            </w:pP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600" w:type="dxa"/>
            <w:vAlign w:val="bottom"/>
            <w:tcBorders>
              <w:right w:val="single" w:sz="8" w:color="C7C8CA"/>
            </w:tcBorders>
          </w:tcPr>
          <w:p>
            <w:pPr>
              <w:ind w:left="28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r>
      <w:tr>
        <w:trPr>
          <w:trHeight w:val="131"/>
        </w:trPr>
        <w:tc>
          <w:tcPr>
            <w:tcW w:w="4920" w:type="dxa"/>
            <w:vAlign w:val="bottom"/>
            <w:tcBorders>
              <w:bottom w:val="single" w:sz="8" w:color="C7C8CA"/>
              <w:right w:val="single" w:sz="8" w:color="F2F2F2"/>
            </w:tcBorders>
          </w:tcPr>
          <w:p>
            <w:pPr>
              <w:spacing w:after="0"/>
              <w:rPr>
                <w:sz w:val="11"/>
                <w:szCs w:val="11"/>
                <w:color w:val="auto"/>
              </w:rPr>
            </w:pPr>
          </w:p>
        </w:tc>
        <w:tc>
          <w:tcPr>
            <w:tcW w:w="180" w:type="dxa"/>
            <w:vAlign w:val="bottom"/>
            <w:tcBorders>
              <w:bottom w:val="single" w:sz="8" w:color="C7C8CA"/>
            </w:tcBorders>
            <w:shd w:val="clear" w:color="auto" w:fill="F2F2F2"/>
          </w:tcPr>
          <w:p>
            <w:pPr>
              <w:spacing w:after="0"/>
              <w:rPr>
                <w:sz w:val="11"/>
                <w:szCs w:val="11"/>
                <w:color w:val="auto"/>
              </w:rPr>
            </w:pPr>
          </w:p>
        </w:tc>
        <w:tc>
          <w:tcPr>
            <w:tcW w:w="420" w:type="dxa"/>
            <w:vAlign w:val="bottom"/>
            <w:tcBorders>
              <w:bottom w:val="single" w:sz="8" w:color="C7C8CA"/>
            </w:tcBorders>
            <w:shd w:val="clear" w:color="auto" w:fill="F2F2F2"/>
          </w:tcPr>
          <w:p>
            <w:pPr>
              <w:spacing w:after="0"/>
              <w:rPr>
                <w:sz w:val="11"/>
                <w:szCs w:val="11"/>
                <w:color w:val="auto"/>
              </w:rPr>
            </w:pPr>
          </w:p>
        </w:tc>
        <w:tc>
          <w:tcPr>
            <w:tcW w:w="560" w:type="dxa"/>
            <w:vAlign w:val="bottom"/>
            <w:tcBorders>
              <w:bottom w:val="single" w:sz="8" w:color="C7C8CA"/>
              <w:right w:val="single" w:sz="8" w:color="F2F2F2"/>
            </w:tcBorders>
          </w:tcPr>
          <w:p>
            <w:pPr>
              <w:spacing w:after="0"/>
              <w:rPr>
                <w:sz w:val="11"/>
                <w:szCs w:val="11"/>
                <w:color w:val="auto"/>
              </w:rPr>
            </w:pPr>
          </w:p>
        </w:tc>
        <w:tc>
          <w:tcPr>
            <w:tcW w:w="520" w:type="dxa"/>
            <w:vAlign w:val="bottom"/>
            <w:tcBorders>
              <w:bottom w:val="single" w:sz="8" w:color="C7C8CA"/>
            </w:tcBorders>
            <w:shd w:val="clear" w:color="auto" w:fill="F2F2F2"/>
          </w:tcPr>
          <w:p>
            <w:pPr>
              <w:spacing w:after="0"/>
              <w:rPr>
                <w:sz w:val="11"/>
                <w:szCs w:val="11"/>
                <w:color w:val="auto"/>
              </w:rPr>
            </w:pPr>
          </w:p>
        </w:tc>
        <w:tc>
          <w:tcPr>
            <w:tcW w:w="560" w:type="dxa"/>
            <w:vAlign w:val="bottom"/>
            <w:tcBorders>
              <w:bottom w:val="single" w:sz="8" w:color="C7C8CA"/>
              <w:right w:val="single" w:sz="8" w:color="F2F2F2"/>
            </w:tcBorders>
          </w:tcPr>
          <w:p>
            <w:pPr>
              <w:spacing w:after="0"/>
              <w:rPr>
                <w:sz w:val="11"/>
                <w:szCs w:val="11"/>
                <w:color w:val="auto"/>
              </w:rPr>
            </w:pPr>
          </w:p>
        </w:tc>
        <w:tc>
          <w:tcPr>
            <w:tcW w:w="520" w:type="dxa"/>
            <w:vAlign w:val="bottom"/>
            <w:tcBorders>
              <w:bottom w:val="single" w:sz="8" w:color="C7C8CA"/>
            </w:tcBorders>
            <w:shd w:val="clear" w:color="auto" w:fill="F2F2F2"/>
          </w:tcPr>
          <w:p>
            <w:pPr>
              <w:spacing w:after="0"/>
              <w:rPr>
                <w:sz w:val="11"/>
                <w:szCs w:val="11"/>
                <w:color w:val="auto"/>
              </w:rPr>
            </w:pPr>
          </w:p>
        </w:tc>
        <w:tc>
          <w:tcPr>
            <w:tcW w:w="560" w:type="dxa"/>
            <w:vAlign w:val="bottom"/>
            <w:tcBorders>
              <w:bottom w:val="single" w:sz="8" w:color="C7C8CA"/>
              <w:right w:val="single" w:sz="8" w:color="F2F2F2"/>
            </w:tcBorders>
          </w:tcPr>
          <w:p>
            <w:pPr>
              <w:spacing w:after="0"/>
              <w:rPr>
                <w:sz w:val="11"/>
                <w:szCs w:val="11"/>
                <w:color w:val="auto"/>
              </w:rPr>
            </w:pPr>
          </w:p>
        </w:tc>
        <w:tc>
          <w:tcPr>
            <w:tcW w:w="520" w:type="dxa"/>
            <w:vAlign w:val="bottom"/>
            <w:tcBorders>
              <w:bottom w:val="single" w:sz="8" w:color="C7C8CA"/>
            </w:tcBorders>
            <w:shd w:val="clear" w:color="auto" w:fill="F2F2F2"/>
          </w:tcPr>
          <w:p>
            <w:pPr>
              <w:spacing w:after="0"/>
              <w:rPr>
                <w:sz w:val="11"/>
                <w:szCs w:val="11"/>
                <w:color w:val="auto"/>
              </w:rPr>
            </w:pPr>
          </w:p>
        </w:tc>
        <w:tc>
          <w:tcPr>
            <w:tcW w:w="600" w:type="dxa"/>
            <w:vAlign w:val="bottom"/>
            <w:tcBorders>
              <w:bottom w:val="single" w:sz="8" w:color="C7C8CA"/>
              <w:right w:val="single" w:sz="8" w:color="C7C8CA"/>
            </w:tcBorders>
          </w:tcPr>
          <w:p>
            <w:pPr>
              <w:spacing w:after="0"/>
              <w:rPr>
                <w:sz w:val="11"/>
                <w:szCs w:val="11"/>
                <w:color w:val="auto"/>
              </w:rPr>
            </w:pPr>
          </w:p>
        </w:tc>
      </w:tr>
      <w:tr>
        <w:trPr>
          <w:trHeight w:val="389"/>
        </w:trPr>
        <w:tc>
          <w:tcPr>
            <w:tcW w:w="4920" w:type="dxa"/>
            <w:vAlign w:val="bottom"/>
            <w:tcBorders>
              <w:right w:val="single" w:sz="8" w:color="F2F2F2"/>
            </w:tcBorders>
          </w:tcPr>
          <w:p>
            <w:pPr>
              <w:ind w:left="700"/>
              <w:spacing w:after="0"/>
              <w:rPr>
                <w:sz w:val="20"/>
                <w:szCs w:val="20"/>
                <w:color w:val="auto"/>
              </w:rPr>
            </w:pPr>
            <w:r>
              <w:rPr>
                <w:rFonts w:ascii="Arial" w:cs="Arial" w:eastAsia="Arial" w:hAnsi="Arial"/>
                <w:sz w:val="18"/>
                <w:szCs w:val="18"/>
                <w:color w:val="auto"/>
              </w:rPr>
              <w:t>Mergers and acquisitions</w:t>
            </w:r>
          </w:p>
        </w:tc>
        <w:tc>
          <w:tcPr>
            <w:tcW w:w="180" w:type="dxa"/>
            <w:vAlign w:val="bottom"/>
            <w:shd w:val="clear" w:color="auto" w:fill="F2F2F2"/>
          </w:tcPr>
          <w:p>
            <w:pPr>
              <w:spacing w:after="0"/>
              <w:rPr>
                <w:sz w:val="24"/>
                <w:szCs w:val="24"/>
                <w:color w:val="auto"/>
              </w:rPr>
            </w:pPr>
          </w:p>
        </w:tc>
        <w:tc>
          <w:tcPr>
            <w:tcW w:w="420" w:type="dxa"/>
            <w:vAlign w:val="bottom"/>
            <w:shd w:val="clear" w:color="auto" w:fill="F2F2F2"/>
          </w:tcPr>
          <w:p>
            <w:pPr>
              <w:ind w:left="6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60" w:type="dxa"/>
            <w:vAlign w:val="bottom"/>
            <w:tcBorders>
              <w:right w:val="single" w:sz="8" w:color="F2F2F2"/>
            </w:tcBorders>
          </w:tcPr>
          <w:p>
            <w:pPr>
              <w:ind w:left="26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20" w:type="dxa"/>
            <w:vAlign w:val="bottom"/>
            <w:shd w:val="clear" w:color="auto" w:fill="F2F2F2"/>
          </w:tcPr>
          <w:p>
            <w:pPr>
              <w:spacing w:after="0"/>
              <w:rPr>
                <w:sz w:val="24"/>
                <w:szCs w:val="24"/>
                <w:color w:val="auto"/>
              </w:rPr>
            </w:pP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600" w:type="dxa"/>
            <w:vAlign w:val="bottom"/>
            <w:tcBorders>
              <w:right w:val="single" w:sz="8" w:color="C7C8CA"/>
            </w:tcBorders>
          </w:tcPr>
          <w:p>
            <w:pPr>
              <w:ind w:left="28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r>
      <w:tr>
        <w:trPr>
          <w:trHeight w:val="118"/>
        </w:trPr>
        <w:tc>
          <w:tcPr>
            <w:tcW w:w="4920" w:type="dxa"/>
            <w:vAlign w:val="bottom"/>
            <w:tcBorders>
              <w:bottom w:val="single" w:sz="8" w:color="C7C8CA"/>
              <w:right w:val="single" w:sz="8" w:color="F2F2F2"/>
            </w:tcBorders>
          </w:tcPr>
          <w:p>
            <w:pPr>
              <w:spacing w:after="0"/>
              <w:rPr>
                <w:sz w:val="10"/>
                <w:szCs w:val="10"/>
                <w:color w:val="auto"/>
              </w:rPr>
            </w:pPr>
          </w:p>
        </w:tc>
        <w:tc>
          <w:tcPr>
            <w:tcW w:w="180" w:type="dxa"/>
            <w:vAlign w:val="bottom"/>
            <w:tcBorders>
              <w:bottom w:val="single" w:sz="8" w:color="C7C8CA"/>
            </w:tcBorders>
            <w:shd w:val="clear" w:color="auto" w:fill="F2F2F2"/>
          </w:tcPr>
          <w:p>
            <w:pPr>
              <w:spacing w:after="0"/>
              <w:rPr>
                <w:sz w:val="10"/>
                <w:szCs w:val="10"/>
                <w:color w:val="auto"/>
              </w:rPr>
            </w:pPr>
          </w:p>
        </w:tc>
        <w:tc>
          <w:tcPr>
            <w:tcW w:w="420" w:type="dxa"/>
            <w:vAlign w:val="bottom"/>
            <w:tcBorders>
              <w:bottom w:val="single" w:sz="8" w:color="C7C8CA"/>
            </w:tcBorders>
            <w:shd w:val="clear" w:color="auto" w:fill="F2F2F2"/>
          </w:tcPr>
          <w:p>
            <w:pPr>
              <w:spacing w:after="0"/>
              <w:rPr>
                <w:sz w:val="10"/>
                <w:szCs w:val="10"/>
                <w:color w:val="auto"/>
              </w:rPr>
            </w:pPr>
          </w:p>
        </w:tc>
        <w:tc>
          <w:tcPr>
            <w:tcW w:w="560" w:type="dxa"/>
            <w:vAlign w:val="bottom"/>
            <w:tcBorders>
              <w:bottom w:val="single" w:sz="8" w:color="C7C8CA"/>
              <w:right w:val="single" w:sz="8" w:color="F2F2F2"/>
            </w:tcBorders>
          </w:tcPr>
          <w:p>
            <w:pPr>
              <w:spacing w:after="0"/>
              <w:rPr>
                <w:sz w:val="10"/>
                <w:szCs w:val="10"/>
                <w:color w:val="auto"/>
              </w:rPr>
            </w:pPr>
          </w:p>
        </w:tc>
        <w:tc>
          <w:tcPr>
            <w:tcW w:w="520" w:type="dxa"/>
            <w:vAlign w:val="bottom"/>
            <w:tcBorders>
              <w:bottom w:val="single" w:sz="8" w:color="C7C8CA"/>
            </w:tcBorders>
            <w:shd w:val="clear" w:color="auto" w:fill="F2F2F2"/>
          </w:tcPr>
          <w:p>
            <w:pPr>
              <w:spacing w:after="0"/>
              <w:rPr>
                <w:sz w:val="10"/>
                <w:szCs w:val="10"/>
                <w:color w:val="auto"/>
              </w:rPr>
            </w:pPr>
          </w:p>
        </w:tc>
        <w:tc>
          <w:tcPr>
            <w:tcW w:w="560" w:type="dxa"/>
            <w:vAlign w:val="bottom"/>
            <w:tcBorders>
              <w:bottom w:val="single" w:sz="8" w:color="C7C8CA"/>
              <w:right w:val="single" w:sz="8" w:color="F2F2F2"/>
            </w:tcBorders>
          </w:tcPr>
          <w:p>
            <w:pPr>
              <w:spacing w:after="0"/>
              <w:rPr>
                <w:sz w:val="10"/>
                <w:szCs w:val="10"/>
                <w:color w:val="auto"/>
              </w:rPr>
            </w:pPr>
          </w:p>
        </w:tc>
        <w:tc>
          <w:tcPr>
            <w:tcW w:w="520" w:type="dxa"/>
            <w:vAlign w:val="bottom"/>
            <w:tcBorders>
              <w:bottom w:val="single" w:sz="8" w:color="C7C8CA"/>
            </w:tcBorders>
            <w:shd w:val="clear" w:color="auto" w:fill="F2F2F2"/>
          </w:tcPr>
          <w:p>
            <w:pPr>
              <w:spacing w:after="0"/>
              <w:rPr>
                <w:sz w:val="10"/>
                <w:szCs w:val="10"/>
                <w:color w:val="auto"/>
              </w:rPr>
            </w:pPr>
          </w:p>
        </w:tc>
        <w:tc>
          <w:tcPr>
            <w:tcW w:w="560" w:type="dxa"/>
            <w:vAlign w:val="bottom"/>
            <w:tcBorders>
              <w:bottom w:val="single" w:sz="8" w:color="C7C8CA"/>
              <w:right w:val="single" w:sz="8" w:color="F2F2F2"/>
            </w:tcBorders>
          </w:tcPr>
          <w:p>
            <w:pPr>
              <w:spacing w:after="0"/>
              <w:rPr>
                <w:sz w:val="10"/>
                <w:szCs w:val="10"/>
                <w:color w:val="auto"/>
              </w:rPr>
            </w:pPr>
          </w:p>
        </w:tc>
        <w:tc>
          <w:tcPr>
            <w:tcW w:w="520" w:type="dxa"/>
            <w:vAlign w:val="bottom"/>
            <w:tcBorders>
              <w:bottom w:val="single" w:sz="8" w:color="C7C8CA"/>
            </w:tcBorders>
            <w:shd w:val="clear" w:color="auto" w:fill="F2F2F2"/>
          </w:tcPr>
          <w:p>
            <w:pPr>
              <w:spacing w:after="0"/>
              <w:rPr>
                <w:sz w:val="10"/>
                <w:szCs w:val="10"/>
                <w:color w:val="auto"/>
              </w:rPr>
            </w:pPr>
          </w:p>
        </w:tc>
        <w:tc>
          <w:tcPr>
            <w:tcW w:w="600" w:type="dxa"/>
            <w:vAlign w:val="bottom"/>
            <w:tcBorders>
              <w:bottom w:val="single" w:sz="8" w:color="C7C8CA"/>
              <w:right w:val="single" w:sz="8" w:color="C7C8CA"/>
            </w:tcBorders>
          </w:tcPr>
          <w:p>
            <w:pPr>
              <w:spacing w:after="0"/>
              <w:rPr>
                <w:sz w:val="10"/>
                <w:szCs w:val="10"/>
                <w:color w:val="auto"/>
              </w:rPr>
            </w:pPr>
          </w:p>
        </w:tc>
      </w:tr>
      <w:tr>
        <w:trPr>
          <w:trHeight w:val="443"/>
        </w:trPr>
        <w:tc>
          <w:tcPr>
            <w:tcW w:w="4920" w:type="dxa"/>
            <w:vAlign w:val="bottom"/>
            <w:tcBorders>
              <w:right w:val="single" w:sz="8" w:color="F2F2F2"/>
            </w:tcBorders>
          </w:tcPr>
          <w:p>
            <w:pPr>
              <w:ind w:left="700"/>
              <w:spacing w:after="0"/>
              <w:rPr>
                <w:sz w:val="20"/>
                <w:szCs w:val="20"/>
                <w:color w:val="auto"/>
              </w:rPr>
            </w:pPr>
            <w:r>
              <w:rPr>
                <w:rFonts w:ascii="Arial" w:cs="Arial" w:eastAsia="Arial" w:hAnsi="Arial"/>
                <w:sz w:val="18"/>
                <w:szCs w:val="18"/>
                <w:color w:val="auto"/>
              </w:rPr>
              <w:t>Software as a service (“SaaS”) experience</w:t>
            </w:r>
          </w:p>
        </w:tc>
        <w:tc>
          <w:tcPr>
            <w:tcW w:w="180" w:type="dxa"/>
            <w:vAlign w:val="bottom"/>
            <w:shd w:val="clear" w:color="auto" w:fill="F2F2F2"/>
          </w:tcPr>
          <w:p>
            <w:pPr>
              <w:spacing w:after="0"/>
              <w:rPr>
                <w:sz w:val="24"/>
                <w:szCs w:val="24"/>
                <w:color w:val="auto"/>
              </w:rPr>
            </w:pPr>
          </w:p>
        </w:tc>
        <w:tc>
          <w:tcPr>
            <w:tcW w:w="420" w:type="dxa"/>
            <w:vAlign w:val="bottom"/>
            <w:shd w:val="clear" w:color="auto" w:fill="F2F2F2"/>
          </w:tcPr>
          <w:p>
            <w:pPr>
              <w:spacing w:after="0"/>
              <w:rPr>
                <w:sz w:val="24"/>
                <w:szCs w:val="24"/>
                <w:color w:val="auto"/>
              </w:rPr>
            </w:pP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600" w:type="dxa"/>
            <w:vAlign w:val="bottom"/>
            <w:tcBorders>
              <w:right w:val="single" w:sz="8" w:color="C7C8CA"/>
            </w:tcBorders>
          </w:tcPr>
          <w:p>
            <w:pPr>
              <w:ind w:left="28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r>
      <w:tr>
        <w:trPr>
          <w:trHeight w:val="172"/>
        </w:trPr>
        <w:tc>
          <w:tcPr>
            <w:tcW w:w="4920" w:type="dxa"/>
            <w:vAlign w:val="bottom"/>
            <w:tcBorders>
              <w:bottom w:val="single" w:sz="8" w:color="C7C8CA"/>
              <w:right w:val="single" w:sz="8" w:color="F2F2F2"/>
            </w:tcBorders>
          </w:tcPr>
          <w:p>
            <w:pPr>
              <w:spacing w:after="0"/>
              <w:rPr>
                <w:sz w:val="14"/>
                <w:szCs w:val="14"/>
                <w:color w:val="auto"/>
              </w:rPr>
            </w:pPr>
          </w:p>
        </w:tc>
        <w:tc>
          <w:tcPr>
            <w:tcW w:w="180" w:type="dxa"/>
            <w:vAlign w:val="bottom"/>
            <w:tcBorders>
              <w:bottom w:val="single" w:sz="8" w:color="C7C8CA"/>
            </w:tcBorders>
            <w:shd w:val="clear" w:color="auto" w:fill="F2F2F2"/>
          </w:tcPr>
          <w:p>
            <w:pPr>
              <w:spacing w:after="0"/>
              <w:rPr>
                <w:sz w:val="14"/>
                <w:szCs w:val="14"/>
                <w:color w:val="auto"/>
              </w:rPr>
            </w:pPr>
          </w:p>
        </w:tc>
        <w:tc>
          <w:tcPr>
            <w:tcW w:w="420" w:type="dxa"/>
            <w:vAlign w:val="bottom"/>
            <w:tcBorders>
              <w:bottom w:val="single" w:sz="8" w:color="C7C8CA"/>
            </w:tcBorders>
            <w:shd w:val="clear" w:color="auto" w:fill="F2F2F2"/>
          </w:tcPr>
          <w:p>
            <w:pPr>
              <w:spacing w:after="0"/>
              <w:rPr>
                <w:sz w:val="14"/>
                <w:szCs w:val="14"/>
                <w:color w:val="auto"/>
              </w:rPr>
            </w:pPr>
          </w:p>
        </w:tc>
        <w:tc>
          <w:tcPr>
            <w:tcW w:w="560" w:type="dxa"/>
            <w:vAlign w:val="bottom"/>
            <w:tcBorders>
              <w:bottom w:val="single" w:sz="8" w:color="C7C8CA"/>
              <w:right w:val="single" w:sz="8" w:color="F2F2F2"/>
            </w:tcBorders>
          </w:tcPr>
          <w:p>
            <w:pPr>
              <w:spacing w:after="0"/>
              <w:rPr>
                <w:sz w:val="14"/>
                <w:szCs w:val="14"/>
                <w:color w:val="auto"/>
              </w:rPr>
            </w:pPr>
          </w:p>
        </w:tc>
        <w:tc>
          <w:tcPr>
            <w:tcW w:w="520" w:type="dxa"/>
            <w:vAlign w:val="bottom"/>
            <w:tcBorders>
              <w:bottom w:val="single" w:sz="8" w:color="C7C8CA"/>
            </w:tcBorders>
            <w:shd w:val="clear" w:color="auto" w:fill="F2F2F2"/>
          </w:tcPr>
          <w:p>
            <w:pPr>
              <w:spacing w:after="0"/>
              <w:rPr>
                <w:sz w:val="14"/>
                <w:szCs w:val="14"/>
                <w:color w:val="auto"/>
              </w:rPr>
            </w:pPr>
          </w:p>
        </w:tc>
        <w:tc>
          <w:tcPr>
            <w:tcW w:w="560" w:type="dxa"/>
            <w:vAlign w:val="bottom"/>
            <w:tcBorders>
              <w:bottom w:val="single" w:sz="8" w:color="C7C8CA"/>
              <w:right w:val="single" w:sz="8" w:color="F2F2F2"/>
            </w:tcBorders>
          </w:tcPr>
          <w:p>
            <w:pPr>
              <w:spacing w:after="0"/>
              <w:rPr>
                <w:sz w:val="14"/>
                <w:szCs w:val="14"/>
                <w:color w:val="auto"/>
              </w:rPr>
            </w:pPr>
          </w:p>
        </w:tc>
        <w:tc>
          <w:tcPr>
            <w:tcW w:w="520" w:type="dxa"/>
            <w:vAlign w:val="bottom"/>
            <w:tcBorders>
              <w:bottom w:val="single" w:sz="8" w:color="C7C8CA"/>
            </w:tcBorders>
            <w:shd w:val="clear" w:color="auto" w:fill="F2F2F2"/>
          </w:tcPr>
          <w:p>
            <w:pPr>
              <w:spacing w:after="0"/>
              <w:rPr>
                <w:sz w:val="14"/>
                <w:szCs w:val="14"/>
                <w:color w:val="auto"/>
              </w:rPr>
            </w:pPr>
          </w:p>
        </w:tc>
        <w:tc>
          <w:tcPr>
            <w:tcW w:w="560" w:type="dxa"/>
            <w:vAlign w:val="bottom"/>
            <w:tcBorders>
              <w:bottom w:val="single" w:sz="8" w:color="C7C8CA"/>
              <w:right w:val="single" w:sz="8" w:color="F2F2F2"/>
            </w:tcBorders>
          </w:tcPr>
          <w:p>
            <w:pPr>
              <w:spacing w:after="0"/>
              <w:rPr>
                <w:sz w:val="14"/>
                <w:szCs w:val="14"/>
                <w:color w:val="auto"/>
              </w:rPr>
            </w:pPr>
          </w:p>
        </w:tc>
        <w:tc>
          <w:tcPr>
            <w:tcW w:w="520" w:type="dxa"/>
            <w:vAlign w:val="bottom"/>
            <w:tcBorders>
              <w:bottom w:val="single" w:sz="8" w:color="C7C8CA"/>
            </w:tcBorders>
            <w:shd w:val="clear" w:color="auto" w:fill="F2F2F2"/>
          </w:tcPr>
          <w:p>
            <w:pPr>
              <w:spacing w:after="0"/>
              <w:rPr>
                <w:sz w:val="14"/>
                <w:szCs w:val="14"/>
                <w:color w:val="auto"/>
              </w:rPr>
            </w:pPr>
          </w:p>
        </w:tc>
        <w:tc>
          <w:tcPr>
            <w:tcW w:w="600" w:type="dxa"/>
            <w:vAlign w:val="bottom"/>
            <w:tcBorders>
              <w:bottom w:val="single" w:sz="8" w:color="C7C8CA"/>
              <w:right w:val="single" w:sz="8" w:color="C7C8CA"/>
            </w:tcBorders>
          </w:tcPr>
          <w:p>
            <w:pPr>
              <w:spacing w:after="0"/>
              <w:rPr>
                <w:sz w:val="14"/>
                <w:szCs w:val="14"/>
                <w:color w:val="auto"/>
              </w:rPr>
            </w:pPr>
          </w:p>
        </w:tc>
      </w:tr>
      <w:tr>
        <w:trPr>
          <w:trHeight w:val="443"/>
        </w:trPr>
        <w:tc>
          <w:tcPr>
            <w:tcW w:w="4920" w:type="dxa"/>
            <w:vAlign w:val="bottom"/>
            <w:tcBorders>
              <w:right w:val="single" w:sz="8" w:color="F2F2F2"/>
            </w:tcBorders>
          </w:tcPr>
          <w:p>
            <w:pPr>
              <w:ind w:left="700"/>
              <w:spacing w:after="0"/>
              <w:rPr>
                <w:sz w:val="20"/>
                <w:szCs w:val="20"/>
                <w:color w:val="auto"/>
              </w:rPr>
            </w:pPr>
            <w:r>
              <w:rPr>
                <w:rFonts w:ascii="Arial" w:cs="Arial" w:eastAsia="Arial" w:hAnsi="Arial"/>
                <w:sz w:val="18"/>
                <w:szCs w:val="18"/>
                <w:color w:val="auto"/>
              </w:rPr>
              <w:t>Cloud-based software experience</w:t>
            </w:r>
          </w:p>
        </w:tc>
        <w:tc>
          <w:tcPr>
            <w:tcW w:w="180" w:type="dxa"/>
            <w:vAlign w:val="bottom"/>
            <w:shd w:val="clear" w:color="auto" w:fill="F2F2F2"/>
          </w:tcPr>
          <w:p>
            <w:pPr>
              <w:spacing w:after="0"/>
              <w:rPr>
                <w:sz w:val="24"/>
                <w:szCs w:val="24"/>
                <w:color w:val="auto"/>
              </w:rPr>
            </w:pPr>
          </w:p>
        </w:tc>
        <w:tc>
          <w:tcPr>
            <w:tcW w:w="420" w:type="dxa"/>
            <w:vAlign w:val="bottom"/>
            <w:shd w:val="clear" w:color="auto" w:fill="F2F2F2"/>
          </w:tcPr>
          <w:p>
            <w:pPr>
              <w:spacing w:after="0"/>
              <w:rPr>
                <w:sz w:val="24"/>
                <w:szCs w:val="24"/>
                <w:color w:val="auto"/>
              </w:rPr>
            </w:pP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560" w:type="dxa"/>
            <w:vAlign w:val="bottom"/>
            <w:tcBorders>
              <w:right w:val="single" w:sz="8" w:color="F2F2F2"/>
            </w:tcBorders>
          </w:tcPr>
          <w:p>
            <w:pPr>
              <w:ind w:left="26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20" w:type="dxa"/>
            <w:vAlign w:val="bottom"/>
            <w:shd w:val="clear" w:color="auto" w:fill="F2F2F2"/>
          </w:tcPr>
          <w:p>
            <w:pPr>
              <w:spacing w:after="0"/>
              <w:rPr>
                <w:sz w:val="24"/>
                <w:szCs w:val="24"/>
                <w:color w:val="auto"/>
              </w:rPr>
            </w:pP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600" w:type="dxa"/>
            <w:vAlign w:val="bottom"/>
            <w:tcBorders>
              <w:right w:val="single" w:sz="8" w:color="C7C8CA"/>
            </w:tcBorders>
          </w:tcPr>
          <w:p>
            <w:pPr>
              <w:ind w:left="28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r>
      <w:tr>
        <w:trPr>
          <w:trHeight w:val="171"/>
        </w:trPr>
        <w:tc>
          <w:tcPr>
            <w:tcW w:w="4920" w:type="dxa"/>
            <w:vAlign w:val="bottom"/>
            <w:tcBorders>
              <w:bottom w:val="single" w:sz="8" w:color="C7C8CA"/>
              <w:right w:val="single" w:sz="8" w:color="F2F2F2"/>
            </w:tcBorders>
          </w:tcPr>
          <w:p>
            <w:pPr>
              <w:spacing w:after="0"/>
              <w:rPr>
                <w:sz w:val="14"/>
                <w:szCs w:val="14"/>
                <w:color w:val="auto"/>
              </w:rPr>
            </w:pPr>
          </w:p>
        </w:tc>
        <w:tc>
          <w:tcPr>
            <w:tcW w:w="180" w:type="dxa"/>
            <w:vAlign w:val="bottom"/>
            <w:tcBorders>
              <w:bottom w:val="single" w:sz="8" w:color="C7C8CA"/>
            </w:tcBorders>
            <w:shd w:val="clear" w:color="auto" w:fill="F2F2F2"/>
          </w:tcPr>
          <w:p>
            <w:pPr>
              <w:spacing w:after="0"/>
              <w:rPr>
                <w:sz w:val="14"/>
                <w:szCs w:val="14"/>
                <w:color w:val="auto"/>
              </w:rPr>
            </w:pPr>
          </w:p>
        </w:tc>
        <w:tc>
          <w:tcPr>
            <w:tcW w:w="420" w:type="dxa"/>
            <w:vAlign w:val="bottom"/>
            <w:tcBorders>
              <w:bottom w:val="single" w:sz="8" w:color="C7C8CA"/>
            </w:tcBorders>
            <w:shd w:val="clear" w:color="auto" w:fill="F2F2F2"/>
          </w:tcPr>
          <w:p>
            <w:pPr>
              <w:spacing w:after="0"/>
              <w:rPr>
                <w:sz w:val="14"/>
                <w:szCs w:val="14"/>
                <w:color w:val="auto"/>
              </w:rPr>
            </w:pPr>
          </w:p>
        </w:tc>
        <w:tc>
          <w:tcPr>
            <w:tcW w:w="560" w:type="dxa"/>
            <w:vAlign w:val="bottom"/>
            <w:tcBorders>
              <w:bottom w:val="single" w:sz="8" w:color="C7C8CA"/>
              <w:right w:val="single" w:sz="8" w:color="F2F2F2"/>
            </w:tcBorders>
          </w:tcPr>
          <w:p>
            <w:pPr>
              <w:spacing w:after="0"/>
              <w:rPr>
                <w:sz w:val="14"/>
                <w:szCs w:val="14"/>
                <w:color w:val="auto"/>
              </w:rPr>
            </w:pPr>
          </w:p>
        </w:tc>
        <w:tc>
          <w:tcPr>
            <w:tcW w:w="520" w:type="dxa"/>
            <w:vAlign w:val="bottom"/>
            <w:tcBorders>
              <w:bottom w:val="single" w:sz="8" w:color="C7C8CA"/>
            </w:tcBorders>
            <w:shd w:val="clear" w:color="auto" w:fill="F2F2F2"/>
          </w:tcPr>
          <w:p>
            <w:pPr>
              <w:spacing w:after="0"/>
              <w:rPr>
                <w:sz w:val="14"/>
                <w:szCs w:val="14"/>
                <w:color w:val="auto"/>
              </w:rPr>
            </w:pPr>
          </w:p>
        </w:tc>
        <w:tc>
          <w:tcPr>
            <w:tcW w:w="560" w:type="dxa"/>
            <w:vAlign w:val="bottom"/>
            <w:tcBorders>
              <w:bottom w:val="single" w:sz="8" w:color="C7C8CA"/>
              <w:right w:val="single" w:sz="8" w:color="F2F2F2"/>
            </w:tcBorders>
          </w:tcPr>
          <w:p>
            <w:pPr>
              <w:spacing w:after="0"/>
              <w:rPr>
                <w:sz w:val="14"/>
                <w:szCs w:val="14"/>
                <w:color w:val="auto"/>
              </w:rPr>
            </w:pPr>
          </w:p>
        </w:tc>
        <w:tc>
          <w:tcPr>
            <w:tcW w:w="520" w:type="dxa"/>
            <w:vAlign w:val="bottom"/>
            <w:tcBorders>
              <w:bottom w:val="single" w:sz="8" w:color="C7C8CA"/>
            </w:tcBorders>
            <w:shd w:val="clear" w:color="auto" w:fill="F2F2F2"/>
          </w:tcPr>
          <w:p>
            <w:pPr>
              <w:spacing w:after="0"/>
              <w:rPr>
                <w:sz w:val="14"/>
                <w:szCs w:val="14"/>
                <w:color w:val="auto"/>
              </w:rPr>
            </w:pPr>
          </w:p>
        </w:tc>
        <w:tc>
          <w:tcPr>
            <w:tcW w:w="560" w:type="dxa"/>
            <w:vAlign w:val="bottom"/>
            <w:tcBorders>
              <w:bottom w:val="single" w:sz="8" w:color="C7C8CA"/>
              <w:right w:val="single" w:sz="8" w:color="F2F2F2"/>
            </w:tcBorders>
          </w:tcPr>
          <w:p>
            <w:pPr>
              <w:spacing w:after="0"/>
              <w:rPr>
                <w:sz w:val="14"/>
                <w:szCs w:val="14"/>
                <w:color w:val="auto"/>
              </w:rPr>
            </w:pPr>
          </w:p>
        </w:tc>
        <w:tc>
          <w:tcPr>
            <w:tcW w:w="520" w:type="dxa"/>
            <w:vAlign w:val="bottom"/>
            <w:tcBorders>
              <w:bottom w:val="single" w:sz="8" w:color="C7C8CA"/>
            </w:tcBorders>
            <w:shd w:val="clear" w:color="auto" w:fill="F2F2F2"/>
          </w:tcPr>
          <w:p>
            <w:pPr>
              <w:spacing w:after="0"/>
              <w:rPr>
                <w:sz w:val="14"/>
                <w:szCs w:val="14"/>
                <w:color w:val="auto"/>
              </w:rPr>
            </w:pPr>
          </w:p>
        </w:tc>
        <w:tc>
          <w:tcPr>
            <w:tcW w:w="600" w:type="dxa"/>
            <w:vAlign w:val="bottom"/>
            <w:tcBorders>
              <w:bottom w:val="single" w:sz="8" w:color="C7C8CA"/>
              <w:right w:val="single" w:sz="8" w:color="C7C8CA"/>
            </w:tcBorders>
          </w:tcPr>
          <w:p>
            <w:pPr>
              <w:spacing w:after="0"/>
              <w:rPr>
                <w:sz w:val="14"/>
                <w:szCs w:val="14"/>
                <w:color w:val="auto"/>
              </w:rPr>
            </w:pPr>
          </w:p>
        </w:tc>
      </w:tr>
      <w:tr>
        <w:trPr>
          <w:trHeight w:val="443"/>
        </w:trPr>
        <w:tc>
          <w:tcPr>
            <w:tcW w:w="4920" w:type="dxa"/>
            <w:vAlign w:val="bottom"/>
            <w:tcBorders>
              <w:right w:val="single" w:sz="8" w:color="F2F2F2"/>
            </w:tcBorders>
          </w:tcPr>
          <w:p>
            <w:pPr>
              <w:ind w:left="700"/>
              <w:spacing w:after="0"/>
              <w:rPr>
                <w:sz w:val="20"/>
                <w:szCs w:val="20"/>
                <w:color w:val="auto"/>
              </w:rPr>
            </w:pPr>
            <w:r>
              <w:rPr>
                <w:rFonts w:ascii="Arial" w:cs="Arial" w:eastAsia="Arial" w:hAnsi="Arial"/>
                <w:sz w:val="18"/>
                <w:szCs w:val="18"/>
                <w:color w:val="auto"/>
              </w:rPr>
              <w:t>Artificial intelligence experience</w:t>
            </w:r>
          </w:p>
        </w:tc>
        <w:tc>
          <w:tcPr>
            <w:tcW w:w="180" w:type="dxa"/>
            <w:vAlign w:val="bottom"/>
            <w:shd w:val="clear" w:color="auto" w:fill="F2F2F2"/>
          </w:tcPr>
          <w:p>
            <w:pPr>
              <w:spacing w:after="0"/>
              <w:rPr>
                <w:sz w:val="24"/>
                <w:szCs w:val="24"/>
                <w:color w:val="auto"/>
              </w:rPr>
            </w:pPr>
          </w:p>
        </w:tc>
        <w:tc>
          <w:tcPr>
            <w:tcW w:w="420" w:type="dxa"/>
            <w:vAlign w:val="bottom"/>
            <w:shd w:val="clear" w:color="auto" w:fill="F2F2F2"/>
          </w:tcPr>
          <w:p>
            <w:pPr>
              <w:spacing w:after="0"/>
              <w:rPr>
                <w:sz w:val="24"/>
                <w:szCs w:val="24"/>
                <w:color w:val="auto"/>
              </w:rPr>
            </w:pP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600" w:type="dxa"/>
            <w:vAlign w:val="bottom"/>
            <w:tcBorders>
              <w:right w:val="single" w:sz="8" w:color="C7C8CA"/>
            </w:tcBorders>
          </w:tcPr>
          <w:p>
            <w:pPr>
              <w:ind w:left="28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r>
      <w:tr>
        <w:trPr>
          <w:trHeight w:val="172"/>
        </w:trPr>
        <w:tc>
          <w:tcPr>
            <w:tcW w:w="4920" w:type="dxa"/>
            <w:vAlign w:val="bottom"/>
            <w:tcBorders>
              <w:bottom w:val="single" w:sz="8" w:color="C7C8CA"/>
              <w:right w:val="single" w:sz="8" w:color="F2F2F2"/>
            </w:tcBorders>
          </w:tcPr>
          <w:p>
            <w:pPr>
              <w:spacing w:after="0"/>
              <w:rPr>
                <w:sz w:val="14"/>
                <w:szCs w:val="14"/>
                <w:color w:val="auto"/>
              </w:rPr>
            </w:pPr>
          </w:p>
        </w:tc>
        <w:tc>
          <w:tcPr>
            <w:tcW w:w="180" w:type="dxa"/>
            <w:vAlign w:val="bottom"/>
            <w:tcBorders>
              <w:bottom w:val="single" w:sz="8" w:color="C7C8CA"/>
            </w:tcBorders>
            <w:shd w:val="clear" w:color="auto" w:fill="F2F2F2"/>
          </w:tcPr>
          <w:p>
            <w:pPr>
              <w:spacing w:after="0"/>
              <w:rPr>
                <w:sz w:val="14"/>
                <w:szCs w:val="14"/>
                <w:color w:val="auto"/>
              </w:rPr>
            </w:pPr>
          </w:p>
        </w:tc>
        <w:tc>
          <w:tcPr>
            <w:tcW w:w="420" w:type="dxa"/>
            <w:vAlign w:val="bottom"/>
            <w:tcBorders>
              <w:bottom w:val="single" w:sz="8" w:color="C7C8CA"/>
            </w:tcBorders>
            <w:shd w:val="clear" w:color="auto" w:fill="F2F2F2"/>
          </w:tcPr>
          <w:p>
            <w:pPr>
              <w:spacing w:after="0"/>
              <w:rPr>
                <w:sz w:val="14"/>
                <w:szCs w:val="14"/>
                <w:color w:val="auto"/>
              </w:rPr>
            </w:pPr>
          </w:p>
        </w:tc>
        <w:tc>
          <w:tcPr>
            <w:tcW w:w="560" w:type="dxa"/>
            <w:vAlign w:val="bottom"/>
            <w:tcBorders>
              <w:bottom w:val="single" w:sz="8" w:color="C7C8CA"/>
              <w:right w:val="single" w:sz="8" w:color="F2F2F2"/>
            </w:tcBorders>
          </w:tcPr>
          <w:p>
            <w:pPr>
              <w:spacing w:after="0"/>
              <w:rPr>
                <w:sz w:val="14"/>
                <w:szCs w:val="14"/>
                <w:color w:val="auto"/>
              </w:rPr>
            </w:pPr>
          </w:p>
        </w:tc>
        <w:tc>
          <w:tcPr>
            <w:tcW w:w="520" w:type="dxa"/>
            <w:vAlign w:val="bottom"/>
            <w:tcBorders>
              <w:bottom w:val="single" w:sz="8" w:color="C7C8CA"/>
            </w:tcBorders>
            <w:shd w:val="clear" w:color="auto" w:fill="F2F2F2"/>
          </w:tcPr>
          <w:p>
            <w:pPr>
              <w:spacing w:after="0"/>
              <w:rPr>
                <w:sz w:val="14"/>
                <w:szCs w:val="14"/>
                <w:color w:val="auto"/>
              </w:rPr>
            </w:pPr>
          </w:p>
        </w:tc>
        <w:tc>
          <w:tcPr>
            <w:tcW w:w="560" w:type="dxa"/>
            <w:vAlign w:val="bottom"/>
            <w:tcBorders>
              <w:bottom w:val="single" w:sz="8" w:color="C7C8CA"/>
              <w:right w:val="single" w:sz="8" w:color="F2F2F2"/>
            </w:tcBorders>
          </w:tcPr>
          <w:p>
            <w:pPr>
              <w:spacing w:after="0"/>
              <w:rPr>
                <w:sz w:val="14"/>
                <w:szCs w:val="14"/>
                <w:color w:val="auto"/>
              </w:rPr>
            </w:pPr>
          </w:p>
        </w:tc>
        <w:tc>
          <w:tcPr>
            <w:tcW w:w="520" w:type="dxa"/>
            <w:vAlign w:val="bottom"/>
            <w:tcBorders>
              <w:bottom w:val="single" w:sz="8" w:color="C7C8CA"/>
            </w:tcBorders>
            <w:shd w:val="clear" w:color="auto" w:fill="F2F2F2"/>
          </w:tcPr>
          <w:p>
            <w:pPr>
              <w:spacing w:after="0"/>
              <w:rPr>
                <w:sz w:val="14"/>
                <w:szCs w:val="14"/>
                <w:color w:val="auto"/>
              </w:rPr>
            </w:pPr>
          </w:p>
        </w:tc>
        <w:tc>
          <w:tcPr>
            <w:tcW w:w="560" w:type="dxa"/>
            <w:vAlign w:val="bottom"/>
            <w:tcBorders>
              <w:bottom w:val="single" w:sz="8" w:color="C7C8CA"/>
              <w:right w:val="single" w:sz="8" w:color="F2F2F2"/>
            </w:tcBorders>
          </w:tcPr>
          <w:p>
            <w:pPr>
              <w:spacing w:after="0"/>
              <w:rPr>
                <w:sz w:val="14"/>
                <w:szCs w:val="14"/>
                <w:color w:val="auto"/>
              </w:rPr>
            </w:pPr>
          </w:p>
        </w:tc>
        <w:tc>
          <w:tcPr>
            <w:tcW w:w="520" w:type="dxa"/>
            <w:vAlign w:val="bottom"/>
            <w:tcBorders>
              <w:bottom w:val="single" w:sz="8" w:color="C7C8CA"/>
            </w:tcBorders>
            <w:shd w:val="clear" w:color="auto" w:fill="F2F2F2"/>
          </w:tcPr>
          <w:p>
            <w:pPr>
              <w:spacing w:after="0"/>
              <w:rPr>
                <w:sz w:val="14"/>
                <w:szCs w:val="14"/>
                <w:color w:val="auto"/>
              </w:rPr>
            </w:pPr>
          </w:p>
        </w:tc>
        <w:tc>
          <w:tcPr>
            <w:tcW w:w="600" w:type="dxa"/>
            <w:vAlign w:val="bottom"/>
            <w:tcBorders>
              <w:bottom w:val="single" w:sz="8" w:color="C7C8CA"/>
              <w:right w:val="single" w:sz="8" w:color="C7C8CA"/>
            </w:tcBorders>
          </w:tcPr>
          <w:p>
            <w:pPr>
              <w:spacing w:after="0"/>
              <w:rPr>
                <w:sz w:val="14"/>
                <w:szCs w:val="14"/>
                <w:color w:val="auto"/>
              </w:rPr>
            </w:pPr>
          </w:p>
        </w:tc>
      </w:tr>
      <w:tr>
        <w:trPr>
          <w:trHeight w:val="470"/>
        </w:trPr>
        <w:tc>
          <w:tcPr>
            <w:tcW w:w="4920" w:type="dxa"/>
            <w:vAlign w:val="bottom"/>
            <w:tcBorders>
              <w:right w:val="single" w:sz="8" w:color="F2F2F2"/>
            </w:tcBorders>
          </w:tcPr>
          <w:p>
            <w:pPr>
              <w:ind w:left="700"/>
              <w:spacing w:after="0"/>
              <w:rPr>
                <w:sz w:val="20"/>
                <w:szCs w:val="20"/>
                <w:color w:val="auto"/>
              </w:rPr>
            </w:pPr>
            <w:r>
              <w:rPr>
                <w:rFonts w:ascii="Arial" w:cs="Arial" w:eastAsia="Arial" w:hAnsi="Arial"/>
                <w:sz w:val="18"/>
                <w:szCs w:val="18"/>
                <w:color w:val="auto"/>
              </w:rPr>
              <w:t>Sales and marketing intelligence</w:t>
            </w:r>
          </w:p>
        </w:tc>
        <w:tc>
          <w:tcPr>
            <w:tcW w:w="180" w:type="dxa"/>
            <w:vAlign w:val="bottom"/>
            <w:shd w:val="clear" w:color="auto" w:fill="F2F2F2"/>
          </w:tcPr>
          <w:p>
            <w:pPr>
              <w:spacing w:after="0"/>
              <w:rPr>
                <w:sz w:val="24"/>
                <w:szCs w:val="24"/>
                <w:color w:val="auto"/>
              </w:rPr>
            </w:pPr>
          </w:p>
        </w:tc>
        <w:tc>
          <w:tcPr>
            <w:tcW w:w="420" w:type="dxa"/>
            <w:vAlign w:val="bottom"/>
            <w:shd w:val="clear" w:color="auto" w:fill="F2F2F2"/>
          </w:tcPr>
          <w:p>
            <w:pPr>
              <w:spacing w:after="0"/>
              <w:rPr>
                <w:sz w:val="24"/>
                <w:szCs w:val="24"/>
                <w:color w:val="auto"/>
              </w:rPr>
            </w:pPr>
          </w:p>
        </w:tc>
        <w:tc>
          <w:tcPr>
            <w:tcW w:w="560" w:type="dxa"/>
            <w:vAlign w:val="bottom"/>
            <w:tcBorders>
              <w:right w:val="single" w:sz="8" w:color="F2F2F2"/>
            </w:tcBorders>
          </w:tcPr>
          <w:p>
            <w:pPr>
              <w:ind w:left="26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20" w:type="dxa"/>
            <w:vAlign w:val="bottom"/>
            <w:shd w:val="clear" w:color="auto" w:fill="F2F2F2"/>
          </w:tcPr>
          <w:p>
            <w:pPr>
              <w:spacing w:after="0"/>
              <w:rPr>
                <w:sz w:val="24"/>
                <w:szCs w:val="24"/>
                <w:color w:val="auto"/>
              </w:rPr>
            </w:pP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560" w:type="dxa"/>
            <w:vAlign w:val="bottom"/>
            <w:tcBorders>
              <w:right w:val="single" w:sz="8" w:color="F2F2F2"/>
            </w:tcBorders>
          </w:tcPr>
          <w:p>
            <w:pPr>
              <w:ind w:left="26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20" w:type="dxa"/>
            <w:vAlign w:val="bottom"/>
            <w:shd w:val="clear" w:color="auto" w:fill="F2F2F2"/>
          </w:tcPr>
          <w:p>
            <w:pPr>
              <w:spacing w:after="0"/>
              <w:rPr>
                <w:sz w:val="24"/>
                <w:szCs w:val="24"/>
                <w:color w:val="auto"/>
              </w:rPr>
            </w:pPr>
          </w:p>
        </w:tc>
        <w:tc>
          <w:tcPr>
            <w:tcW w:w="600" w:type="dxa"/>
            <w:vAlign w:val="bottom"/>
            <w:tcBorders>
              <w:right w:val="single" w:sz="8" w:color="C7C8CA"/>
            </w:tcBorders>
          </w:tcPr>
          <w:p>
            <w:pPr>
              <w:spacing w:after="0"/>
              <w:rPr>
                <w:sz w:val="24"/>
                <w:szCs w:val="24"/>
                <w:color w:val="auto"/>
              </w:rPr>
            </w:pPr>
          </w:p>
        </w:tc>
      </w:tr>
      <w:tr>
        <w:trPr>
          <w:trHeight w:val="171"/>
        </w:trPr>
        <w:tc>
          <w:tcPr>
            <w:tcW w:w="4920" w:type="dxa"/>
            <w:vAlign w:val="bottom"/>
            <w:tcBorders>
              <w:bottom w:val="single" w:sz="8" w:color="C7C8CA"/>
              <w:right w:val="single" w:sz="8" w:color="F2F2F2"/>
            </w:tcBorders>
          </w:tcPr>
          <w:p>
            <w:pPr>
              <w:spacing w:after="0"/>
              <w:rPr>
                <w:sz w:val="14"/>
                <w:szCs w:val="14"/>
                <w:color w:val="auto"/>
              </w:rPr>
            </w:pPr>
          </w:p>
        </w:tc>
        <w:tc>
          <w:tcPr>
            <w:tcW w:w="180" w:type="dxa"/>
            <w:vAlign w:val="bottom"/>
            <w:tcBorders>
              <w:bottom w:val="single" w:sz="8" w:color="C7C8CA"/>
            </w:tcBorders>
            <w:shd w:val="clear" w:color="auto" w:fill="F2F2F2"/>
          </w:tcPr>
          <w:p>
            <w:pPr>
              <w:spacing w:after="0"/>
              <w:rPr>
                <w:sz w:val="14"/>
                <w:szCs w:val="14"/>
                <w:color w:val="auto"/>
              </w:rPr>
            </w:pPr>
          </w:p>
        </w:tc>
        <w:tc>
          <w:tcPr>
            <w:tcW w:w="420" w:type="dxa"/>
            <w:vAlign w:val="bottom"/>
            <w:tcBorders>
              <w:bottom w:val="single" w:sz="8" w:color="C7C8CA"/>
            </w:tcBorders>
            <w:shd w:val="clear" w:color="auto" w:fill="F2F2F2"/>
          </w:tcPr>
          <w:p>
            <w:pPr>
              <w:spacing w:after="0"/>
              <w:rPr>
                <w:sz w:val="14"/>
                <w:szCs w:val="14"/>
                <w:color w:val="auto"/>
              </w:rPr>
            </w:pPr>
          </w:p>
        </w:tc>
        <w:tc>
          <w:tcPr>
            <w:tcW w:w="560" w:type="dxa"/>
            <w:vAlign w:val="bottom"/>
            <w:tcBorders>
              <w:bottom w:val="single" w:sz="8" w:color="C7C8CA"/>
              <w:right w:val="single" w:sz="8" w:color="F2F2F2"/>
            </w:tcBorders>
          </w:tcPr>
          <w:p>
            <w:pPr>
              <w:spacing w:after="0"/>
              <w:rPr>
                <w:sz w:val="14"/>
                <w:szCs w:val="14"/>
                <w:color w:val="auto"/>
              </w:rPr>
            </w:pPr>
          </w:p>
        </w:tc>
        <w:tc>
          <w:tcPr>
            <w:tcW w:w="520" w:type="dxa"/>
            <w:vAlign w:val="bottom"/>
            <w:tcBorders>
              <w:bottom w:val="single" w:sz="8" w:color="C7C8CA"/>
            </w:tcBorders>
            <w:shd w:val="clear" w:color="auto" w:fill="F2F2F2"/>
          </w:tcPr>
          <w:p>
            <w:pPr>
              <w:spacing w:after="0"/>
              <w:rPr>
                <w:sz w:val="14"/>
                <w:szCs w:val="14"/>
                <w:color w:val="auto"/>
              </w:rPr>
            </w:pPr>
          </w:p>
        </w:tc>
        <w:tc>
          <w:tcPr>
            <w:tcW w:w="560" w:type="dxa"/>
            <w:vAlign w:val="bottom"/>
            <w:tcBorders>
              <w:bottom w:val="single" w:sz="8" w:color="C7C8CA"/>
              <w:right w:val="single" w:sz="8" w:color="F2F2F2"/>
            </w:tcBorders>
          </w:tcPr>
          <w:p>
            <w:pPr>
              <w:spacing w:after="0"/>
              <w:rPr>
                <w:sz w:val="14"/>
                <w:szCs w:val="14"/>
                <w:color w:val="auto"/>
              </w:rPr>
            </w:pPr>
          </w:p>
        </w:tc>
        <w:tc>
          <w:tcPr>
            <w:tcW w:w="520" w:type="dxa"/>
            <w:vAlign w:val="bottom"/>
            <w:tcBorders>
              <w:bottom w:val="single" w:sz="8" w:color="C7C8CA"/>
            </w:tcBorders>
            <w:shd w:val="clear" w:color="auto" w:fill="F2F2F2"/>
          </w:tcPr>
          <w:p>
            <w:pPr>
              <w:spacing w:after="0"/>
              <w:rPr>
                <w:sz w:val="14"/>
                <w:szCs w:val="14"/>
                <w:color w:val="auto"/>
              </w:rPr>
            </w:pPr>
          </w:p>
        </w:tc>
        <w:tc>
          <w:tcPr>
            <w:tcW w:w="560" w:type="dxa"/>
            <w:vAlign w:val="bottom"/>
            <w:tcBorders>
              <w:bottom w:val="single" w:sz="8" w:color="C7C8CA"/>
              <w:right w:val="single" w:sz="8" w:color="F2F2F2"/>
            </w:tcBorders>
          </w:tcPr>
          <w:p>
            <w:pPr>
              <w:spacing w:after="0"/>
              <w:rPr>
                <w:sz w:val="14"/>
                <w:szCs w:val="14"/>
                <w:color w:val="auto"/>
              </w:rPr>
            </w:pPr>
          </w:p>
        </w:tc>
        <w:tc>
          <w:tcPr>
            <w:tcW w:w="520" w:type="dxa"/>
            <w:vAlign w:val="bottom"/>
            <w:tcBorders>
              <w:bottom w:val="single" w:sz="8" w:color="C7C8CA"/>
            </w:tcBorders>
            <w:shd w:val="clear" w:color="auto" w:fill="F2F2F2"/>
          </w:tcPr>
          <w:p>
            <w:pPr>
              <w:spacing w:after="0"/>
              <w:rPr>
                <w:sz w:val="14"/>
                <w:szCs w:val="14"/>
                <w:color w:val="auto"/>
              </w:rPr>
            </w:pPr>
          </w:p>
        </w:tc>
        <w:tc>
          <w:tcPr>
            <w:tcW w:w="600" w:type="dxa"/>
            <w:vAlign w:val="bottom"/>
            <w:tcBorders>
              <w:bottom w:val="single" w:sz="8" w:color="C7C8CA"/>
              <w:right w:val="single" w:sz="8" w:color="C7C8CA"/>
            </w:tcBorders>
          </w:tcPr>
          <w:p>
            <w:pPr>
              <w:spacing w:after="0"/>
              <w:rPr>
                <w:sz w:val="14"/>
                <w:szCs w:val="14"/>
                <w:color w:val="auto"/>
              </w:rPr>
            </w:pPr>
          </w:p>
        </w:tc>
      </w:tr>
      <w:tr>
        <w:trPr>
          <w:trHeight w:val="430"/>
        </w:trPr>
        <w:tc>
          <w:tcPr>
            <w:tcW w:w="4920" w:type="dxa"/>
            <w:vAlign w:val="bottom"/>
            <w:tcBorders>
              <w:right w:val="single" w:sz="8" w:color="F2F2F2"/>
            </w:tcBorders>
          </w:tcPr>
          <w:p>
            <w:pPr>
              <w:ind w:left="700"/>
              <w:spacing w:after="0"/>
              <w:rPr>
                <w:sz w:val="20"/>
                <w:szCs w:val="20"/>
                <w:color w:val="auto"/>
              </w:rPr>
            </w:pPr>
            <w:r>
              <w:rPr>
                <w:rFonts w:ascii="Arial" w:cs="Arial" w:eastAsia="Arial" w:hAnsi="Arial"/>
                <w:sz w:val="18"/>
                <w:szCs w:val="18"/>
                <w:color w:val="auto"/>
              </w:rPr>
              <w:t>Risk management</w:t>
            </w:r>
          </w:p>
        </w:tc>
        <w:tc>
          <w:tcPr>
            <w:tcW w:w="180" w:type="dxa"/>
            <w:vAlign w:val="bottom"/>
            <w:shd w:val="clear" w:color="auto" w:fill="F2F2F2"/>
          </w:tcPr>
          <w:p>
            <w:pPr>
              <w:spacing w:after="0"/>
              <w:rPr>
                <w:sz w:val="24"/>
                <w:szCs w:val="24"/>
                <w:color w:val="auto"/>
              </w:rPr>
            </w:pPr>
          </w:p>
        </w:tc>
        <w:tc>
          <w:tcPr>
            <w:tcW w:w="420" w:type="dxa"/>
            <w:vAlign w:val="bottom"/>
            <w:shd w:val="clear" w:color="auto" w:fill="F2F2F2"/>
          </w:tcPr>
          <w:p>
            <w:pPr>
              <w:spacing w:after="0"/>
              <w:rPr>
                <w:sz w:val="24"/>
                <w:szCs w:val="24"/>
                <w:color w:val="auto"/>
              </w:rPr>
            </w:pP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18"/>
                <w:szCs w:val="18"/>
                <w:color w:val="376DB5"/>
              </w:rPr>
              <w:t>●</w:t>
            </w:r>
            <w:r>
              <w:rPr>
                <w:rFonts w:ascii="Arial" w:cs="Arial" w:eastAsia="Arial" w:hAnsi="Arial"/>
                <w:sz w:val="18"/>
                <w:szCs w:val="18"/>
                <w:color w:val="376DB5"/>
              </w:rPr>
              <w:t xml:space="preserve"> </w:t>
            </w: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560" w:type="dxa"/>
            <w:vAlign w:val="bottom"/>
            <w:tcBorders>
              <w:right w:val="single" w:sz="8" w:color="F2F2F2"/>
            </w:tcBorders>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600" w:type="dxa"/>
            <w:vAlign w:val="bottom"/>
            <w:tcBorders>
              <w:right w:val="single" w:sz="8" w:color="C7C8CA"/>
            </w:tcBorders>
          </w:tcPr>
          <w:p>
            <w:pPr>
              <w:spacing w:after="0"/>
              <w:rPr>
                <w:sz w:val="24"/>
                <w:szCs w:val="24"/>
                <w:color w:val="auto"/>
              </w:rPr>
            </w:pPr>
          </w:p>
        </w:tc>
      </w:tr>
      <w:tr>
        <w:trPr>
          <w:trHeight w:val="179"/>
        </w:trPr>
        <w:tc>
          <w:tcPr>
            <w:tcW w:w="4920" w:type="dxa"/>
            <w:vAlign w:val="bottom"/>
            <w:tcBorders>
              <w:bottom w:val="single" w:sz="8" w:color="142635"/>
              <w:right w:val="single" w:sz="8" w:color="F2F2F2"/>
            </w:tcBorders>
          </w:tcPr>
          <w:p>
            <w:pPr>
              <w:spacing w:after="0"/>
              <w:rPr>
                <w:sz w:val="15"/>
                <w:szCs w:val="15"/>
                <w:color w:val="auto"/>
              </w:rPr>
            </w:pPr>
          </w:p>
        </w:tc>
        <w:tc>
          <w:tcPr>
            <w:tcW w:w="180" w:type="dxa"/>
            <w:vAlign w:val="bottom"/>
            <w:tcBorders>
              <w:bottom w:val="single" w:sz="8" w:color="142635"/>
            </w:tcBorders>
            <w:shd w:val="clear" w:color="auto" w:fill="F2F2F2"/>
          </w:tcPr>
          <w:p>
            <w:pPr>
              <w:spacing w:after="0"/>
              <w:rPr>
                <w:sz w:val="15"/>
                <w:szCs w:val="15"/>
                <w:color w:val="auto"/>
              </w:rPr>
            </w:pPr>
          </w:p>
        </w:tc>
        <w:tc>
          <w:tcPr>
            <w:tcW w:w="420" w:type="dxa"/>
            <w:vAlign w:val="bottom"/>
            <w:tcBorders>
              <w:bottom w:val="single" w:sz="8" w:color="142635"/>
            </w:tcBorders>
            <w:shd w:val="clear" w:color="auto" w:fill="F2F2F2"/>
          </w:tcPr>
          <w:p>
            <w:pPr>
              <w:spacing w:after="0"/>
              <w:rPr>
                <w:sz w:val="15"/>
                <w:szCs w:val="15"/>
                <w:color w:val="auto"/>
              </w:rPr>
            </w:pPr>
          </w:p>
        </w:tc>
        <w:tc>
          <w:tcPr>
            <w:tcW w:w="560" w:type="dxa"/>
            <w:vAlign w:val="bottom"/>
            <w:tcBorders>
              <w:bottom w:val="single" w:sz="8" w:color="142635"/>
              <w:right w:val="single" w:sz="8" w:color="F2F2F2"/>
            </w:tcBorders>
          </w:tcPr>
          <w:p>
            <w:pPr>
              <w:spacing w:after="0"/>
              <w:rPr>
                <w:sz w:val="15"/>
                <w:szCs w:val="15"/>
                <w:color w:val="auto"/>
              </w:rPr>
            </w:pPr>
          </w:p>
        </w:tc>
        <w:tc>
          <w:tcPr>
            <w:tcW w:w="520" w:type="dxa"/>
            <w:vAlign w:val="bottom"/>
            <w:tcBorders>
              <w:bottom w:val="single" w:sz="8" w:color="142635"/>
            </w:tcBorders>
            <w:shd w:val="clear" w:color="auto" w:fill="F2F2F2"/>
          </w:tcPr>
          <w:p>
            <w:pPr>
              <w:spacing w:after="0"/>
              <w:rPr>
                <w:sz w:val="15"/>
                <w:szCs w:val="15"/>
                <w:color w:val="auto"/>
              </w:rPr>
            </w:pPr>
          </w:p>
        </w:tc>
        <w:tc>
          <w:tcPr>
            <w:tcW w:w="560" w:type="dxa"/>
            <w:vAlign w:val="bottom"/>
            <w:tcBorders>
              <w:bottom w:val="single" w:sz="8" w:color="142635"/>
              <w:right w:val="single" w:sz="8" w:color="F2F2F2"/>
            </w:tcBorders>
          </w:tcPr>
          <w:p>
            <w:pPr>
              <w:spacing w:after="0"/>
              <w:rPr>
                <w:sz w:val="15"/>
                <w:szCs w:val="15"/>
                <w:color w:val="auto"/>
              </w:rPr>
            </w:pPr>
          </w:p>
        </w:tc>
        <w:tc>
          <w:tcPr>
            <w:tcW w:w="520" w:type="dxa"/>
            <w:vAlign w:val="bottom"/>
            <w:tcBorders>
              <w:bottom w:val="single" w:sz="8" w:color="142635"/>
            </w:tcBorders>
            <w:shd w:val="clear" w:color="auto" w:fill="F2F2F2"/>
          </w:tcPr>
          <w:p>
            <w:pPr>
              <w:spacing w:after="0"/>
              <w:rPr>
                <w:sz w:val="15"/>
                <w:szCs w:val="15"/>
                <w:color w:val="auto"/>
              </w:rPr>
            </w:pPr>
          </w:p>
        </w:tc>
        <w:tc>
          <w:tcPr>
            <w:tcW w:w="560" w:type="dxa"/>
            <w:vAlign w:val="bottom"/>
            <w:tcBorders>
              <w:bottom w:val="single" w:sz="8" w:color="142635"/>
              <w:right w:val="single" w:sz="8" w:color="F2F2F2"/>
            </w:tcBorders>
          </w:tcPr>
          <w:p>
            <w:pPr>
              <w:spacing w:after="0"/>
              <w:rPr>
                <w:sz w:val="15"/>
                <w:szCs w:val="15"/>
                <w:color w:val="auto"/>
              </w:rPr>
            </w:pPr>
          </w:p>
        </w:tc>
        <w:tc>
          <w:tcPr>
            <w:tcW w:w="520" w:type="dxa"/>
            <w:vAlign w:val="bottom"/>
            <w:tcBorders>
              <w:bottom w:val="single" w:sz="8" w:color="142635"/>
            </w:tcBorders>
            <w:shd w:val="clear" w:color="auto" w:fill="F2F2F2"/>
          </w:tcPr>
          <w:p>
            <w:pPr>
              <w:spacing w:after="0"/>
              <w:rPr>
                <w:sz w:val="15"/>
                <w:szCs w:val="15"/>
                <w:color w:val="auto"/>
              </w:rPr>
            </w:pPr>
          </w:p>
        </w:tc>
        <w:tc>
          <w:tcPr>
            <w:tcW w:w="600" w:type="dxa"/>
            <w:vAlign w:val="bottom"/>
            <w:tcBorders>
              <w:bottom w:val="single" w:sz="8" w:color="142635"/>
              <w:right w:val="single" w:sz="8" w:color="C7C8C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-5245735</wp:posOffset>
            </wp:positionV>
            <wp:extent cx="145415" cy="2660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5415" cy="26606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-5554345</wp:posOffset>
            </wp:positionV>
            <wp:extent cx="137160" cy="5829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58293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-5408295</wp:posOffset>
            </wp:positionV>
            <wp:extent cx="137160" cy="436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43688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-5400040</wp:posOffset>
            </wp:positionV>
            <wp:extent cx="137160" cy="420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42037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-5476875</wp:posOffset>
            </wp:positionV>
            <wp:extent cx="137160" cy="5060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50609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-5245735</wp:posOffset>
            </wp:positionV>
            <wp:extent cx="137160" cy="2660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26606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-5185410</wp:posOffset>
            </wp:positionV>
            <wp:extent cx="137160" cy="205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20574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-5528310</wp:posOffset>
            </wp:positionV>
            <wp:extent cx="137160" cy="5575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55753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-4799965</wp:posOffset>
            </wp:positionV>
            <wp:extent cx="197485" cy="196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7485" cy="19685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-4448175</wp:posOffset>
            </wp:positionV>
            <wp:extent cx="282575"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2575" cy="27432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-4011295</wp:posOffset>
            </wp:positionV>
            <wp:extent cx="145415"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5415" cy="17145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-3702685</wp:posOffset>
            </wp:positionV>
            <wp:extent cx="197485"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7485" cy="18859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-3350895</wp:posOffset>
            </wp:positionV>
            <wp:extent cx="179705"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9705" cy="18859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-3007995</wp:posOffset>
            </wp:positionV>
            <wp:extent cx="214630" cy="2228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4630" cy="22288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-2630805</wp:posOffset>
            </wp:positionV>
            <wp:extent cx="197485" cy="1968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7485" cy="19685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-2296795</wp:posOffset>
            </wp:positionV>
            <wp:extent cx="214630" cy="180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4630" cy="18034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-1962150</wp:posOffset>
            </wp:positionV>
            <wp:extent cx="282575" cy="2489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2575" cy="24892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-1559560</wp:posOffset>
            </wp:positionV>
            <wp:extent cx="248285" cy="2400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8285" cy="24003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-1156335</wp:posOffset>
            </wp:positionV>
            <wp:extent cx="197485" cy="222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7485" cy="22288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-753745</wp:posOffset>
            </wp:positionV>
            <wp:extent cx="231140" cy="2571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1140" cy="25717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-333375</wp:posOffset>
            </wp:positionV>
            <wp:extent cx="179705" cy="2311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9705" cy="231140"/>
                    </a:xfrm>
                    <a:prstGeom prst="rect">
                      <a:avLst/>
                    </a:prstGeom>
                    <a:noFill/>
                  </pic:spPr>
                </pic:pic>
              </a:graphicData>
            </a:graphic>
          </wp:anchor>
        </w:drawing>
      </w:r>
    </w:p>
    <w:p>
      <w:pPr>
        <w:spacing w:after="0" w:line="177"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A mark indicates a specific area of focus or expertise that the director brings to our Board. The matrix above does not encompass all of the knowledge, skills and experience of our directors, and the fact that a particular knowledge, skill or experience is not listed does not mean that a director does not possess it. In addition, the absence of a particular knowledge, skill or experience with respect to any of our directors does not mean the director in question is unable to contribute to the decision-making process in that area.</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12</w:t>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54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98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Board of</w:t>
            </w:r>
          </w:p>
        </w:tc>
        <w:tc>
          <w:tcPr>
            <w:tcW w:w="13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5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54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rPr>
              <w:t>Summary</w:t>
            </w:r>
          </w:p>
        </w:tc>
        <w:tc>
          <w:tcPr>
            <w:tcW w:w="98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Directors</w:t>
            </w:r>
          </w:p>
        </w:tc>
        <w:tc>
          <w:tcPr>
            <w:tcW w:w="13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5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540" w:type="dxa"/>
            <w:vAlign w:val="bottom"/>
            <w:shd w:val="clear" w:color="auto" w:fill="F2F2F2"/>
          </w:tcPr>
          <w:p>
            <w:pPr>
              <w:spacing w:after="0"/>
              <w:rPr>
                <w:sz w:val="16"/>
                <w:szCs w:val="16"/>
                <w:color w:val="auto"/>
              </w:rPr>
            </w:pPr>
          </w:p>
        </w:tc>
        <w:tc>
          <w:tcPr>
            <w:tcW w:w="98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w:t>
            </w:r>
          </w:p>
        </w:tc>
        <w:tc>
          <w:tcPr>
            <w:tcW w:w="1300" w:type="dxa"/>
            <w:vAlign w:val="bottom"/>
            <w:shd w:val="clear" w:color="auto" w:fill="F2F2F2"/>
          </w:tcPr>
          <w:p>
            <w:pPr>
              <w:spacing w:after="0"/>
              <w:rPr>
                <w:sz w:val="16"/>
                <w:szCs w:val="16"/>
                <w:color w:val="auto"/>
              </w:rPr>
            </w:pPr>
          </w:p>
        </w:tc>
        <w:tc>
          <w:tcPr>
            <w:tcW w:w="1500" w:type="dxa"/>
            <w:vAlign w:val="bottom"/>
            <w:shd w:val="clear" w:color="auto" w:fill="F2F2F2"/>
          </w:tcPr>
          <w:p>
            <w:pPr>
              <w:spacing w:after="0"/>
              <w:rPr>
                <w:sz w:val="16"/>
                <w:szCs w:val="16"/>
                <w:color w:val="auto"/>
              </w:rPr>
            </w:pP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540" w:type="dxa"/>
            <w:vAlign w:val="bottom"/>
            <w:tcBorders>
              <w:top w:val="single" w:sz="8" w:color="F2F2F2"/>
            </w:tcBorders>
            <w:shd w:val="clear" w:color="auto" w:fill="F2F2F2"/>
          </w:tcPr>
          <w:p>
            <w:pPr>
              <w:spacing w:after="0"/>
              <w:rPr>
                <w:sz w:val="2"/>
                <w:szCs w:val="2"/>
                <w:color w:val="auto"/>
              </w:rPr>
            </w:pPr>
          </w:p>
        </w:tc>
        <w:tc>
          <w:tcPr>
            <w:tcW w:w="760" w:type="dxa"/>
            <w:vAlign w:val="bottom"/>
            <w:tcBorders>
              <w:top w:val="single" w:sz="8" w:color="376DB5"/>
            </w:tcBorders>
            <w:shd w:val="clear" w:color="auto" w:fill="F2F2F2"/>
          </w:tcPr>
          <w:p>
            <w:pPr>
              <w:spacing w:after="0"/>
              <w:rPr>
                <w:sz w:val="2"/>
                <w:szCs w:val="2"/>
                <w:color w:val="auto"/>
              </w:rPr>
            </w:pPr>
          </w:p>
        </w:tc>
        <w:tc>
          <w:tcPr>
            <w:tcW w:w="220" w:type="dxa"/>
            <w:vAlign w:val="bottom"/>
            <w:tcBorders>
              <w:top w:val="single" w:sz="8" w:color="F2F2F2"/>
            </w:tcBorders>
            <w:shd w:val="clear" w:color="auto" w:fill="F2F2F2"/>
          </w:tcPr>
          <w:p>
            <w:pPr>
              <w:spacing w:after="0"/>
              <w:rPr>
                <w:sz w:val="2"/>
                <w:szCs w:val="2"/>
                <w:color w:val="auto"/>
              </w:rPr>
            </w:pPr>
          </w:p>
        </w:tc>
        <w:tc>
          <w:tcPr>
            <w:tcW w:w="1300" w:type="dxa"/>
            <w:vAlign w:val="bottom"/>
            <w:tcBorders>
              <w:top w:val="single" w:sz="8" w:color="F2F2F2"/>
            </w:tcBorders>
            <w:shd w:val="clear" w:color="auto" w:fill="F2F2F2"/>
          </w:tcPr>
          <w:p>
            <w:pPr>
              <w:spacing w:after="0"/>
              <w:rPr>
                <w:sz w:val="2"/>
                <w:szCs w:val="2"/>
                <w:color w:val="auto"/>
              </w:rPr>
            </w:pPr>
          </w:p>
        </w:tc>
        <w:tc>
          <w:tcPr>
            <w:tcW w:w="150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32829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32829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03"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376DB5"/>
        </w:rPr>
        <w:t>Braden R. Kelly</w:t>
      </w:r>
    </w:p>
    <w:p>
      <w:pPr>
        <w:spacing w:after="0" w:line="81" w:lineRule="exact"/>
        <w:rPr>
          <w:sz w:val="20"/>
          <w:szCs w:val="20"/>
          <w:color w:val="auto"/>
        </w:rPr>
      </w:pPr>
    </w:p>
    <w:p>
      <w:pPr>
        <w:ind w:left="280" w:right="1160"/>
        <w:spacing w:after="0" w:line="382" w:lineRule="auto"/>
        <w:rPr>
          <w:sz w:val="20"/>
          <w:szCs w:val="20"/>
          <w:color w:val="auto"/>
        </w:rPr>
      </w:pPr>
      <w:r>
        <w:rPr>
          <w:rFonts w:ascii="Arial" w:cs="Arial" w:eastAsia="Arial" w:hAnsi="Arial"/>
          <w:sz w:val="18"/>
          <w:szCs w:val="18"/>
          <w:color w:val="auto"/>
        </w:rPr>
        <w:t>Chairman of the Board (since 2016) Director (since 2013) Age 55</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376DB5"/>
        </w:rPr>
        <w:t>Independent</w:t>
      </w:r>
    </w:p>
    <w:p>
      <w:pPr>
        <w:spacing w:after="0" w:line="34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376DB5"/>
        </w:rPr>
        <w:t>Professional Experience</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Health Evolution Partners</w:t>
      </w:r>
    </w:p>
    <w:p>
      <w:pPr>
        <w:spacing w:after="0" w:line="63" w:lineRule="exact"/>
        <w:rPr>
          <w:sz w:val="20"/>
          <w:szCs w:val="20"/>
          <w:color w:val="auto"/>
        </w:rPr>
      </w:pPr>
    </w:p>
    <w:p>
      <w:pPr>
        <w:ind w:left="640" w:hanging="164"/>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Partner (2015 to December 2025)</w:t>
      </w:r>
    </w:p>
    <w:p>
      <w:pPr>
        <w:spacing w:after="0" w:line="63" w:lineRule="exact"/>
        <w:rPr>
          <w:rFonts w:ascii="Arial" w:cs="Arial" w:eastAsia="Arial" w:hAnsi="Arial"/>
          <w:sz w:val="18"/>
          <w:szCs w:val="18"/>
          <w:color w:val="auto"/>
        </w:rPr>
      </w:pPr>
    </w:p>
    <w:p>
      <w:pPr>
        <w:ind w:left="640" w:hanging="164"/>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Investment Partner (2013 to 2014)</w:t>
      </w:r>
    </w:p>
    <w:p>
      <w:pPr>
        <w:spacing w:after="0" w:line="63" w:lineRule="exact"/>
        <w:rPr>
          <w:rFonts w:ascii="Arial" w:cs="Arial" w:eastAsia="Arial" w:hAnsi="Arial"/>
          <w:sz w:val="18"/>
          <w:szCs w:val="18"/>
          <w:color w:val="auto"/>
        </w:rPr>
      </w:pPr>
    </w:p>
    <w:p>
      <w:pPr>
        <w:ind w:left="640" w:hanging="164"/>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Senior Advisor (2008 to 2013)</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General Atlantic Partners LLC (1995 to 2006)</w:t>
      </w:r>
    </w:p>
    <w:p>
      <w:pPr>
        <w:spacing w:after="0" w:line="63" w:lineRule="exact"/>
        <w:rPr>
          <w:sz w:val="20"/>
          <w:szCs w:val="20"/>
          <w:color w:val="auto"/>
        </w:rPr>
      </w:pPr>
    </w:p>
    <w:p>
      <w:pPr>
        <w:ind w:left="260" w:right="120" w:firstLine="216"/>
        <w:spacing w:after="0" w:line="344" w:lineRule="auto"/>
        <w:rPr>
          <w:sz w:val="20"/>
          <w:szCs w:val="20"/>
          <w:color w:val="auto"/>
        </w:rPr>
      </w:pPr>
      <w:r>
        <w:rPr>
          <w:rFonts w:ascii="Arial" w:cs="Arial" w:eastAsia="Arial" w:hAnsi="Arial"/>
          <w:sz w:val="18"/>
          <w:szCs w:val="18"/>
          <w:color w:val="auto"/>
        </w:rPr>
        <w:t xml:space="preserve">• Employee  </w:t>
      </w:r>
      <w:r>
        <w:rPr>
          <w:rFonts w:ascii="Times New Roman" w:cs="Times New Roman" w:eastAsia="Times New Roman" w:hAnsi="Times New Roman"/>
          <w:sz w:val="13"/>
          <w:szCs w:val="13"/>
          <w:color w:val="auto"/>
        </w:rPr>
        <w:t>u</w:t>
      </w:r>
      <w:r>
        <w:rPr>
          <w:rFonts w:ascii="Arial" w:cs="Arial" w:eastAsia="Arial" w:hAnsi="Arial"/>
          <w:sz w:val="18"/>
          <w:szCs w:val="18"/>
          <w:color w:val="auto"/>
        </w:rPr>
        <w:t xml:space="preserve">  Partner and Managing Director Morgan Stanley &amp; Co. (1993 to 1995)</w:t>
      </w:r>
    </w:p>
    <w:p>
      <w:pPr>
        <w:spacing w:after="0" w:line="1" w:lineRule="exact"/>
        <w:rPr>
          <w:sz w:val="20"/>
          <w:szCs w:val="20"/>
          <w:color w:val="auto"/>
        </w:rPr>
      </w:pPr>
    </w:p>
    <w:p>
      <w:pPr>
        <w:ind w:left="640" w:hanging="164"/>
        <w:spacing w:after="0" w:line="253"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Member of mergers, acquisitions and restructuring department (Investment banking division)</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376DB5"/>
        </w:rPr>
        <w:t>Committee Assignments</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Chair</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Governance, Nominating and Executive Committee</w:t>
      </w:r>
    </w:p>
    <w:p>
      <w:pPr>
        <w:spacing w:after="0" w:line="14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Member</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Leadership Development and Compensation Committee</w:t>
      </w:r>
    </w:p>
    <w:p>
      <w:pPr>
        <w:spacing w:after="0" w:line="26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376DB5"/>
        </w:rPr>
        <w:t>Education</w:t>
      </w:r>
    </w:p>
    <w:p>
      <w:pPr>
        <w:spacing w:after="0" w:line="171" w:lineRule="exact"/>
        <w:rPr>
          <w:sz w:val="20"/>
          <w:szCs w:val="20"/>
          <w:color w:val="auto"/>
        </w:rPr>
      </w:pPr>
    </w:p>
    <w:p>
      <w:pPr>
        <w:jc w:val="both"/>
        <w:ind w:left="100" w:right="3100"/>
        <w:spacing w:after="0" w:line="253" w:lineRule="auto"/>
        <w:rPr>
          <w:sz w:val="20"/>
          <w:szCs w:val="20"/>
          <w:color w:val="auto"/>
        </w:rPr>
      </w:pPr>
      <w:r>
        <w:rPr>
          <w:rFonts w:ascii="Arial" w:cs="Arial" w:eastAsia="Arial" w:hAnsi="Arial"/>
          <w:sz w:val="18"/>
          <w:szCs w:val="18"/>
          <w:color w:val="auto"/>
        </w:rPr>
        <w:t>Bachelor of Business Administration degree in finance and business economics from the University of Notre Dame</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376DB5"/>
        </w:rPr>
        <w:t>Expertise, Strategic Capabilities, and Key Competencies</w:t>
      </w:r>
    </w:p>
    <w:tbl>
      <w:tblPr>
        <w:tblLayout w:type="fixed"/>
        <w:tblInd w:w="240" w:type="dxa"/>
        <w:tblCellMar>
          <w:top w:w="0" w:type="dxa"/>
          <w:left w:w="0" w:type="dxa"/>
          <w:bottom w:w="0" w:type="dxa"/>
          <w:right w:w="0" w:type="dxa"/>
        </w:tblCellMar>
      </w:tblPr>
      <w:tr>
        <w:trPr>
          <w:trHeight w:val="198"/>
        </w:trPr>
        <w:tc>
          <w:tcPr>
            <w:tcW w:w="100" w:type="dxa"/>
            <w:vAlign w:val="bottom"/>
          </w:tcPr>
          <w:p>
            <w:pPr>
              <w:spacing w:after="0" w:line="198" w:lineRule="exact"/>
              <w:rPr>
                <w:sz w:val="20"/>
                <w:szCs w:val="20"/>
                <w:color w:val="auto"/>
              </w:rPr>
            </w:pPr>
            <w:r>
              <w:rPr>
                <w:rFonts w:ascii="Arial" w:cs="Arial" w:eastAsia="Arial" w:hAnsi="Arial"/>
                <w:sz w:val="18"/>
                <w:szCs w:val="18"/>
                <w:color w:val="auto"/>
              </w:rPr>
              <w:t>•</w:t>
            </w:r>
          </w:p>
        </w:tc>
        <w:tc>
          <w:tcPr>
            <w:tcW w:w="2520" w:type="dxa"/>
            <w:vAlign w:val="bottom"/>
          </w:tcPr>
          <w:p>
            <w:pPr>
              <w:ind w:left="60"/>
              <w:spacing w:after="0" w:line="198" w:lineRule="exact"/>
              <w:rPr>
                <w:sz w:val="20"/>
                <w:szCs w:val="20"/>
                <w:color w:val="auto"/>
              </w:rPr>
            </w:pPr>
            <w:r>
              <w:rPr>
                <w:rFonts w:ascii="Arial" w:cs="Arial" w:eastAsia="Arial" w:hAnsi="Arial"/>
                <w:sz w:val="18"/>
                <w:szCs w:val="18"/>
                <w:color w:val="auto"/>
              </w:rPr>
              <w:t>Financial expertise</w:t>
            </w:r>
          </w:p>
        </w:tc>
        <w:tc>
          <w:tcPr>
            <w:tcW w:w="760" w:type="dxa"/>
            <w:vAlign w:val="bottom"/>
          </w:tcPr>
          <w:p>
            <w:pPr>
              <w:ind w:left="640"/>
              <w:spacing w:after="0" w:line="198" w:lineRule="exact"/>
              <w:rPr>
                <w:sz w:val="20"/>
                <w:szCs w:val="20"/>
                <w:color w:val="auto"/>
              </w:rPr>
            </w:pPr>
            <w:r>
              <w:rPr>
                <w:rFonts w:ascii="Arial" w:cs="Arial" w:eastAsia="Arial" w:hAnsi="Arial"/>
                <w:sz w:val="18"/>
                <w:szCs w:val="18"/>
                <w:color w:val="auto"/>
              </w:rPr>
              <w:t>•</w:t>
            </w:r>
          </w:p>
        </w:tc>
        <w:tc>
          <w:tcPr>
            <w:tcW w:w="1900" w:type="dxa"/>
            <w:vAlign w:val="bottom"/>
          </w:tcPr>
          <w:p>
            <w:pPr>
              <w:ind w:left="60"/>
              <w:spacing w:after="0" w:line="198" w:lineRule="exact"/>
              <w:rPr>
                <w:sz w:val="20"/>
                <w:szCs w:val="20"/>
                <w:color w:val="auto"/>
              </w:rPr>
            </w:pPr>
            <w:r>
              <w:rPr>
                <w:rFonts w:ascii="Arial" w:cs="Arial" w:eastAsia="Arial" w:hAnsi="Arial"/>
                <w:sz w:val="18"/>
                <w:szCs w:val="18"/>
                <w:color w:val="auto"/>
              </w:rPr>
              <w:t>Strategy development</w:t>
            </w:r>
          </w:p>
        </w:tc>
      </w:tr>
      <w:tr>
        <w:trPr>
          <w:trHeight w:val="203"/>
        </w:trPr>
        <w:tc>
          <w:tcPr>
            <w:tcW w:w="1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520" w:type="dxa"/>
            <w:vAlign w:val="bottom"/>
          </w:tcPr>
          <w:p>
            <w:pPr>
              <w:ind w:left="60"/>
              <w:spacing w:after="0" w:line="202" w:lineRule="exact"/>
              <w:rPr>
                <w:sz w:val="20"/>
                <w:szCs w:val="20"/>
                <w:color w:val="auto"/>
              </w:rPr>
            </w:pPr>
            <w:r>
              <w:rPr>
                <w:rFonts w:ascii="Arial" w:cs="Arial" w:eastAsia="Arial" w:hAnsi="Arial"/>
                <w:sz w:val="18"/>
                <w:szCs w:val="18"/>
                <w:color w:val="auto"/>
              </w:rPr>
              <w:t>Investment experience</w:t>
            </w:r>
          </w:p>
        </w:tc>
        <w:tc>
          <w:tcPr>
            <w:tcW w:w="760" w:type="dxa"/>
            <w:vAlign w:val="bottom"/>
          </w:tcPr>
          <w:p>
            <w:pPr>
              <w:ind w:left="640"/>
              <w:spacing w:after="0" w:line="202" w:lineRule="exact"/>
              <w:rPr>
                <w:sz w:val="20"/>
                <w:szCs w:val="20"/>
                <w:color w:val="auto"/>
              </w:rPr>
            </w:pPr>
            <w:r>
              <w:rPr>
                <w:rFonts w:ascii="Arial" w:cs="Arial" w:eastAsia="Arial" w:hAnsi="Arial"/>
                <w:sz w:val="18"/>
                <w:szCs w:val="18"/>
                <w:color w:val="auto"/>
              </w:rPr>
              <w:t>•</w:t>
            </w:r>
          </w:p>
        </w:tc>
        <w:tc>
          <w:tcPr>
            <w:tcW w:w="1900" w:type="dxa"/>
            <w:vAlign w:val="bottom"/>
          </w:tcPr>
          <w:p>
            <w:pPr>
              <w:ind w:left="60"/>
              <w:spacing w:after="0" w:line="202" w:lineRule="exact"/>
              <w:rPr>
                <w:sz w:val="20"/>
                <w:szCs w:val="20"/>
                <w:color w:val="auto"/>
              </w:rPr>
            </w:pPr>
            <w:r>
              <w:rPr>
                <w:rFonts w:ascii="Arial" w:cs="Arial" w:eastAsia="Arial" w:hAnsi="Arial"/>
                <w:sz w:val="18"/>
                <w:szCs w:val="18"/>
                <w:color w:val="auto"/>
                <w:w w:val="98"/>
              </w:rPr>
              <w:t>Mergers &amp; Acquisitions</w:t>
            </w:r>
          </w:p>
        </w:tc>
      </w:tr>
      <w:tr>
        <w:trPr>
          <w:trHeight w:val="239"/>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20" w:type="dxa"/>
            <w:vAlign w:val="bottom"/>
          </w:tcPr>
          <w:p>
            <w:pPr>
              <w:ind w:left="60"/>
              <w:spacing w:after="0"/>
              <w:rPr>
                <w:sz w:val="20"/>
                <w:szCs w:val="20"/>
                <w:color w:val="auto"/>
              </w:rPr>
            </w:pPr>
            <w:r>
              <w:rPr>
                <w:rFonts w:ascii="Arial" w:cs="Arial" w:eastAsia="Arial" w:hAnsi="Arial"/>
                <w:sz w:val="18"/>
                <w:szCs w:val="18"/>
                <w:color w:val="auto"/>
              </w:rPr>
              <w:t>Technology leadership</w:t>
            </w:r>
          </w:p>
        </w:tc>
        <w:tc>
          <w:tcPr>
            <w:tcW w:w="760" w:type="dxa"/>
            <w:vAlign w:val="bottom"/>
          </w:tcPr>
          <w:p>
            <w:pPr>
              <w:ind w:left="640"/>
              <w:spacing w:after="0"/>
              <w:rPr>
                <w:sz w:val="20"/>
                <w:szCs w:val="20"/>
                <w:color w:val="auto"/>
              </w:rPr>
            </w:pPr>
            <w:r>
              <w:rPr>
                <w:rFonts w:ascii="Arial" w:cs="Arial" w:eastAsia="Arial" w:hAnsi="Arial"/>
                <w:sz w:val="18"/>
                <w:szCs w:val="18"/>
                <w:color w:val="auto"/>
              </w:rPr>
              <w:t>•</w:t>
            </w:r>
          </w:p>
        </w:tc>
        <w:tc>
          <w:tcPr>
            <w:tcW w:w="1900" w:type="dxa"/>
            <w:vAlign w:val="bottom"/>
          </w:tcPr>
          <w:p>
            <w:pPr>
              <w:ind w:left="60"/>
              <w:spacing w:after="0"/>
              <w:rPr>
                <w:sz w:val="20"/>
                <w:szCs w:val="20"/>
                <w:color w:val="auto"/>
              </w:rPr>
            </w:pPr>
            <w:r>
              <w:rPr>
                <w:rFonts w:ascii="Arial" w:cs="Arial" w:eastAsia="Arial" w:hAnsi="Arial"/>
                <w:sz w:val="18"/>
                <w:szCs w:val="18"/>
                <w:color w:val="auto"/>
              </w:rPr>
              <w:t>International business</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608965</wp:posOffset>
            </wp:positionV>
            <wp:extent cx="6995160" cy="30346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3034665"/>
                    </a:xfrm>
                    <a:prstGeom prst="rect">
                      <a:avLst/>
                    </a:prstGeom>
                    <a:noFill/>
                  </pic:spPr>
                </pic:pic>
              </a:graphicData>
            </a:graphic>
          </wp:anchor>
        </w:drawing>
      </w:r>
    </w:p>
    <w:p>
      <w:pPr>
        <w:spacing w:after="0" w:line="715" w:lineRule="exact"/>
        <w:rPr>
          <w:sz w:val="20"/>
          <w:szCs w:val="20"/>
          <w:color w:val="auto"/>
        </w:rPr>
      </w:pPr>
    </w:p>
    <w:p>
      <w:pPr>
        <w:sectPr>
          <w:pgSz w:w="11900" w:h="16838" w:orient="portrait"/>
          <w:cols w:equalWidth="0" w:num="2">
            <w:col w:w="4280" w:space="160"/>
            <w:col w:w="670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376DB5"/>
        </w:rPr>
        <w:t>Fabiola R. Arredondo</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Director (since 2020)</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Age 59</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376DB5"/>
        </w:rPr>
        <w:t>Independent</w:t>
      </w:r>
    </w:p>
    <w:p>
      <w:pPr>
        <w:spacing w:after="0" w:line="3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376DB5"/>
        </w:rPr>
        <w:t>Professional Experience</w:t>
      </w:r>
    </w:p>
    <w:p>
      <w:pPr>
        <w:spacing w:after="0" w:line="117" w:lineRule="exact"/>
        <w:rPr>
          <w:sz w:val="20"/>
          <w:szCs w:val="20"/>
          <w:color w:val="auto"/>
        </w:rPr>
      </w:pPr>
    </w:p>
    <w:p>
      <w:pPr>
        <w:ind w:left="260" w:right="420"/>
        <w:spacing w:after="0" w:line="271" w:lineRule="auto"/>
        <w:rPr>
          <w:sz w:val="20"/>
          <w:szCs w:val="20"/>
          <w:color w:val="auto"/>
        </w:rPr>
      </w:pPr>
      <w:r>
        <w:rPr>
          <w:rFonts w:ascii="Arial" w:cs="Arial" w:eastAsia="Arial" w:hAnsi="Arial"/>
          <w:sz w:val="18"/>
          <w:szCs w:val="18"/>
          <w:color w:val="auto"/>
        </w:rPr>
        <w:t>Managing Partner at Siempre Holdings (since 2001)</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Previously held senior operating roles at:</w:t>
      </w:r>
    </w:p>
    <w:p>
      <w:pPr>
        <w:spacing w:after="0" w:line="63" w:lineRule="exact"/>
        <w:rPr>
          <w:sz w:val="20"/>
          <w:szCs w:val="20"/>
          <w:color w:val="auto"/>
        </w:rPr>
      </w:pPr>
    </w:p>
    <w:p>
      <w:pPr>
        <w:ind w:left="640" w:hanging="16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Yahoo! Inc.</w:t>
      </w:r>
    </w:p>
    <w:p>
      <w:pPr>
        <w:spacing w:after="0" w:line="63" w:lineRule="exact"/>
        <w:rPr>
          <w:rFonts w:ascii="Arial" w:cs="Arial" w:eastAsia="Arial" w:hAnsi="Arial"/>
          <w:sz w:val="18"/>
          <w:szCs w:val="18"/>
          <w:color w:val="auto"/>
        </w:rPr>
      </w:pPr>
    </w:p>
    <w:p>
      <w:pPr>
        <w:ind w:left="640" w:hanging="16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British Broadcasting Corporation (BBC)</w:t>
      </w:r>
    </w:p>
    <w:p>
      <w:pPr>
        <w:spacing w:after="0" w:line="63" w:lineRule="exact"/>
        <w:rPr>
          <w:rFonts w:ascii="Arial" w:cs="Arial" w:eastAsia="Arial" w:hAnsi="Arial"/>
          <w:sz w:val="18"/>
          <w:szCs w:val="18"/>
          <w:color w:val="auto"/>
        </w:rPr>
      </w:pPr>
    </w:p>
    <w:p>
      <w:pPr>
        <w:ind w:left="640" w:hanging="16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Bertelsmann SE &amp; Co. KGaA</w:t>
      </w:r>
    </w:p>
    <w:p>
      <w:pPr>
        <w:spacing w:after="0" w:line="117" w:lineRule="exact"/>
        <w:rPr>
          <w:sz w:val="20"/>
          <w:szCs w:val="20"/>
          <w:color w:val="auto"/>
        </w:rPr>
      </w:pPr>
    </w:p>
    <w:p>
      <w:pPr>
        <w:ind w:left="260" w:right="1160"/>
        <w:spacing w:after="0" w:line="301" w:lineRule="auto"/>
        <w:rPr>
          <w:sz w:val="20"/>
          <w:szCs w:val="20"/>
          <w:color w:val="auto"/>
        </w:rPr>
      </w:pPr>
      <w:r>
        <w:rPr>
          <w:rFonts w:ascii="Arial" w:cs="Arial" w:eastAsia="Arial" w:hAnsi="Arial"/>
          <w:sz w:val="17"/>
          <w:szCs w:val="17"/>
          <w:color w:val="auto"/>
        </w:rPr>
        <w:t>Board of Governors of FINRA (since December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376DB5"/>
        </w:rPr>
        <w:t>Committee Assignments</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Member</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Leadership Development and Compensation Committee</w:t>
      </w:r>
    </w:p>
    <w:p>
      <w:pPr>
        <w:spacing w:after="0" w:line="14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376DB5"/>
        </w:rPr>
        <w:t>Education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Bachelor of Arts degree in political science from Stanford</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University, and an M.B.A. from Harvard Business School</w:t>
      </w:r>
    </w:p>
    <w:p>
      <w:pPr>
        <w:spacing w:after="0" w:line="15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376DB5"/>
        </w:rPr>
        <w:t>Other Public Company Board Experience</w:t>
      </w:r>
    </w:p>
    <w:p>
      <w:pPr>
        <w:spacing w:after="0" w:line="14" w:lineRule="exact"/>
        <w:rPr>
          <w:sz w:val="20"/>
          <w:szCs w:val="20"/>
          <w:color w:val="auto"/>
        </w:rPr>
      </w:pPr>
    </w:p>
    <w:p>
      <w:pPr>
        <w:ind w:left="400" w:hanging="170"/>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Campbell’s Company (since 2017)</w:t>
      </w:r>
    </w:p>
    <w:p>
      <w:pPr>
        <w:spacing w:after="0" w:line="45" w:lineRule="exact"/>
        <w:rPr>
          <w:rFonts w:ascii="Arial" w:cs="Arial" w:eastAsia="Arial" w:hAnsi="Arial"/>
          <w:sz w:val="18"/>
          <w:szCs w:val="18"/>
          <w:color w:val="auto"/>
        </w:rPr>
      </w:pPr>
    </w:p>
    <w:p>
      <w:pPr>
        <w:ind w:left="400" w:hanging="170"/>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Burberry PLC (2015 to July 2025)</w:t>
      </w:r>
    </w:p>
    <w:p>
      <w:pPr>
        <w:spacing w:after="0" w:line="63" w:lineRule="exact"/>
        <w:rPr>
          <w:rFonts w:ascii="Arial" w:cs="Arial" w:eastAsia="Arial" w:hAnsi="Arial"/>
          <w:sz w:val="18"/>
          <w:szCs w:val="18"/>
          <w:color w:val="auto"/>
        </w:rPr>
      </w:pPr>
    </w:p>
    <w:p>
      <w:pPr>
        <w:ind w:left="400" w:hanging="170"/>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Experian PLC (2007 to 2016)</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376DB5"/>
        </w:rPr>
        <w:t>Expertise, Strategic Capabilities, and Key Competencies</w:t>
      </w:r>
    </w:p>
    <w:p>
      <w:pPr>
        <w:spacing w:after="0" w:line="27" w:lineRule="exact"/>
        <w:rPr>
          <w:sz w:val="20"/>
          <w:szCs w:val="20"/>
          <w:color w:val="auto"/>
        </w:rPr>
      </w:pPr>
    </w:p>
    <w:tbl>
      <w:tblPr>
        <w:tblLayout w:type="fixed"/>
        <w:tblInd w:w="240" w:type="dxa"/>
        <w:tblCellMar>
          <w:top w:w="0" w:type="dxa"/>
          <w:left w:w="0" w:type="dxa"/>
          <w:bottom w:w="0" w:type="dxa"/>
          <w:right w:w="0" w:type="dxa"/>
        </w:tblCellMar>
      </w:tblPr>
      <w:tr>
        <w:trPr>
          <w:trHeight w:val="225"/>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20" w:type="dxa"/>
            <w:vAlign w:val="bottom"/>
          </w:tcPr>
          <w:p>
            <w:pPr>
              <w:ind w:left="60"/>
              <w:spacing w:after="0"/>
              <w:rPr>
                <w:sz w:val="20"/>
                <w:szCs w:val="20"/>
                <w:color w:val="auto"/>
              </w:rPr>
            </w:pPr>
            <w:r>
              <w:rPr>
                <w:rFonts w:ascii="Arial" w:cs="Arial" w:eastAsia="Arial" w:hAnsi="Arial"/>
                <w:sz w:val="18"/>
                <w:szCs w:val="18"/>
                <w:color w:val="auto"/>
              </w:rPr>
              <w:t>Investment experience</w:t>
            </w:r>
          </w:p>
        </w:tc>
        <w:tc>
          <w:tcPr>
            <w:tcW w:w="760" w:type="dxa"/>
            <w:vAlign w:val="bottom"/>
          </w:tcPr>
          <w:p>
            <w:pPr>
              <w:ind w:left="640"/>
              <w:spacing w:after="0"/>
              <w:rPr>
                <w:sz w:val="20"/>
                <w:szCs w:val="20"/>
                <w:color w:val="auto"/>
              </w:rPr>
            </w:pPr>
            <w:r>
              <w:rPr>
                <w:rFonts w:ascii="Arial" w:cs="Arial" w:eastAsia="Arial" w:hAnsi="Arial"/>
                <w:sz w:val="18"/>
                <w:szCs w:val="18"/>
                <w:color w:val="auto"/>
              </w:rPr>
              <w:t>•</w:t>
            </w:r>
          </w:p>
        </w:tc>
        <w:tc>
          <w:tcPr>
            <w:tcW w:w="2620" w:type="dxa"/>
            <w:vAlign w:val="bottom"/>
          </w:tcPr>
          <w:p>
            <w:pPr>
              <w:ind w:left="40"/>
              <w:spacing w:after="0"/>
              <w:rPr>
                <w:sz w:val="20"/>
                <w:szCs w:val="20"/>
                <w:color w:val="auto"/>
              </w:rPr>
            </w:pPr>
            <w:r>
              <w:rPr>
                <w:rFonts w:ascii="Arial" w:cs="Arial" w:eastAsia="Arial" w:hAnsi="Arial"/>
                <w:sz w:val="18"/>
                <w:szCs w:val="18"/>
                <w:color w:val="auto"/>
              </w:rPr>
              <w:t>International business</w:t>
            </w:r>
          </w:p>
        </w:tc>
      </w:tr>
      <w:tr>
        <w:trPr>
          <w:trHeight w:val="203"/>
        </w:trPr>
        <w:tc>
          <w:tcPr>
            <w:tcW w:w="1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520" w:type="dxa"/>
            <w:vAlign w:val="bottom"/>
          </w:tcPr>
          <w:p>
            <w:pPr>
              <w:ind w:left="60"/>
              <w:spacing w:after="0" w:line="202" w:lineRule="exact"/>
              <w:rPr>
                <w:sz w:val="20"/>
                <w:szCs w:val="20"/>
                <w:color w:val="auto"/>
              </w:rPr>
            </w:pPr>
            <w:r>
              <w:rPr>
                <w:rFonts w:ascii="Arial" w:cs="Arial" w:eastAsia="Arial" w:hAnsi="Arial"/>
                <w:sz w:val="18"/>
                <w:szCs w:val="18"/>
                <w:color w:val="auto"/>
              </w:rPr>
              <w:t>Mergers &amp; Acquisitions</w:t>
            </w:r>
          </w:p>
        </w:tc>
        <w:tc>
          <w:tcPr>
            <w:tcW w:w="760" w:type="dxa"/>
            <w:vAlign w:val="bottom"/>
          </w:tcPr>
          <w:p>
            <w:pPr>
              <w:ind w:left="640"/>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40"/>
              <w:spacing w:after="0" w:line="202" w:lineRule="exact"/>
              <w:rPr>
                <w:sz w:val="20"/>
                <w:szCs w:val="20"/>
                <w:color w:val="auto"/>
              </w:rPr>
            </w:pPr>
            <w:r>
              <w:rPr>
                <w:rFonts w:ascii="Arial" w:cs="Arial" w:eastAsia="Arial" w:hAnsi="Arial"/>
                <w:sz w:val="18"/>
                <w:szCs w:val="18"/>
                <w:color w:val="auto"/>
                <w:w w:val="98"/>
              </w:rPr>
              <w:t>Sales and marketing intelligence</w:t>
            </w:r>
          </w:p>
        </w:tc>
      </w:tr>
      <w:tr>
        <w:trPr>
          <w:trHeight w:val="239"/>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20" w:type="dxa"/>
            <w:vAlign w:val="bottom"/>
          </w:tcPr>
          <w:p>
            <w:pPr>
              <w:ind w:left="60"/>
              <w:spacing w:after="0"/>
              <w:rPr>
                <w:sz w:val="20"/>
                <w:szCs w:val="20"/>
                <w:color w:val="auto"/>
              </w:rPr>
            </w:pPr>
            <w:r>
              <w:rPr>
                <w:rFonts w:ascii="Arial" w:cs="Arial" w:eastAsia="Arial" w:hAnsi="Arial"/>
                <w:sz w:val="18"/>
                <w:szCs w:val="18"/>
                <w:color w:val="auto"/>
              </w:rPr>
              <w:t>Strategy development</w:t>
            </w:r>
          </w:p>
        </w:tc>
        <w:tc>
          <w:tcPr>
            <w:tcW w:w="760" w:type="dxa"/>
            <w:vAlign w:val="bottom"/>
          </w:tcPr>
          <w:p>
            <w:pPr>
              <w:spacing w:after="0"/>
              <w:rPr>
                <w:sz w:val="20"/>
                <w:szCs w:val="20"/>
                <w:color w:val="auto"/>
              </w:rPr>
            </w:pPr>
          </w:p>
        </w:tc>
        <w:tc>
          <w:tcPr>
            <w:tcW w:w="2620" w:type="dxa"/>
            <w:vAlign w:val="bottom"/>
          </w:tcPr>
          <w:p>
            <w:pPr>
              <w:spacing w:after="0"/>
              <w:rPr>
                <w:sz w:val="20"/>
                <w:szCs w:val="20"/>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13</w:t>
      </w:r>
    </w:p>
    <w:p>
      <w:pPr>
        <w:sectPr>
          <w:pgSz w:w="11900" w:h="16838" w:orient="portrait"/>
          <w:cols w:equalWidth="0" w:num="2">
            <w:col w:w="3780" w:space="660"/>
            <w:col w:w="6700"/>
          </w:cols>
          <w:pgMar w:left="320" w:top="482" w:right="4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54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98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Board of</w:t>
            </w:r>
          </w:p>
        </w:tc>
        <w:tc>
          <w:tcPr>
            <w:tcW w:w="13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500" w:type="dxa"/>
            <w:vAlign w:val="bottom"/>
            <w:gridSpan w:val="2"/>
            <w:shd w:val="clear" w:color="auto" w:fill="F2F2F2"/>
          </w:tcPr>
          <w:p>
            <w:pPr>
              <w:ind w:left="16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54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rPr>
              <w:t>Summary</w:t>
            </w:r>
          </w:p>
        </w:tc>
        <w:tc>
          <w:tcPr>
            <w:tcW w:w="98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Directors</w:t>
            </w:r>
          </w:p>
        </w:tc>
        <w:tc>
          <w:tcPr>
            <w:tcW w:w="13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500" w:type="dxa"/>
            <w:vAlign w:val="bottom"/>
            <w:gridSpan w:val="2"/>
            <w:shd w:val="clear" w:color="auto" w:fill="F2F2F2"/>
          </w:tcPr>
          <w:p>
            <w:pPr>
              <w:ind w:left="16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228"/>
        </w:trPr>
        <w:tc>
          <w:tcPr>
            <w:tcW w:w="1540" w:type="dxa"/>
            <w:vAlign w:val="bottom"/>
            <w:shd w:val="clear" w:color="auto" w:fill="F2F2F2"/>
          </w:tcPr>
          <w:p>
            <w:pPr>
              <w:spacing w:after="0"/>
              <w:rPr>
                <w:sz w:val="19"/>
                <w:szCs w:val="19"/>
                <w:color w:val="auto"/>
              </w:rPr>
            </w:pPr>
          </w:p>
        </w:tc>
        <w:tc>
          <w:tcPr>
            <w:tcW w:w="98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w:t>
            </w:r>
          </w:p>
        </w:tc>
        <w:tc>
          <w:tcPr>
            <w:tcW w:w="1300" w:type="dxa"/>
            <w:vAlign w:val="bottom"/>
            <w:shd w:val="clear" w:color="auto" w:fill="F2F2F2"/>
          </w:tcPr>
          <w:p>
            <w:pPr>
              <w:spacing w:after="0"/>
              <w:rPr>
                <w:sz w:val="19"/>
                <w:szCs w:val="19"/>
                <w:color w:val="auto"/>
              </w:rPr>
            </w:pPr>
          </w:p>
        </w:tc>
        <w:tc>
          <w:tcPr>
            <w:tcW w:w="360" w:type="dxa"/>
            <w:vAlign w:val="bottom"/>
            <w:shd w:val="clear" w:color="auto" w:fill="F2F2F2"/>
          </w:tcPr>
          <w:p>
            <w:pPr>
              <w:spacing w:after="0"/>
              <w:rPr>
                <w:sz w:val="19"/>
                <w:szCs w:val="19"/>
                <w:color w:val="auto"/>
              </w:rPr>
            </w:pPr>
          </w:p>
        </w:tc>
        <w:tc>
          <w:tcPr>
            <w:tcW w:w="1140" w:type="dxa"/>
            <w:vAlign w:val="bottom"/>
            <w:shd w:val="clear" w:color="auto" w:fill="F2F2F2"/>
          </w:tcPr>
          <w:p>
            <w:pPr>
              <w:spacing w:after="0"/>
              <w:rPr>
                <w:sz w:val="19"/>
                <w:szCs w:val="19"/>
                <w:color w:val="auto"/>
              </w:rPr>
            </w:pPr>
          </w:p>
        </w:tc>
        <w:tc>
          <w:tcPr>
            <w:tcW w:w="1660" w:type="dxa"/>
            <w:vAlign w:val="bottom"/>
            <w:shd w:val="clear" w:color="auto" w:fill="F2F2F2"/>
          </w:tcPr>
          <w:p>
            <w:pPr>
              <w:spacing w:after="0"/>
              <w:rPr>
                <w:sz w:val="19"/>
                <w:szCs w:val="19"/>
                <w:color w:val="auto"/>
              </w:rPr>
            </w:pPr>
          </w:p>
        </w:tc>
        <w:tc>
          <w:tcPr>
            <w:tcW w:w="1360" w:type="dxa"/>
            <w:vAlign w:val="bottom"/>
            <w:shd w:val="clear" w:color="auto" w:fill="F2F2F2"/>
          </w:tcPr>
          <w:p>
            <w:pPr>
              <w:spacing w:after="0"/>
              <w:rPr>
                <w:sz w:val="19"/>
                <w:szCs w:val="19"/>
                <w:color w:val="auto"/>
              </w:rPr>
            </w:pPr>
          </w:p>
        </w:tc>
        <w:tc>
          <w:tcPr>
            <w:tcW w:w="1200" w:type="dxa"/>
            <w:vAlign w:val="bottom"/>
            <w:shd w:val="clear" w:color="auto" w:fill="F2F2F2"/>
          </w:tcPr>
          <w:p>
            <w:pPr>
              <w:spacing w:after="0"/>
              <w:rPr>
                <w:sz w:val="19"/>
                <w:szCs w:val="19"/>
                <w:color w:val="auto"/>
              </w:rPr>
            </w:pPr>
          </w:p>
        </w:tc>
        <w:tc>
          <w:tcPr>
            <w:tcW w:w="1480" w:type="dxa"/>
            <w:vAlign w:val="bottom"/>
            <w:shd w:val="clear" w:color="auto" w:fill="F2F2F2"/>
          </w:tcPr>
          <w:p>
            <w:pPr>
              <w:spacing w:after="0"/>
              <w:rPr>
                <w:sz w:val="19"/>
                <w:szCs w:val="19"/>
                <w:color w:val="auto"/>
              </w:rPr>
            </w:pPr>
          </w:p>
        </w:tc>
      </w:tr>
      <w:tr>
        <w:trPr>
          <w:trHeight w:val="171"/>
        </w:trPr>
        <w:tc>
          <w:tcPr>
            <w:tcW w:w="1540" w:type="dxa"/>
            <w:vAlign w:val="bottom"/>
            <w:tcBorders>
              <w:top w:val="single" w:sz="8" w:color="F2F2F2"/>
              <w:bottom w:val="single" w:sz="8" w:color="376DB5"/>
            </w:tcBorders>
          </w:tcPr>
          <w:p>
            <w:pPr>
              <w:spacing w:after="0"/>
              <w:rPr>
                <w:sz w:val="14"/>
                <w:szCs w:val="14"/>
                <w:color w:val="auto"/>
              </w:rPr>
            </w:pPr>
          </w:p>
        </w:tc>
        <w:tc>
          <w:tcPr>
            <w:tcW w:w="760" w:type="dxa"/>
            <w:vAlign w:val="bottom"/>
            <w:tcBorders>
              <w:top w:val="single" w:sz="8" w:color="376DB5"/>
              <w:bottom w:val="single" w:sz="8" w:color="376DB5"/>
            </w:tcBorders>
          </w:tcPr>
          <w:p>
            <w:pPr>
              <w:spacing w:after="0"/>
              <w:rPr>
                <w:sz w:val="14"/>
                <w:szCs w:val="14"/>
                <w:color w:val="auto"/>
              </w:rPr>
            </w:pPr>
          </w:p>
        </w:tc>
        <w:tc>
          <w:tcPr>
            <w:tcW w:w="220" w:type="dxa"/>
            <w:vAlign w:val="bottom"/>
            <w:tcBorders>
              <w:top w:val="single" w:sz="8" w:color="F2F2F2"/>
              <w:bottom w:val="single" w:sz="8" w:color="376DB5"/>
            </w:tcBorders>
          </w:tcPr>
          <w:p>
            <w:pPr>
              <w:spacing w:after="0"/>
              <w:rPr>
                <w:sz w:val="14"/>
                <w:szCs w:val="14"/>
                <w:color w:val="auto"/>
              </w:rPr>
            </w:pPr>
          </w:p>
        </w:tc>
        <w:tc>
          <w:tcPr>
            <w:tcW w:w="1300" w:type="dxa"/>
            <w:vAlign w:val="bottom"/>
            <w:tcBorders>
              <w:top w:val="single" w:sz="8" w:color="F2F2F2"/>
              <w:bottom w:val="single" w:sz="8" w:color="376DB5"/>
            </w:tcBorders>
          </w:tcPr>
          <w:p>
            <w:pPr>
              <w:spacing w:after="0"/>
              <w:rPr>
                <w:sz w:val="14"/>
                <w:szCs w:val="14"/>
                <w:color w:val="auto"/>
              </w:rPr>
            </w:pPr>
          </w:p>
        </w:tc>
        <w:tc>
          <w:tcPr>
            <w:tcW w:w="360" w:type="dxa"/>
            <w:vAlign w:val="bottom"/>
            <w:tcBorders>
              <w:top w:val="single" w:sz="8" w:color="F2F2F2"/>
              <w:bottom w:val="single" w:sz="8" w:color="376DB5"/>
            </w:tcBorders>
          </w:tcPr>
          <w:p>
            <w:pPr>
              <w:spacing w:after="0"/>
              <w:rPr>
                <w:sz w:val="14"/>
                <w:szCs w:val="14"/>
                <w:color w:val="auto"/>
              </w:rPr>
            </w:pPr>
          </w:p>
        </w:tc>
        <w:tc>
          <w:tcPr>
            <w:tcW w:w="1140" w:type="dxa"/>
            <w:vAlign w:val="bottom"/>
            <w:tcBorders>
              <w:top w:val="single" w:sz="8" w:color="F2F2F2"/>
            </w:tcBorders>
          </w:tcPr>
          <w:p>
            <w:pPr>
              <w:spacing w:after="0"/>
              <w:rPr>
                <w:sz w:val="14"/>
                <w:szCs w:val="14"/>
                <w:color w:val="auto"/>
              </w:rPr>
            </w:pPr>
          </w:p>
        </w:tc>
        <w:tc>
          <w:tcPr>
            <w:tcW w:w="1660" w:type="dxa"/>
            <w:vAlign w:val="bottom"/>
            <w:tcBorders>
              <w:top w:val="single" w:sz="8" w:color="F2F2F2"/>
            </w:tcBorders>
          </w:tcPr>
          <w:p>
            <w:pPr>
              <w:spacing w:after="0"/>
              <w:rPr>
                <w:sz w:val="14"/>
                <w:szCs w:val="14"/>
                <w:color w:val="auto"/>
              </w:rPr>
            </w:pPr>
          </w:p>
        </w:tc>
        <w:tc>
          <w:tcPr>
            <w:tcW w:w="1360" w:type="dxa"/>
            <w:vAlign w:val="bottom"/>
            <w:tcBorders>
              <w:top w:val="single" w:sz="8" w:color="F2F2F2"/>
            </w:tcBorders>
          </w:tcPr>
          <w:p>
            <w:pPr>
              <w:spacing w:after="0"/>
              <w:rPr>
                <w:sz w:val="14"/>
                <w:szCs w:val="14"/>
                <w:color w:val="auto"/>
              </w:rPr>
            </w:pPr>
          </w:p>
        </w:tc>
        <w:tc>
          <w:tcPr>
            <w:tcW w:w="1200" w:type="dxa"/>
            <w:vAlign w:val="bottom"/>
            <w:tcBorders>
              <w:top w:val="single" w:sz="8" w:color="F2F2F2"/>
            </w:tcBorders>
          </w:tcPr>
          <w:p>
            <w:pPr>
              <w:spacing w:after="0"/>
              <w:rPr>
                <w:sz w:val="14"/>
                <w:szCs w:val="14"/>
                <w:color w:val="auto"/>
              </w:rPr>
            </w:pPr>
          </w:p>
        </w:tc>
        <w:tc>
          <w:tcPr>
            <w:tcW w:w="1480" w:type="dxa"/>
            <w:vAlign w:val="bottom"/>
            <w:tcBorders>
              <w:top w:val="single" w:sz="8" w:color="F2F2F2"/>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-26670</wp:posOffset>
            </wp:positionV>
            <wp:extent cx="6995160" cy="35401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354012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04"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376DB5"/>
        </w:rPr>
        <w:t>William J. Lansing</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Director (since 2006)</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Age 67</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376DB5"/>
        </w:rPr>
        <w:t>Non-Independent</w:t>
      </w:r>
    </w:p>
    <w:p>
      <w:pPr>
        <w:spacing w:after="0" w:line="200" w:lineRule="exact"/>
        <w:rPr>
          <w:sz w:val="20"/>
          <w:szCs w:val="20"/>
          <w:color w:val="auto"/>
        </w:rPr>
      </w:pP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376DB5"/>
        </w:rPr>
        <w:t>Professional Experience</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0" w:hanging="16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Fair Isaac Corporation (since 2012)</w:t>
      </w:r>
    </w:p>
    <w:p>
      <w:pPr>
        <w:spacing w:after="0" w:line="63" w:lineRule="exact"/>
        <w:rPr>
          <w:rFonts w:ascii="Arial" w:cs="Arial" w:eastAsia="Arial" w:hAnsi="Arial"/>
          <w:sz w:val="18"/>
          <w:szCs w:val="18"/>
          <w:color w:val="auto"/>
        </w:rPr>
      </w:pPr>
    </w:p>
    <w:p>
      <w:pPr>
        <w:ind w:left="640" w:hanging="16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Infospace, Inc. (2009 to 2010)</w:t>
      </w:r>
    </w:p>
    <w:p>
      <w:pPr>
        <w:spacing w:after="0" w:line="63" w:lineRule="exact"/>
        <w:rPr>
          <w:rFonts w:ascii="Arial" w:cs="Arial" w:eastAsia="Arial" w:hAnsi="Arial"/>
          <w:sz w:val="18"/>
          <w:szCs w:val="18"/>
          <w:color w:val="auto"/>
        </w:rPr>
      </w:pPr>
    </w:p>
    <w:p>
      <w:pPr>
        <w:ind w:left="640" w:hanging="16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ValueVision Media, Inc. (2004 to 2007)</w:t>
      </w:r>
    </w:p>
    <w:p>
      <w:pPr>
        <w:spacing w:after="0" w:line="63" w:lineRule="exact"/>
        <w:rPr>
          <w:rFonts w:ascii="Arial" w:cs="Arial" w:eastAsia="Arial" w:hAnsi="Arial"/>
          <w:sz w:val="18"/>
          <w:szCs w:val="18"/>
          <w:color w:val="auto"/>
        </w:rPr>
      </w:pPr>
    </w:p>
    <w:p>
      <w:pPr>
        <w:ind w:left="640" w:hanging="16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NBC Internet, Inc. (2000 to 2001)</w:t>
      </w:r>
    </w:p>
    <w:p>
      <w:pPr>
        <w:spacing w:after="0" w:line="63" w:lineRule="exact"/>
        <w:rPr>
          <w:rFonts w:ascii="Arial" w:cs="Arial" w:eastAsia="Arial" w:hAnsi="Arial"/>
          <w:sz w:val="18"/>
          <w:szCs w:val="18"/>
          <w:color w:val="auto"/>
        </w:rPr>
      </w:pPr>
    </w:p>
    <w:p>
      <w:pPr>
        <w:ind w:left="640" w:hanging="16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Fingerhut Companies, Inc. (1998 to 2000)</w:t>
      </w:r>
    </w:p>
    <w:p>
      <w:pPr>
        <w:spacing w:after="0" w:line="117" w:lineRule="exact"/>
        <w:rPr>
          <w:sz w:val="20"/>
          <w:szCs w:val="20"/>
          <w:color w:val="auto"/>
        </w:rPr>
      </w:pPr>
    </w:p>
    <w:p>
      <w:pPr>
        <w:ind w:left="260" w:right="740"/>
        <w:spacing w:after="0" w:line="271" w:lineRule="auto"/>
        <w:rPr>
          <w:sz w:val="20"/>
          <w:szCs w:val="20"/>
          <w:color w:val="auto"/>
        </w:rPr>
      </w:pPr>
      <w:r>
        <w:rPr>
          <w:rFonts w:ascii="Arial" w:cs="Arial" w:eastAsia="Arial" w:hAnsi="Arial"/>
          <w:sz w:val="18"/>
          <w:szCs w:val="18"/>
          <w:color w:val="auto"/>
        </w:rPr>
        <w:t>General Partner at General Atlantic LLC (2001 to 2003)</w:t>
      </w:r>
    </w:p>
    <w:p>
      <w:pPr>
        <w:spacing w:after="0" w:line="59" w:lineRule="exact"/>
        <w:rPr>
          <w:sz w:val="20"/>
          <w:szCs w:val="20"/>
          <w:color w:val="auto"/>
        </w:rPr>
      </w:pPr>
    </w:p>
    <w:p>
      <w:pPr>
        <w:ind w:left="260"/>
        <w:spacing w:after="0" w:line="301" w:lineRule="auto"/>
        <w:rPr>
          <w:sz w:val="20"/>
          <w:szCs w:val="20"/>
          <w:color w:val="auto"/>
        </w:rPr>
      </w:pPr>
      <w:r>
        <w:rPr>
          <w:rFonts w:ascii="Arial" w:cs="Arial" w:eastAsia="Arial" w:hAnsi="Arial"/>
          <w:sz w:val="17"/>
          <w:szCs w:val="17"/>
          <w:color w:val="auto"/>
        </w:rPr>
        <w:t>Vice President, Corporate Business Development at General Electric Company (1996 to 1998)</w:t>
      </w:r>
    </w:p>
    <w:p>
      <w:pPr>
        <w:spacing w:after="0" w:line="36" w:lineRule="exact"/>
        <w:rPr>
          <w:sz w:val="20"/>
          <w:szCs w:val="20"/>
          <w:color w:val="auto"/>
        </w:rPr>
      </w:pPr>
    </w:p>
    <w:p>
      <w:pPr>
        <w:ind w:left="260" w:right="60"/>
        <w:spacing w:after="0" w:line="271" w:lineRule="auto"/>
        <w:rPr>
          <w:sz w:val="20"/>
          <w:szCs w:val="20"/>
          <w:color w:val="auto"/>
        </w:rPr>
      </w:pPr>
      <w:r>
        <w:rPr>
          <w:rFonts w:ascii="Arial" w:cs="Arial" w:eastAsia="Arial" w:hAnsi="Arial"/>
          <w:sz w:val="18"/>
          <w:szCs w:val="18"/>
          <w:color w:val="auto"/>
        </w:rPr>
        <w:t>Chief Operating Officer/Executive Vice President at Prodigy, Inc. (in 1996)</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Partner, McKinsey &amp; Company (1987 to 1996)</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376DB5"/>
        </w:rPr>
        <w:t>Committee Assignments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76DB5"/>
        </w:rPr>
        <w:t>Education</w:t>
      </w:r>
    </w:p>
    <w:p>
      <w:pPr>
        <w:spacing w:after="0" w:line="63" w:lineRule="exact"/>
        <w:rPr>
          <w:sz w:val="20"/>
          <w:szCs w:val="20"/>
          <w:color w:val="auto"/>
        </w:rPr>
      </w:pPr>
    </w:p>
    <w:p>
      <w:pPr>
        <w:ind w:right="2620"/>
        <w:spacing w:after="0" w:line="287" w:lineRule="auto"/>
        <w:rPr>
          <w:sz w:val="20"/>
          <w:szCs w:val="20"/>
          <w:color w:val="auto"/>
        </w:rPr>
      </w:pPr>
      <w:r>
        <w:rPr>
          <w:rFonts w:ascii="Arial" w:cs="Arial" w:eastAsia="Arial" w:hAnsi="Arial"/>
          <w:sz w:val="18"/>
          <w:szCs w:val="18"/>
          <w:color w:val="auto"/>
        </w:rPr>
        <w:t>Bachelor of Arts degree in English from Wesleyan University and a J.D. from Georgetown University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376DB5"/>
        </w:rPr>
        <w:t>Other Public Company Board Experience</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Shutterfly, Inc. (2017 to 2019)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76DB5"/>
        </w:rPr>
        <w:t>Expertise, Strategic Capabilities, and Key Competencies</w:t>
      </w:r>
    </w:p>
    <w:p>
      <w:pPr>
        <w:spacing w:after="0" w:line="200" w:lineRule="exact"/>
        <w:rPr>
          <w:sz w:val="20"/>
          <w:szCs w:val="20"/>
          <w:color w:val="auto"/>
        </w:rPr>
      </w:pPr>
    </w:p>
    <w:p>
      <w:pPr>
        <w:spacing w:after="0" w:line="363" w:lineRule="exact"/>
        <w:rPr>
          <w:sz w:val="20"/>
          <w:szCs w:val="20"/>
          <w:color w:val="auto"/>
        </w:rPr>
      </w:pPr>
    </w:p>
    <w:tbl>
      <w:tblPr>
        <w:tblLayout w:type="fixed"/>
        <w:tblInd w:w="140" w:type="dxa"/>
        <w:tblCellMar>
          <w:top w:w="0" w:type="dxa"/>
          <w:left w:w="0" w:type="dxa"/>
          <w:bottom w:w="0" w:type="dxa"/>
          <w:right w:w="0" w:type="dxa"/>
        </w:tblCellMar>
      </w:tblPr>
      <w:tr>
        <w:trPr>
          <w:trHeight w:val="239"/>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ind w:left="60"/>
              <w:spacing w:after="0"/>
              <w:rPr>
                <w:sz w:val="20"/>
                <w:szCs w:val="20"/>
                <w:color w:val="auto"/>
              </w:rPr>
            </w:pPr>
            <w:r>
              <w:rPr>
                <w:rFonts w:ascii="Arial" w:cs="Arial" w:eastAsia="Arial" w:hAnsi="Arial"/>
                <w:sz w:val="18"/>
                <w:szCs w:val="18"/>
                <w:color w:val="auto"/>
              </w:rPr>
              <w:t>Executive leadership</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1560" w:type="dxa"/>
            <w:vAlign w:val="bottom"/>
          </w:tcPr>
          <w:p>
            <w:pPr>
              <w:ind w:left="60"/>
              <w:spacing w:after="0"/>
              <w:rPr>
                <w:sz w:val="20"/>
                <w:szCs w:val="20"/>
                <w:color w:val="auto"/>
              </w:rPr>
            </w:pPr>
            <w:r>
              <w:rPr>
                <w:rFonts w:ascii="Arial" w:cs="Arial" w:eastAsia="Arial" w:hAnsi="Arial"/>
                <w:sz w:val="18"/>
                <w:szCs w:val="18"/>
                <w:color w:val="auto"/>
              </w:rPr>
              <w:t>Risk management</w:t>
            </w: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ind w:left="60"/>
              <w:spacing w:after="0"/>
              <w:rPr>
                <w:sz w:val="20"/>
                <w:szCs w:val="20"/>
                <w:color w:val="auto"/>
              </w:rPr>
            </w:pPr>
            <w:r>
              <w:rPr>
                <w:rFonts w:ascii="Arial" w:cs="Arial" w:eastAsia="Arial" w:hAnsi="Arial"/>
                <w:sz w:val="18"/>
                <w:szCs w:val="18"/>
                <w:color w:val="auto"/>
              </w:rPr>
              <w:t>Technology leadership</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1560" w:type="dxa"/>
            <w:vAlign w:val="bottom"/>
          </w:tcPr>
          <w:p>
            <w:pPr>
              <w:ind w:left="60"/>
              <w:spacing w:after="0"/>
              <w:rPr>
                <w:sz w:val="20"/>
                <w:szCs w:val="20"/>
                <w:color w:val="auto"/>
              </w:rPr>
            </w:pPr>
            <w:r>
              <w:rPr>
                <w:rFonts w:ascii="Arial" w:cs="Arial" w:eastAsia="Arial" w:hAnsi="Arial"/>
                <w:sz w:val="18"/>
                <w:szCs w:val="18"/>
                <w:color w:val="auto"/>
                <w:w w:val="98"/>
              </w:rPr>
              <w:t>Financial expertise</w:t>
            </w: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ind w:left="60"/>
              <w:spacing w:after="0"/>
              <w:rPr>
                <w:sz w:val="20"/>
                <w:szCs w:val="20"/>
                <w:color w:val="auto"/>
              </w:rPr>
            </w:pPr>
            <w:r>
              <w:rPr>
                <w:rFonts w:ascii="Arial" w:cs="Arial" w:eastAsia="Arial" w:hAnsi="Arial"/>
                <w:sz w:val="18"/>
                <w:szCs w:val="18"/>
                <w:color w:val="auto"/>
              </w:rPr>
              <w:t>Strategy development</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1560" w:type="dxa"/>
            <w:vAlign w:val="bottom"/>
          </w:tcPr>
          <w:p>
            <w:pPr>
              <w:ind w:left="60"/>
              <w:spacing w:after="0"/>
              <w:rPr>
                <w:sz w:val="20"/>
                <w:szCs w:val="20"/>
                <w:color w:val="auto"/>
              </w:rPr>
            </w:pPr>
            <w:r>
              <w:rPr>
                <w:rFonts w:ascii="Arial" w:cs="Arial" w:eastAsia="Arial" w:hAnsi="Arial"/>
                <w:sz w:val="18"/>
                <w:szCs w:val="18"/>
                <w:color w:val="auto"/>
              </w:rPr>
              <w:t>SaaS experience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1137285</wp:posOffset>
            </wp:positionV>
            <wp:extent cx="6995160" cy="27603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2760345"/>
                    </a:xfrm>
                    <a:prstGeom prst="rect">
                      <a:avLst/>
                    </a:prstGeom>
                    <a:noFill/>
                  </pic:spPr>
                </pic:pic>
              </a:graphicData>
            </a:graphic>
          </wp:anchor>
        </w:drawing>
      </w:r>
    </w:p>
    <w:p>
      <w:pPr>
        <w:spacing w:after="0" w:line="1761" w:lineRule="exact"/>
        <w:rPr>
          <w:sz w:val="20"/>
          <w:szCs w:val="20"/>
          <w:color w:val="auto"/>
        </w:rPr>
      </w:pPr>
    </w:p>
    <w:p>
      <w:pPr>
        <w:sectPr>
          <w:pgSz w:w="11900" w:h="16838" w:orient="portrait"/>
          <w:cols w:equalWidth="0" w:num="2">
            <w:col w:w="4200" w:space="340"/>
            <w:col w:w="6600"/>
          </w:cols>
          <w:pgMar w:left="320" w:top="482" w:right="4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376DB5"/>
        </w:rPr>
        <w:t>Eva Manolis</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Director (since 2018)</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Age 62</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376DB5"/>
        </w:rPr>
        <w:t>Independent</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376DB5"/>
        </w:rPr>
        <w:t>Professional Experience</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Amazon.com, Inc.</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Vice President (2005 to 2016)</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640" w:hanging="164"/>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KeepMedia Inc. (2002 to 2005)</w:t>
      </w:r>
    </w:p>
    <w:p>
      <w:pPr>
        <w:spacing w:after="0" w:line="63" w:lineRule="exact"/>
        <w:rPr>
          <w:rFonts w:ascii="Arial" w:cs="Arial" w:eastAsia="Arial" w:hAnsi="Arial"/>
          <w:sz w:val="18"/>
          <w:szCs w:val="18"/>
          <w:color w:val="auto"/>
        </w:rPr>
      </w:pPr>
    </w:p>
    <w:p>
      <w:pPr>
        <w:ind w:left="640" w:hanging="164"/>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Shutterfly, Inc. (1999 to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376DB5"/>
        </w:rPr>
        <w:t>Committee Assignments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Leadership Development and Compensation Committee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376DB5"/>
        </w:rPr>
        <w:t>Education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Bachelor of Science and Master of Science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degrees in electrical engineering from Brown</w:t>
      </w:r>
    </w:p>
    <w:p>
      <w:pPr>
        <w:spacing w:after="0"/>
        <w:rPr>
          <w:sz w:val="20"/>
          <w:szCs w:val="20"/>
          <w:color w:val="auto"/>
        </w:rPr>
      </w:pPr>
      <w:r>
        <w:rPr>
          <w:rFonts w:ascii="Arial" w:cs="Arial" w:eastAsia="Arial" w:hAnsi="Arial"/>
          <w:sz w:val="18"/>
          <w:szCs w:val="18"/>
          <w:color w:val="auto"/>
        </w:rPr>
        <w:t>University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376DB5"/>
        </w:rPr>
        <w:t>Other Public Company Board Experience</w:t>
      </w:r>
    </w:p>
    <w:p>
      <w:pPr>
        <w:spacing w:after="0" w:line="63" w:lineRule="exact"/>
        <w:rPr>
          <w:sz w:val="20"/>
          <w:szCs w:val="20"/>
          <w:color w:val="auto"/>
        </w:rPr>
      </w:pPr>
    </w:p>
    <w:p>
      <w:pPr>
        <w:ind w:left="300" w:hanging="170"/>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iRobot Corporation (since 2019)</w:t>
      </w:r>
    </w:p>
    <w:p>
      <w:pPr>
        <w:spacing w:after="0" w:line="13" w:lineRule="exact"/>
        <w:rPr>
          <w:rFonts w:ascii="Arial" w:cs="Arial" w:eastAsia="Arial" w:hAnsi="Arial"/>
          <w:sz w:val="18"/>
          <w:szCs w:val="18"/>
          <w:color w:val="auto"/>
        </w:rPr>
      </w:pPr>
    </w:p>
    <w:p>
      <w:pPr>
        <w:ind w:left="300" w:hanging="170"/>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Shutterfly, Inc. (2016 to 2019)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376DB5"/>
        </w:rPr>
        <w:t>Expertise, Strategic Capabilities, and Key Competencies</w:t>
      </w:r>
    </w:p>
    <w:p>
      <w:pPr>
        <w:spacing w:after="0" w:line="77" w:lineRule="exact"/>
        <w:rPr>
          <w:sz w:val="20"/>
          <w:szCs w:val="20"/>
          <w:color w:val="auto"/>
        </w:rPr>
      </w:pPr>
    </w:p>
    <w:p>
      <w:pPr>
        <w:ind w:left="140"/>
        <w:spacing w:after="0"/>
        <w:tabs>
          <w:tab w:leader="none" w:pos="3520" w:val="left"/>
        </w:tabs>
        <w:rPr>
          <w:sz w:val="20"/>
          <w:szCs w:val="20"/>
          <w:color w:val="auto"/>
        </w:rPr>
      </w:pPr>
      <w:r>
        <w:rPr>
          <w:rFonts w:ascii="Arial" w:cs="Arial" w:eastAsia="Arial" w:hAnsi="Arial"/>
          <w:sz w:val="18"/>
          <w:szCs w:val="18"/>
          <w:color w:val="auto"/>
        </w:rPr>
        <w:t>• Executive leadership</w:t>
      </w:r>
      <w:r>
        <w:rPr>
          <w:sz w:val="20"/>
          <w:szCs w:val="20"/>
          <w:color w:val="auto"/>
        </w:rPr>
        <w:tab/>
      </w:r>
      <w:r>
        <w:rPr>
          <w:rFonts w:ascii="Arial" w:cs="Arial" w:eastAsia="Arial" w:hAnsi="Arial"/>
          <w:sz w:val="18"/>
          <w:szCs w:val="18"/>
          <w:color w:val="auto"/>
        </w:rPr>
        <w:t>• Cloud-based software experience</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Technology leadership</w:t>
      </w:r>
    </w:p>
    <w:p>
      <w:pPr>
        <w:spacing w:after="0" w:line="200" w:lineRule="exact"/>
        <w:rPr>
          <w:sz w:val="20"/>
          <w:szCs w:val="20"/>
          <w:color w:val="auto"/>
        </w:rPr>
      </w:pPr>
    </w:p>
    <w:p>
      <w:pPr>
        <w:sectPr>
          <w:pgSz w:w="11900" w:h="16838" w:orient="portrait"/>
          <w:cols w:equalWidth="0" w:num="2">
            <w:col w:w="3820" w:space="720"/>
            <w:col w:w="6600"/>
          </w:cols>
          <w:pgMar w:left="320" w:top="482" w:right="439" w:bottom="1440" w:gutter="0" w:footer="0" w:header="0"/>
          <w:type w:val="continuous"/>
        </w:sectPr>
      </w:pPr>
    </w:p>
    <w:p>
      <w:pPr>
        <w:spacing w:after="0" w:line="147"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14</w:t>
      </w:r>
    </w:p>
    <w:p>
      <w:pPr>
        <w:sectPr>
          <w:pgSz w:w="11900" w:h="16838" w:orient="portrait"/>
          <w:cols w:equalWidth="0" w:num="1">
            <w:col w:w="11140"/>
          </w:cols>
          <w:pgMar w:left="320" w:top="482" w:right="4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54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98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Board of</w:t>
            </w:r>
          </w:p>
        </w:tc>
        <w:tc>
          <w:tcPr>
            <w:tcW w:w="13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500" w:type="dxa"/>
            <w:vAlign w:val="bottom"/>
            <w:gridSpan w:val="2"/>
            <w:shd w:val="clear" w:color="auto" w:fill="F2F2F2"/>
          </w:tcPr>
          <w:p>
            <w:pPr>
              <w:ind w:left="16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54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rPr>
              <w:t>Summary</w:t>
            </w:r>
          </w:p>
        </w:tc>
        <w:tc>
          <w:tcPr>
            <w:tcW w:w="98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Directors</w:t>
            </w:r>
          </w:p>
        </w:tc>
        <w:tc>
          <w:tcPr>
            <w:tcW w:w="13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500" w:type="dxa"/>
            <w:vAlign w:val="bottom"/>
            <w:gridSpan w:val="2"/>
            <w:shd w:val="clear" w:color="auto" w:fill="F2F2F2"/>
          </w:tcPr>
          <w:p>
            <w:pPr>
              <w:ind w:left="16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228"/>
        </w:trPr>
        <w:tc>
          <w:tcPr>
            <w:tcW w:w="1540" w:type="dxa"/>
            <w:vAlign w:val="bottom"/>
            <w:shd w:val="clear" w:color="auto" w:fill="F2F2F2"/>
          </w:tcPr>
          <w:p>
            <w:pPr>
              <w:spacing w:after="0"/>
              <w:rPr>
                <w:sz w:val="19"/>
                <w:szCs w:val="19"/>
                <w:color w:val="auto"/>
              </w:rPr>
            </w:pPr>
          </w:p>
        </w:tc>
        <w:tc>
          <w:tcPr>
            <w:tcW w:w="98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w:t>
            </w:r>
          </w:p>
        </w:tc>
        <w:tc>
          <w:tcPr>
            <w:tcW w:w="1300" w:type="dxa"/>
            <w:vAlign w:val="bottom"/>
            <w:shd w:val="clear" w:color="auto" w:fill="F2F2F2"/>
          </w:tcPr>
          <w:p>
            <w:pPr>
              <w:spacing w:after="0"/>
              <w:rPr>
                <w:sz w:val="19"/>
                <w:szCs w:val="19"/>
                <w:color w:val="auto"/>
              </w:rPr>
            </w:pPr>
          </w:p>
        </w:tc>
        <w:tc>
          <w:tcPr>
            <w:tcW w:w="360" w:type="dxa"/>
            <w:vAlign w:val="bottom"/>
            <w:shd w:val="clear" w:color="auto" w:fill="F2F2F2"/>
          </w:tcPr>
          <w:p>
            <w:pPr>
              <w:spacing w:after="0"/>
              <w:rPr>
                <w:sz w:val="19"/>
                <w:szCs w:val="19"/>
                <w:color w:val="auto"/>
              </w:rPr>
            </w:pPr>
          </w:p>
        </w:tc>
        <w:tc>
          <w:tcPr>
            <w:tcW w:w="1140" w:type="dxa"/>
            <w:vAlign w:val="bottom"/>
            <w:shd w:val="clear" w:color="auto" w:fill="F2F2F2"/>
          </w:tcPr>
          <w:p>
            <w:pPr>
              <w:spacing w:after="0"/>
              <w:rPr>
                <w:sz w:val="19"/>
                <w:szCs w:val="19"/>
                <w:color w:val="auto"/>
              </w:rPr>
            </w:pPr>
          </w:p>
        </w:tc>
        <w:tc>
          <w:tcPr>
            <w:tcW w:w="1660" w:type="dxa"/>
            <w:vAlign w:val="bottom"/>
            <w:shd w:val="clear" w:color="auto" w:fill="F2F2F2"/>
          </w:tcPr>
          <w:p>
            <w:pPr>
              <w:spacing w:after="0"/>
              <w:rPr>
                <w:sz w:val="19"/>
                <w:szCs w:val="19"/>
                <w:color w:val="auto"/>
              </w:rPr>
            </w:pPr>
          </w:p>
        </w:tc>
        <w:tc>
          <w:tcPr>
            <w:tcW w:w="1360" w:type="dxa"/>
            <w:vAlign w:val="bottom"/>
            <w:shd w:val="clear" w:color="auto" w:fill="F2F2F2"/>
          </w:tcPr>
          <w:p>
            <w:pPr>
              <w:spacing w:after="0"/>
              <w:rPr>
                <w:sz w:val="19"/>
                <w:szCs w:val="19"/>
                <w:color w:val="auto"/>
              </w:rPr>
            </w:pPr>
          </w:p>
        </w:tc>
        <w:tc>
          <w:tcPr>
            <w:tcW w:w="1200" w:type="dxa"/>
            <w:vAlign w:val="bottom"/>
            <w:shd w:val="clear" w:color="auto" w:fill="F2F2F2"/>
          </w:tcPr>
          <w:p>
            <w:pPr>
              <w:spacing w:after="0"/>
              <w:rPr>
                <w:sz w:val="19"/>
                <w:szCs w:val="19"/>
                <w:color w:val="auto"/>
              </w:rPr>
            </w:pPr>
          </w:p>
        </w:tc>
        <w:tc>
          <w:tcPr>
            <w:tcW w:w="1480" w:type="dxa"/>
            <w:vAlign w:val="bottom"/>
            <w:shd w:val="clear" w:color="auto" w:fill="F2F2F2"/>
          </w:tcPr>
          <w:p>
            <w:pPr>
              <w:spacing w:after="0"/>
              <w:rPr>
                <w:sz w:val="19"/>
                <w:szCs w:val="19"/>
                <w:color w:val="auto"/>
              </w:rPr>
            </w:pPr>
          </w:p>
        </w:tc>
      </w:tr>
      <w:tr>
        <w:trPr>
          <w:trHeight w:val="171"/>
        </w:trPr>
        <w:tc>
          <w:tcPr>
            <w:tcW w:w="1540" w:type="dxa"/>
            <w:vAlign w:val="bottom"/>
            <w:tcBorders>
              <w:top w:val="single" w:sz="8" w:color="F2F2F2"/>
              <w:bottom w:val="single" w:sz="8" w:color="376DB5"/>
            </w:tcBorders>
          </w:tcPr>
          <w:p>
            <w:pPr>
              <w:spacing w:after="0"/>
              <w:rPr>
                <w:sz w:val="14"/>
                <w:szCs w:val="14"/>
                <w:color w:val="auto"/>
              </w:rPr>
            </w:pPr>
          </w:p>
        </w:tc>
        <w:tc>
          <w:tcPr>
            <w:tcW w:w="760" w:type="dxa"/>
            <w:vAlign w:val="bottom"/>
            <w:tcBorders>
              <w:top w:val="single" w:sz="8" w:color="376DB5"/>
              <w:bottom w:val="single" w:sz="8" w:color="376DB5"/>
            </w:tcBorders>
          </w:tcPr>
          <w:p>
            <w:pPr>
              <w:spacing w:after="0"/>
              <w:rPr>
                <w:sz w:val="14"/>
                <w:szCs w:val="14"/>
                <w:color w:val="auto"/>
              </w:rPr>
            </w:pPr>
          </w:p>
        </w:tc>
        <w:tc>
          <w:tcPr>
            <w:tcW w:w="220" w:type="dxa"/>
            <w:vAlign w:val="bottom"/>
            <w:tcBorders>
              <w:top w:val="single" w:sz="8" w:color="F2F2F2"/>
              <w:bottom w:val="single" w:sz="8" w:color="376DB5"/>
            </w:tcBorders>
          </w:tcPr>
          <w:p>
            <w:pPr>
              <w:spacing w:after="0"/>
              <w:rPr>
                <w:sz w:val="14"/>
                <w:szCs w:val="14"/>
                <w:color w:val="auto"/>
              </w:rPr>
            </w:pPr>
          </w:p>
        </w:tc>
        <w:tc>
          <w:tcPr>
            <w:tcW w:w="1300" w:type="dxa"/>
            <w:vAlign w:val="bottom"/>
            <w:tcBorders>
              <w:top w:val="single" w:sz="8" w:color="F2F2F2"/>
              <w:bottom w:val="single" w:sz="8" w:color="376DB5"/>
            </w:tcBorders>
          </w:tcPr>
          <w:p>
            <w:pPr>
              <w:spacing w:after="0"/>
              <w:rPr>
                <w:sz w:val="14"/>
                <w:szCs w:val="14"/>
                <w:color w:val="auto"/>
              </w:rPr>
            </w:pPr>
          </w:p>
        </w:tc>
        <w:tc>
          <w:tcPr>
            <w:tcW w:w="360" w:type="dxa"/>
            <w:vAlign w:val="bottom"/>
            <w:tcBorders>
              <w:top w:val="single" w:sz="8" w:color="F2F2F2"/>
              <w:bottom w:val="single" w:sz="8" w:color="376DB5"/>
            </w:tcBorders>
          </w:tcPr>
          <w:p>
            <w:pPr>
              <w:spacing w:after="0"/>
              <w:rPr>
                <w:sz w:val="14"/>
                <w:szCs w:val="14"/>
                <w:color w:val="auto"/>
              </w:rPr>
            </w:pPr>
          </w:p>
        </w:tc>
        <w:tc>
          <w:tcPr>
            <w:tcW w:w="1140" w:type="dxa"/>
            <w:vAlign w:val="bottom"/>
            <w:tcBorders>
              <w:top w:val="single" w:sz="8" w:color="F2F2F2"/>
            </w:tcBorders>
          </w:tcPr>
          <w:p>
            <w:pPr>
              <w:spacing w:after="0"/>
              <w:rPr>
                <w:sz w:val="14"/>
                <w:szCs w:val="14"/>
                <w:color w:val="auto"/>
              </w:rPr>
            </w:pPr>
          </w:p>
        </w:tc>
        <w:tc>
          <w:tcPr>
            <w:tcW w:w="1660" w:type="dxa"/>
            <w:vAlign w:val="bottom"/>
            <w:tcBorders>
              <w:top w:val="single" w:sz="8" w:color="F2F2F2"/>
            </w:tcBorders>
          </w:tcPr>
          <w:p>
            <w:pPr>
              <w:spacing w:after="0"/>
              <w:rPr>
                <w:sz w:val="14"/>
                <w:szCs w:val="14"/>
                <w:color w:val="auto"/>
              </w:rPr>
            </w:pPr>
          </w:p>
        </w:tc>
        <w:tc>
          <w:tcPr>
            <w:tcW w:w="1360" w:type="dxa"/>
            <w:vAlign w:val="bottom"/>
            <w:tcBorders>
              <w:top w:val="single" w:sz="8" w:color="F2F2F2"/>
            </w:tcBorders>
          </w:tcPr>
          <w:p>
            <w:pPr>
              <w:spacing w:after="0"/>
              <w:rPr>
                <w:sz w:val="14"/>
                <w:szCs w:val="14"/>
                <w:color w:val="auto"/>
              </w:rPr>
            </w:pPr>
          </w:p>
        </w:tc>
        <w:tc>
          <w:tcPr>
            <w:tcW w:w="1200" w:type="dxa"/>
            <w:vAlign w:val="bottom"/>
            <w:tcBorders>
              <w:top w:val="single" w:sz="8" w:color="F2F2F2"/>
            </w:tcBorders>
          </w:tcPr>
          <w:p>
            <w:pPr>
              <w:spacing w:after="0"/>
              <w:rPr>
                <w:sz w:val="14"/>
                <w:szCs w:val="14"/>
                <w:color w:val="auto"/>
              </w:rPr>
            </w:pPr>
          </w:p>
        </w:tc>
        <w:tc>
          <w:tcPr>
            <w:tcW w:w="1480" w:type="dxa"/>
            <w:vAlign w:val="bottom"/>
            <w:tcBorders>
              <w:top w:val="single" w:sz="8" w:color="F2F2F2"/>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-26670</wp:posOffset>
            </wp:positionV>
            <wp:extent cx="6995160" cy="2348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234886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04"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376DB5"/>
        </w:rPr>
        <w:t>Marc F. McMorris</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Director (since 2015)</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Age 57</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376DB5"/>
        </w:rPr>
        <w:t>Independent</w:t>
      </w:r>
    </w:p>
    <w:p>
      <w:pPr>
        <w:spacing w:after="0" w:line="34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376DB5"/>
        </w:rPr>
        <w:t>Professional Experience</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Carrick Capital Partners</w:t>
      </w:r>
    </w:p>
    <w:p>
      <w:pPr>
        <w:spacing w:after="0" w:line="63" w:lineRule="exact"/>
        <w:rPr>
          <w:sz w:val="20"/>
          <w:szCs w:val="20"/>
          <w:color w:val="auto"/>
        </w:rPr>
      </w:pPr>
    </w:p>
    <w:p>
      <w:pPr>
        <w:ind w:left="640" w:right="360" w:hanging="164"/>
        <w:spacing w:after="0" w:line="271"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Co-Chief Executive Officer (since March 2021)</w:t>
      </w:r>
    </w:p>
    <w:p>
      <w:pPr>
        <w:spacing w:after="0" w:line="5" w:lineRule="exact"/>
        <w:rPr>
          <w:rFonts w:ascii="Arial" w:cs="Arial" w:eastAsia="Arial" w:hAnsi="Arial"/>
          <w:sz w:val="18"/>
          <w:szCs w:val="18"/>
          <w:color w:val="auto"/>
        </w:rPr>
      </w:pPr>
    </w:p>
    <w:p>
      <w:pPr>
        <w:ind w:left="640" w:right="20" w:hanging="164"/>
        <w:spacing w:after="0" w:line="271"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Co-Founder and Managing Director (2012 to March 2021)</w:t>
      </w:r>
    </w:p>
    <w:p>
      <w:pPr>
        <w:spacing w:after="0" w:line="59" w:lineRule="exact"/>
        <w:rPr>
          <w:sz w:val="20"/>
          <w:szCs w:val="20"/>
          <w:color w:val="auto"/>
        </w:rPr>
      </w:pPr>
    </w:p>
    <w:p>
      <w:pPr>
        <w:ind w:left="260"/>
        <w:spacing w:after="0" w:line="271" w:lineRule="auto"/>
        <w:rPr>
          <w:sz w:val="20"/>
          <w:szCs w:val="20"/>
          <w:color w:val="auto"/>
        </w:rPr>
      </w:pPr>
      <w:r>
        <w:rPr>
          <w:rFonts w:ascii="Arial" w:cs="Arial" w:eastAsia="Arial" w:hAnsi="Arial"/>
          <w:sz w:val="18"/>
          <w:szCs w:val="18"/>
          <w:color w:val="auto"/>
        </w:rPr>
        <w:t>Managing Director at General Atlantic, LLC (2003 to 2011)</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376DB5"/>
        </w:rPr>
        <w:t>Committee Assignments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376DB5"/>
        </w:rPr>
        <w:t>Education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Bachelor of Arts degree in economics from the</w:t>
      </w:r>
    </w:p>
    <w:p>
      <w:pPr>
        <w:spacing w:after="0" w:line="14" w:lineRule="exact"/>
        <w:rPr>
          <w:sz w:val="20"/>
          <w:szCs w:val="20"/>
          <w:color w:val="auto"/>
        </w:rPr>
      </w:pPr>
    </w:p>
    <w:p>
      <w:pPr>
        <w:ind w:right="760"/>
        <w:spacing w:after="0" w:line="250" w:lineRule="auto"/>
        <w:rPr>
          <w:sz w:val="20"/>
          <w:szCs w:val="20"/>
          <w:color w:val="auto"/>
        </w:rPr>
      </w:pPr>
      <w:r>
        <w:rPr>
          <w:rFonts w:ascii="Arial" w:cs="Arial" w:eastAsia="Arial" w:hAnsi="Arial"/>
          <w:sz w:val="18"/>
          <w:szCs w:val="18"/>
          <w:color w:val="auto"/>
        </w:rPr>
        <w:t>University of Pennsylvania and an M.B.A. from the Wharton School of the University of Pennsylvania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376DB5"/>
        </w:rPr>
        <w:t>Expertise, Strategic Capabilities, and Key Competencies</w:t>
      </w:r>
    </w:p>
    <w:p>
      <w:pPr>
        <w:spacing w:after="0" w:line="63" w:lineRule="exact"/>
        <w:rPr>
          <w:sz w:val="20"/>
          <w:szCs w:val="20"/>
          <w:color w:val="auto"/>
        </w:rPr>
      </w:pPr>
    </w:p>
    <w:p>
      <w:pPr>
        <w:ind w:left="140"/>
        <w:spacing w:after="0"/>
        <w:tabs>
          <w:tab w:leader="none" w:pos="3300" w:val="left"/>
        </w:tabs>
        <w:rPr>
          <w:sz w:val="20"/>
          <w:szCs w:val="20"/>
          <w:color w:val="auto"/>
        </w:rPr>
      </w:pPr>
      <w:r>
        <w:rPr>
          <w:rFonts w:ascii="Arial" w:cs="Arial" w:eastAsia="Arial" w:hAnsi="Arial"/>
          <w:sz w:val="18"/>
          <w:szCs w:val="18"/>
          <w:color w:val="auto"/>
        </w:rPr>
        <w:t>• Financial expertise</w:t>
      </w:r>
      <w:r>
        <w:rPr>
          <w:sz w:val="20"/>
          <w:szCs w:val="20"/>
          <w:color w:val="auto"/>
        </w:rPr>
        <w:tab/>
      </w:r>
      <w:r>
        <w:rPr>
          <w:rFonts w:ascii="Arial" w:cs="Arial" w:eastAsia="Arial" w:hAnsi="Arial"/>
          <w:sz w:val="18"/>
          <w:szCs w:val="18"/>
          <w:color w:val="auto"/>
        </w:rPr>
        <w:t>• Mergers &amp; Acquisitions</w:t>
      </w:r>
    </w:p>
    <w:p>
      <w:pPr>
        <w:spacing w:after="0" w:line="36" w:lineRule="exact"/>
        <w:rPr>
          <w:sz w:val="20"/>
          <w:szCs w:val="20"/>
          <w:color w:val="auto"/>
        </w:rPr>
      </w:pPr>
    </w:p>
    <w:p>
      <w:pPr>
        <w:ind w:left="140"/>
        <w:spacing w:after="0"/>
        <w:tabs>
          <w:tab w:leader="none" w:pos="3300" w:val="left"/>
        </w:tabs>
        <w:rPr>
          <w:sz w:val="20"/>
          <w:szCs w:val="20"/>
          <w:color w:val="auto"/>
        </w:rPr>
      </w:pPr>
      <w:r>
        <w:rPr>
          <w:rFonts w:ascii="Arial" w:cs="Arial" w:eastAsia="Arial" w:hAnsi="Arial"/>
          <w:sz w:val="18"/>
          <w:szCs w:val="18"/>
          <w:color w:val="auto"/>
        </w:rPr>
        <w:t>• Technology leadership</w:t>
      </w:r>
      <w:r>
        <w:rPr>
          <w:sz w:val="20"/>
          <w:szCs w:val="20"/>
          <w:color w:val="auto"/>
        </w:rPr>
        <w:tab/>
      </w:r>
      <w:r>
        <w:rPr>
          <w:rFonts w:ascii="Arial" w:cs="Arial" w:eastAsia="Arial" w:hAnsi="Arial"/>
          <w:sz w:val="18"/>
          <w:szCs w:val="18"/>
          <w:color w:val="auto"/>
        </w:rPr>
        <w:t>• Investment experience</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SaaS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446405</wp:posOffset>
            </wp:positionV>
            <wp:extent cx="6995160" cy="40887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4088765"/>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4200" w:space="340"/>
            <w:col w:w="6600"/>
          </w:cols>
          <w:pgMar w:left="320" w:top="482" w:right="4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376DB5"/>
        </w:rPr>
        <w:t>Joanna Rees</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Director (since 2015)</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Age 64</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376DB5"/>
        </w:rPr>
        <w:t>Independent</w:t>
      </w: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376DB5"/>
        </w:rPr>
        <w:t>Professional Experience</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Chairman of West Global</w:t>
      </w:r>
    </w:p>
    <w:p>
      <w:pPr>
        <w:spacing w:after="0" w:line="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(since November 2023)</w:t>
      </w:r>
    </w:p>
    <w:p>
      <w:pPr>
        <w:spacing w:after="0" w:line="99" w:lineRule="exact"/>
        <w:rPr>
          <w:sz w:val="20"/>
          <w:szCs w:val="20"/>
          <w:color w:val="auto"/>
        </w:rPr>
      </w:pPr>
    </w:p>
    <w:p>
      <w:pPr>
        <w:ind w:left="260" w:right="1040"/>
        <w:spacing w:after="0" w:line="271" w:lineRule="auto"/>
        <w:rPr>
          <w:sz w:val="20"/>
          <w:szCs w:val="20"/>
          <w:color w:val="auto"/>
        </w:rPr>
      </w:pPr>
      <w:r>
        <w:rPr>
          <w:rFonts w:ascii="Arial" w:cs="Arial" w:eastAsia="Arial" w:hAnsi="Arial"/>
          <w:sz w:val="18"/>
          <w:szCs w:val="18"/>
          <w:color w:val="auto"/>
        </w:rPr>
        <w:t>Managing Partner of West.Ventures (since 2016)</w:t>
      </w:r>
    </w:p>
    <w:p>
      <w:pPr>
        <w:spacing w:after="0" w:line="59" w:lineRule="exact"/>
        <w:rPr>
          <w:sz w:val="20"/>
          <w:szCs w:val="20"/>
          <w:color w:val="auto"/>
        </w:rPr>
      </w:pPr>
    </w:p>
    <w:p>
      <w:pPr>
        <w:ind w:left="260" w:right="160"/>
        <w:spacing w:after="0" w:line="271" w:lineRule="auto"/>
        <w:rPr>
          <w:sz w:val="20"/>
          <w:szCs w:val="20"/>
          <w:color w:val="auto"/>
        </w:rPr>
      </w:pPr>
      <w:r>
        <w:rPr>
          <w:rFonts w:ascii="Arial" w:cs="Arial" w:eastAsia="Arial" w:hAnsi="Arial"/>
          <w:sz w:val="18"/>
          <w:szCs w:val="18"/>
          <w:color w:val="auto"/>
        </w:rPr>
        <w:t>Chair of the California Workforce Development Board (since June 2025)</w:t>
      </w:r>
    </w:p>
    <w:p>
      <w:pPr>
        <w:spacing w:after="0" w:line="59" w:lineRule="exact"/>
        <w:rPr>
          <w:sz w:val="20"/>
          <w:szCs w:val="20"/>
          <w:color w:val="auto"/>
        </w:rPr>
      </w:pPr>
    </w:p>
    <w:p>
      <w:pPr>
        <w:ind w:left="260" w:right="540"/>
        <w:spacing w:after="0" w:line="271" w:lineRule="auto"/>
        <w:rPr>
          <w:sz w:val="20"/>
          <w:szCs w:val="20"/>
          <w:color w:val="auto"/>
        </w:rPr>
      </w:pPr>
      <w:r>
        <w:rPr>
          <w:rFonts w:ascii="Arial" w:cs="Arial" w:eastAsia="Arial" w:hAnsi="Arial"/>
          <w:sz w:val="18"/>
          <w:szCs w:val="18"/>
          <w:color w:val="auto"/>
        </w:rPr>
        <w:t>Managing Director of Soda Rock Partners (2012 to 2016)</w:t>
      </w:r>
    </w:p>
    <w:p>
      <w:pPr>
        <w:spacing w:after="0" w:line="59" w:lineRule="exact"/>
        <w:rPr>
          <w:sz w:val="20"/>
          <w:szCs w:val="20"/>
          <w:color w:val="auto"/>
        </w:rPr>
      </w:pPr>
    </w:p>
    <w:p>
      <w:pPr>
        <w:ind w:left="260" w:right="200"/>
        <w:spacing w:after="0" w:line="271" w:lineRule="auto"/>
        <w:rPr>
          <w:sz w:val="20"/>
          <w:szCs w:val="20"/>
          <w:color w:val="auto"/>
        </w:rPr>
      </w:pPr>
      <w:r>
        <w:rPr>
          <w:rFonts w:ascii="Arial" w:cs="Arial" w:eastAsia="Arial" w:hAnsi="Arial"/>
          <w:sz w:val="18"/>
          <w:szCs w:val="18"/>
          <w:color w:val="auto"/>
        </w:rPr>
        <w:t>Founded VSP Capital (in 1996) and served as Managing Partner (1996 to 2011)</w:t>
      </w:r>
    </w:p>
    <w:p>
      <w:pPr>
        <w:spacing w:after="0" w:line="59" w:lineRule="exact"/>
        <w:rPr>
          <w:sz w:val="20"/>
          <w:szCs w:val="20"/>
          <w:color w:val="auto"/>
        </w:rPr>
      </w:pPr>
    </w:p>
    <w:p>
      <w:pPr>
        <w:ind w:left="260"/>
        <w:spacing w:after="0" w:line="253" w:lineRule="auto"/>
        <w:rPr>
          <w:sz w:val="20"/>
          <w:szCs w:val="20"/>
          <w:color w:val="auto"/>
        </w:rPr>
      </w:pPr>
      <w:r>
        <w:rPr>
          <w:rFonts w:ascii="Arial" w:cs="Arial" w:eastAsia="Arial" w:hAnsi="Arial"/>
          <w:sz w:val="18"/>
          <w:szCs w:val="18"/>
          <w:color w:val="auto"/>
        </w:rPr>
        <w:t>Various senior marketing management positions, including head of new product development at Groupe Danone (1984 to 1989)</w:t>
      </w:r>
    </w:p>
    <w:p>
      <w:pPr>
        <w:spacing w:after="0" w:line="74" w:lineRule="exact"/>
        <w:rPr>
          <w:sz w:val="20"/>
          <w:szCs w:val="20"/>
          <w:color w:val="auto"/>
        </w:rPr>
      </w:pPr>
    </w:p>
    <w:p>
      <w:pPr>
        <w:ind w:left="260" w:right="340"/>
        <w:spacing w:after="0" w:line="271" w:lineRule="auto"/>
        <w:rPr>
          <w:sz w:val="20"/>
          <w:szCs w:val="20"/>
          <w:color w:val="auto"/>
        </w:rPr>
      </w:pPr>
      <w:r>
        <w:rPr>
          <w:rFonts w:ascii="Arial" w:cs="Arial" w:eastAsia="Arial" w:hAnsi="Arial"/>
          <w:sz w:val="18"/>
          <w:szCs w:val="18"/>
          <w:color w:val="auto"/>
        </w:rPr>
        <w:t>Benton &amp; Bowles (now DMB&amp;B), working on multiple consumer brands (1983 to 1984)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376DB5"/>
        </w:rPr>
        <w:t>Committee Assignments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Chair</w:t>
      </w:r>
    </w:p>
    <w:p>
      <w:pPr>
        <w:spacing w:after="0" w:line="1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Leadership Development and Compensation Committee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Member</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Governance, Nominating and Executive Committee</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376DB5"/>
        </w:rPr>
        <w:t>Education</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Bachelor of Science degree in psychology from</w:t>
      </w:r>
    </w:p>
    <w:p>
      <w:pPr>
        <w:spacing w:after="0" w:line="14" w:lineRule="exact"/>
        <w:rPr>
          <w:sz w:val="20"/>
          <w:szCs w:val="20"/>
          <w:color w:val="auto"/>
        </w:rPr>
      </w:pPr>
    </w:p>
    <w:p>
      <w:pPr>
        <w:ind w:left="240" w:right="700"/>
        <w:spacing w:after="0" w:line="250" w:lineRule="auto"/>
        <w:rPr>
          <w:sz w:val="20"/>
          <w:szCs w:val="20"/>
          <w:color w:val="auto"/>
        </w:rPr>
      </w:pPr>
      <w:r>
        <w:rPr>
          <w:rFonts w:ascii="Arial" w:cs="Arial" w:eastAsia="Arial" w:hAnsi="Arial"/>
          <w:sz w:val="18"/>
          <w:szCs w:val="18"/>
          <w:color w:val="auto"/>
        </w:rPr>
        <w:t>Duke University and an M.B.A. from Columbia Business School, Columbia University</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376DB5"/>
        </w:rPr>
        <w:t>Expertise, Strategic Capabilities, and Key Competencies</w:t>
      </w:r>
    </w:p>
    <w:p>
      <w:pPr>
        <w:spacing w:after="0" w:line="50" w:lineRule="exact"/>
        <w:rPr>
          <w:sz w:val="20"/>
          <w:szCs w:val="20"/>
          <w:color w:val="auto"/>
        </w:rPr>
      </w:pPr>
    </w:p>
    <w:tbl>
      <w:tblPr>
        <w:tblLayout w:type="fixed"/>
        <w:tblInd w:w="360" w:type="dxa"/>
        <w:tblCellMar>
          <w:top w:w="0" w:type="dxa"/>
          <w:left w:w="0" w:type="dxa"/>
          <w:bottom w:w="0" w:type="dxa"/>
          <w:right w:w="0" w:type="dxa"/>
        </w:tblCellMar>
      </w:tblPr>
      <w:tr>
        <w:trPr>
          <w:trHeight w:val="239"/>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420" w:type="dxa"/>
            <w:vAlign w:val="bottom"/>
          </w:tcPr>
          <w:p>
            <w:pPr>
              <w:ind w:left="60"/>
              <w:spacing w:after="0"/>
              <w:rPr>
                <w:sz w:val="20"/>
                <w:szCs w:val="20"/>
                <w:color w:val="auto"/>
              </w:rPr>
            </w:pPr>
            <w:r>
              <w:rPr>
                <w:rFonts w:ascii="Arial" w:cs="Arial" w:eastAsia="Arial" w:hAnsi="Arial"/>
                <w:sz w:val="18"/>
                <w:szCs w:val="18"/>
                <w:color w:val="auto"/>
              </w:rPr>
              <w:t>Investment experience</w:t>
            </w:r>
          </w:p>
        </w:tc>
        <w:tc>
          <w:tcPr>
            <w:tcW w:w="660" w:type="dxa"/>
            <w:vAlign w:val="bottom"/>
          </w:tcPr>
          <w:p>
            <w:pPr>
              <w:ind w:left="540"/>
              <w:spacing w:after="0"/>
              <w:rPr>
                <w:sz w:val="20"/>
                <w:szCs w:val="20"/>
                <w:color w:val="auto"/>
              </w:rPr>
            </w:pPr>
            <w:r>
              <w:rPr>
                <w:rFonts w:ascii="Arial" w:cs="Arial" w:eastAsia="Arial" w:hAnsi="Arial"/>
                <w:sz w:val="18"/>
                <w:szCs w:val="18"/>
                <w:color w:val="auto"/>
              </w:rPr>
              <w:t>•</w:t>
            </w:r>
          </w:p>
        </w:tc>
        <w:tc>
          <w:tcPr>
            <w:tcW w:w="2640" w:type="dxa"/>
            <w:vAlign w:val="bottom"/>
          </w:tcPr>
          <w:p>
            <w:pPr>
              <w:ind w:left="40"/>
              <w:spacing w:after="0"/>
              <w:rPr>
                <w:sz w:val="20"/>
                <w:szCs w:val="20"/>
                <w:color w:val="auto"/>
              </w:rPr>
            </w:pPr>
            <w:r>
              <w:rPr>
                <w:rFonts w:ascii="Arial" w:cs="Arial" w:eastAsia="Arial" w:hAnsi="Arial"/>
                <w:sz w:val="18"/>
                <w:szCs w:val="18"/>
                <w:color w:val="auto"/>
              </w:rPr>
              <w:t>Financial expertise</w:t>
            </w:r>
          </w:p>
        </w:tc>
      </w:tr>
      <w:tr>
        <w:trPr>
          <w:trHeight w:val="243"/>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420" w:type="dxa"/>
            <w:vAlign w:val="bottom"/>
          </w:tcPr>
          <w:p>
            <w:pPr>
              <w:ind w:left="60"/>
              <w:spacing w:after="0"/>
              <w:rPr>
                <w:sz w:val="20"/>
                <w:szCs w:val="20"/>
                <w:color w:val="auto"/>
              </w:rPr>
            </w:pPr>
            <w:r>
              <w:rPr>
                <w:rFonts w:ascii="Arial" w:cs="Arial" w:eastAsia="Arial" w:hAnsi="Arial"/>
                <w:sz w:val="18"/>
                <w:szCs w:val="18"/>
                <w:color w:val="auto"/>
              </w:rPr>
              <w:t>Executive leadership</w:t>
            </w:r>
          </w:p>
        </w:tc>
        <w:tc>
          <w:tcPr>
            <w:tcW w:w="660" w:type="dxa"/>
            <w:vAlign w:val="bottom"/>
          </w:tcPr>
          <w:p>
            <w:pPr>
              <w:ind w:left="540"/>
              <w:spacing w:after="0"/>
              <w:rPr>
                <w:sz w:val="20"/>
                <w:szCs w:val="20"/>
                <w:color w:val="auto"/>
              </w:rPr>
            </w:pPr>
            <w:r>
              <w:rPr>
                <w:rFonts w:ascii="Arial" w:cs="Arial" w:eastAsia="Arial" w:hAnsi="Arial"/>
                <w:sz w:val="18"/>
                <w:szCs w:val="18"/>
                <w:color w:val="auto"/>
              </w:rPr>
              <w:t>•</w:t>
            </w:r>
          </w:p>
        </w:tc>
        <w:tc>
          <w:tcPr>
            <w:tcW w:w="2640" w:type="dxa"/>
            <w:vAlign w:val="bottom"/>
          </w:tcPr>
          <w:p>
            <w:pPr>
              <w:ind w:left="40"/>
              <w:spacing w:after="0"/>
              <w:rPr>
                <w:sz w:val="20"/>
                <w:szCs w:val="20"/>
                <w:color w:val="auto"/>
              </w:rPr>
            </w:pPr>
            <w:r>
              <w:rPr>
                <w:rFonts w:ascii="Arial" w:cs="Arial" w:eastAsia="Arial" w:hAnsi="Arial"/>
                <w:sz w:val="18"/>
                <w:szCs w:val="18"/>
                <w:color w:val="auto"/>
                <w:w w:val="99"/>
              </w:rPr>
              <w:t>Sales and marketing intelligence</w:t>
            </w:r>
          </w:p>
        </w:tc>
      </w:tr>
      <w:tr>
        <w:trPr>
          <w:trHeight w:val="243"/>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420" w:type="dxa"/>
            <w:vAlign w:val="bottom"/>
          </w:tcPr>
          <w:p>
            <w:pPr>
              <w:ind w:left="60"/>
              <w:spacing w:after="0"/>
              <w:rPr>
                <w:sz w:val="20"/>
                <w:szCs w:val="20"/>
                <w:color w:val="auto"/>
              </w:rPr>
            </w:pPr>
            <w:r>
              <w:rPr>
                <w:rFonts w:ascii="Arial" w:cs="Arial" w:eastAsia="Arial" w:hAnsi="Arial"/>
                <w:sz w:val="18"/>
                <w:szCs w:val="18"/>
                <w:color w:val="auto"/>
              </w:rPr>
              <w:t>Technology leadership</w:t>
            </w:r>
          </w:p>
        </w:tc>
        <w:tc>
          <w:tcPr>
            <w:tcW w:w="660" w:type="dxa"/>
            <w:vAlign w:val="bottom"/>
          </w:tcPr>
          <w:p>
            <w:pPr>
              <w:spacing w:after="0"/>
              <w:rPr>
                <w:sz w:val="21"/>
                <w:szCs w:val="21"/>
                <w:color w:val="auto"/>
              </w:rPr>
            </w:pPr>
          </w:p>
        </w:tc>
        <w:tc>
          <w:tcPr>
            <w:tcW w:w="2640" w:type="dxa"/>
            <w:vAlign w:val="bottom"/>
          </w:tcPr>
          <w:p>
            <w:pPr>
              <w:spacing w:after="0"/>
              <w:rPr>
                <w:sz w:val="21"/>
                <w:szCs w:val="2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702" w:lineRule="exact"/>
        <w:rPr>
          <w:sz w:val="20"/>
          <w:szCs w:val="20"/>
          <w:color w:val="auto"/>
        </w:rPr>
      </w:pPr>
    </w:p>
    <w:p>
      <w:pPr>
        <w:sectPr>
          <w:pgSz w:w="11900" w:h="16838" w:orient="portrait"/>
          <w:cols w:equalWidth="0" w:num="2">
            <w:col w:w="4140" w:space="160"/>
            <w:col w:w="6840"/>
          </w:cols>
          <w:pgMar w:left="320" w:top="482" w:right="43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15</w:t>
      </w:r>
    </w:p>
    <w:p>
      <w:pPr>
        <w:sectPr>
          <w:pgSz w:w="11900" w:h="16838" w:orient="portrait"/>
          <w:cols w:equalWidth="0" w:num="1">
            <w:col w:w="11140"/>
          </w:cols>
          <w:pgMar w:left="320" w:top="482" w:right="4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30" w:type="dxa"/>
        <w:tblCellMar>
          <w:top w:w="0" w:type="dxa"/>
          <w:left w:w="0" w:type="dxa"/>
          <w:bottom w:w="0" w:type="dxa"/>
          <w:right w:w="0" w:type="dxa"/>
        </w:tblCellMar>
      </w:tblPr>
      <w:tr>
        <w:trPr>
          <w:trHeight w:val="764"/>
        </w:trPr>
        <w:tc>
          <w:tcPr>
            <w:tcW w:w="1540" w:type="dxa"/>
            <w:vAlign w:val="bottom"/>
            <w:tcBorders>
              <w:left w:val="single" w:sz="8" w:color="F2F2F2"/>
            </w:tcBorders>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Board of</w:t>
            </w:r>
          </w:p>
        </w:tc>
        <w:tc>
          <w:tcPr>
            <w:tcW w:w="1340" w:type="dxa"/>
            <w:vAlign w:val="bottom"/>
            <w:shd w:val="clear" w:color="auto" w:fill="F2F2F2"/>
          </w:tcPr>
          <w:p>
            <w:pPr>
              <w:ind w:left="120"/>
              <w:spacing w:after="0"/>
              <w:rPr>
                <w:sz w:val="20"/>
                <w:szCs w:val="20"/>
                <w:color w:val="auto"/>
              </w:rPr>
            </w:pPr>
            <w:r>
              <w:rPr>
                <w:rFonts w:ascii="Arial" w:cs="Arial" w:eastAsia="Arial" w:hAnsi="Arial"/>
                <w:sz w:val="18"/>
                <w:szCs w:val="18"/>
                <w:color w:val="auto"/>
              </w:rPr>
              <w:t>Corporate</w:t>
            </w:r>
          </w:p>
        </w:tc>
        <w:tc>
          <w:tcPr>
            <w:tcW w:w="1480" w:type="dxa"/>
            <w:vAlign w:val="bottom"/>
            <w:gridSpan w:val="3"/>
            <w:shd w:val="clear" w:color="auto" w:fill="F2F2F2"/>
          </w:tcPr>
          <w:p>
            <w:pPr>
              <w:ind w:left="60"/>
              <w:spacing w:after="0"/>
              <w:rPr>
                <w:sz w:val="20"/>
                <w:szCs w:val="20"/>
                <w:color w:val="auto"/>
              </w:rPr>
            </w:pPr>
            <w:r>
              <w:rPr>
                <w:rFonts w:ascii="Arial" w:cs="Arial" w:eastAsia="Arial" w:hAnsi="Arial"/>
                <w:sz w:val="18"/>
                <w:szCs w:val="18"/>
                <w:color w:val="auto"/>
              </w:rPr>
              <w:t>Executive</w:t>
            </w:r>
          </w:p>
        </w:tc>
        <w:tc>
          <w:tcPr>
            <w:tcW w:w="1580" w:type="dxa"/>
            <w:vAlign w:val="bottom"/>
            <w:shd w:val="clear" w:color="auto" w:fill="F2F2F2"/>
          </w:tcPr>
          <w:p>
            <w:pPr>
              <w:ind w:left="100"/>
              <w:spacing w:after="0"/>
              <w:rPr>
                <w:sz w:val="20"/>
                <w:szCs w:val="20"/>
                <w:color w:val="auto"/>
              </w:rPr>
            </w:pPr>
            <w:r>
              <w:rPr>
                <w:rFonts w:ascii="Arial" w:cs="Arial" w:eastAsia="Arial" w:hAnsi="Arial"/>
                <w:sz w:val="18"/>
                <w:szCs w:val="18"/>
                <w:color w:val="auto"/>
              </w:rPr>
              <w:t>Audit Committee</w:t>
            </w:r>
          </w:p>
        </w:tc>
        <w:tc>
          <w:tcPr>
            <w:tcW w:w="8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680" w:type="dxa"/>
            <w:vAlign w:val="bottom"/>
            <w:shd w:val="clear" w:color="auto" w:fill="F2F2F2"/>
          </w:tcPr>
          <w:p>
            <w:pPr>
              <w:spacing w:after="0"/>
              <w:rPr>
                <w:sz w:val="24"/>
                <w:szCs w:val="24"/>
                <w:color w:val="auto"/>
              </w:rPr>
            </w:pPr>
          </w:p>
        </w:tc>
        <w:tc>
          <w:tcPr>
            <w:tcW w:w="1140" w:type="dxa"/>
            <w:vAlign w:val="bottom"/>
            <w:shd w:val="clear" w:color="auto" w:fill="F2F2F2"/>
          </w:tcPr>
          <w:p>
            <w:pPr>
              <w:spacing w:after="0"/>
              <w:rPr>
                <w:sz w:val="20"/>
                <w:szCs w:val="20"/>
                <w:color w:val="auto"/>
              </w:rPr>
            </w:pPr>
            <w:r>
              <w:rPr>
                <w:rFonts w:ascii="Arial" w:cs="Arial" w:eastAsia="Arial" w:hAnsi="Arial"/>
                <w:sz w:val="18"/>
                <w:szCs w:val="18"/>
                <w:color w:val="auto"/>
              </w:rPr>
              <w:t>Stock</w:t>
            </w:r>
          </w:p>
        </w:tc>
        <w:tc>
          <w:tcPr>
            <w:tcW w:w="1360" w:type="dxa"/>
            <w:vAlign w:val="bottom"/>
            <w:shd w:val="clear" w:color="auto" w:fill="F2F2F2"/>
          </w:tcPr>
          <w:p>
            <w:pPr>
              <w:ind w:left="2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03"/>
        </w:trPr>
        <w:tc>
          <w:tcPr>
            <w:tcW w:w="1540" w:type="dxa"/>
            <w:vAlign w:val="bottom"/>
            <w:tcBorders>
              <w:left w:val="single" w:sz="8" w:color="F2F2F2"/>
            </w:tcBorders>
            <w:shd w:val="clear" w:color="auto" w:fill="F2F2F2"/>
          </w:tcPr>
          <w:p>
            <w:pPr>
              <w:ind w:left="640"/>
              <w:spacing w:after="0" w:line="202" w:lineRule="exact"/>
              <w:rPr>
                <w:sz w:val="20"/>
                <w:szCs w:val="20"/>
                <w:color w:val="auto"/>
              </w:rPr>
            </w:pPr>
            <w:r>
              <w:rPr>
                <w:rFonts w:ascii="Arial" w:cs="Arial" w:eastAsia="Arial" w:hAnsi="Arial"/>
                <w:sz w:val="18"/>
                <w:szCs w:val="18"/>
                <w:color w:val="auto"/>
              </w:rPr>
              <w:t>Summary</w:t>
            </w:r>
          </w:p>
        </w:tc>
        <w:tc>
          <w:tcPr>
            <w:tcW w:w="10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Directors</w:t>
            </w:r>
          </w:p>
        </w:tc>
        <w:tc>
          <w:tcPr>
            <w:tcW w:w="134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Governance</w:t>
            </w:r>
          </w:p>
        </w:tc>
        <w:tc>
          <w:tcPr>
            <w:tcW w:w="1480" w:type="dxa"/>
            <w:vAlign w:val="bottom"/>
            <w:gridSpan w:val="3"/>
            <w:shd w:val="clear" w:color="auto" w:fill="F2F2F2"/>
          </w:tcPr>
          <w:p>
            <w:pPr>
              <w:ind w:left="60"/>
              <w:spacing w:after="0" w:line="202" w:lineRule="exact"/>
              <w:rPr>
                <w:sz w:val="20"/>
                <w:szCs w:val="20"/>
                <w:color w:val="auto"/>
              </w:rPr>
            </w:pPr>
            <w:r>
              <w:rPr>
                <w:rFonts w:ascii="Arial" w:cs="Arial" w:eastAsia="Arial" w:hAnsi="Arial"/>
                <w:sz w:val="18"/>
                <w:szCs w:val="18"/>
                <w:color w:val="auto"/>
              </w:rPr>
              <w:t>Compensation</w:t>
            </w:r>
          </w:p>
        </w:tc>
        <w:tc>
          <w:tcPr>
            <w:tcW w:w="1580" w:type="dxa"/>
            <w:vAlign w:val="bottom"/>
            <w:shd w:val="clear" w:color="auto" w:fill="F2F2F2"/>
          </w:tcPr>
          <w:p>
            <w:pPr>
              <w:ind w:left="100"/>
              <w:spacing w:after="0" w:line="202" w:lineRule="exact"/>
              <w:rPr>
                <w:sz w:val="20"/>
                <w:szCs w:val="20"/>
                <w:color w:val="auto"/>
              </w:rPr>
            </w:pPr>
            <w:r>
              <w:rPr>
                <w:rFonts w:ascii="Arial" w:cs="Arial" w:eastAsia="Arial" w:hAnsi="Arial"/>
                <w:sz w:val="18"/>
                <w:szCs w:val="18"/>
                <w:color w:val="auto"/>
              </w:rPr>
              <w:t>Matters</w:t>
            </w:r>
          </w:p>
        </w:tc>
        <w:tc>
          <w:tcPr>
            <w:tcW w:w="1540" w:type="dxa"/>
            <w:vAlign w:val="bottom"/>
            <w:gridSpan w:val="2"/>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140" w:type="dxa"/>
            <w:vAlign w:val="bottom"/>
            <w:shd w:val="clear" w:color="auto" w:fill="F2F2F2"/>
          </w:tcPr>
          <w:p>
            <w:pPr>
              <w:spacing w:after="0" w:line="202" w:lineRule="exact"/>
              <w:rPr>
                <w:sz w:val="20"/>
                <w:szCs w:val="20"/>
                <w:color w:val="auto"/>
              </w:rPr>
            </w:pPr>
            <w:r>
              <w:rPr>
                <w:rFonts w:ascii="Arial" w:cs="Arial" w:eastAsia="Arial" w:hAnsi="Arial"/>
                <w:sz w:val="18"/>
                <w:szCs w:val="18"/>
                <w:color w:val="auto"/>
              </w:rPr>
              <w:t>Ownership</w:t>
            </w:r>
          </w:p>
        </w:tc>
        <w:tc>
          <w:tcPr>
            <w:tcW w:w="1360" w:type="dxa"/>
            <w:vAlign w:val="bottom"/>
            <w:shd w:val="clear" w:color="auto" w:fill="F2F2F2"/>
          </w:tcPr>
          <w:p>
            <w:pPr>
              <w:ind w:left="20"/>
              <w:spacing w:after="0" w:line="202" w:lineRule="exact"/>
              <w:rPr>
                <w:sz w:val="20"/>
                <w:szCs w:val="20"/>
                <w:color w:val="auto"/>
              </w:rPr>
            </w:pPr>
            <w:r>
              <w:rPr>
                <w:rFonts w:ascii="Arial" w:cs="Arial" w:eastAsia="Arial" w:hAnsi="Arial"/>
                <w:sz w:val="18"/>
                <w:szCs w:val="18"/>
                <w:color w:val="auto"/>
              </w:rPr>
              <w:t>Matters</w:t>
            </w:r>
          </w:p>
        </w:tc>
        <w:tc>
          <w:tcPr>
            <w:tcW w:w="0" w:type="dxa"/>
            <w:vAlign w:val="bottom"/>
          </w:tcPr>
          <w:p>
            <w:pPr>
              <w:spacing w:after="0"/>
              <w:rPr>
                <w:sz w:val="1"/>
                <w:szCs w:val="1"/>
                <w:color w:val="auto"/>
              </w:rPr>
            </w:pPr>
          </w:p>
        </w:tc>
      </w:tr>
      <w:tr>
        <w:trPr>
          <w:trHeight w:val="228"/>
        </w:trPr>
        <w:tc>
          <w:tcPr>
            <w:tcW w:w="1540" w:type="dxa"/>
            <w:vAlign w:val="bottom"/>
            <w:tcBorders>
              <w:left w:val="single" w:sz="8" w:color="F2F2F2"/>
            </w:tcBorders>
            <w:shd w:val="clear" w:color="auto" w:fill="F2F2F2"/>
          </w:tcPr>
          <w:p>
            <w:pPr>
              <w:spacing w:after="0"/>
              <w:rPr>
                <w:sz w:val="19"/>
                <w:szCs w:val="19"/>
                <w:color w:val="auto"/>
              </w:rPr>
            </w:pPr>
          </w:p>
        </w:tc>
        <w:tc>
          <w:tcPr>
            <w:tcW w:w="10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w:t>
            </w:r>
          </w:p>
        </w:tc>
        <w:tc>
          <w:tcPr>
            <w:tcW w:w="1340" w:type="dxa"/>
            <w:vAlign w:val="bottom"/>
            <w:shd w:val="clear" w:color="auto" w:fill="F2F2F2"/>
          </w:tcPr>
          <w:p>
            <w:pPr>
              <w:spacing w:after="0"/>
              <w:rPr>
                <w:sz w:val="19"/>
                <w:szCs w:val="19"/>
                <w:color w:val="auto"/>
              </w:rPr>
            </w:pPr>
          </w:p>
        </w:tc>
        <w:tc>
          <w:tcPr>
            <w:tcW w:w="260" w:type="dxa"/>
            <w:vAlign w:val="bottom"/>
            <w:tcBorders>
              <w:right w:val="single" w:sz="8" w:color="F2F2F2"/>
            </w:tcBorders>
            <w:shd w:val="clear" w:color="auto" w:fill="F2F2F2"/>
          </w:tcPr>
          <w:p>
            <w:pPr>
              <w:spacing w:after="0"/>
              <w:rPr>
                <w:sz w:val="19"/>
                <w:szCs w:val="19"/>
                <w:color w:val="auto"/>
              </w:rPr>
            </w:pPr>
          </w:p>
        </w:tc>
        <w:tc>
          <w:tcPr>
            <w:tcW w:w="480" w:type="dxa"/>
            <w:vAlign w:val="bottom"/>
            <w:shd w:val="clear" w:color="auto" w:fill="F2F2F2"/>
          </w:tcPr>
          <w:p>
            <w:pPr>
              <w:spacing w:after="0"/>
              <w:rPr>
                <w:sz w:val="19"/>
                <w:szCs w:val="19"/>
                <w:color w:val="auto"/>
              </w:rPr>
            </w:pPr>
          </w:p>
        </w:tc>
        <w:tc>
          <w:tcPr>
            <w:tcW w:w="740" w:type="dxa"/>
            <w:vAlign w:val="bottom"/>
            <w:shd w:val="clear" w:color="auto" w:fill="F2F2F2"/>
          </w:tcPr>
          <w:p>
            <w:pPr>
              <w:spacing w:after="0"/>
              <w:rPr>
                <w:sz w:val="19"/>
                <w:szCs w:val="19"/>
                <w:color w:val="auto"/>
              </w:rPr>
            </w:pPr>
          </w:p>
        </w:tc>
        <w:tc>
          <w:tcPr>
            <w:tcW w:w="1580" w:type="dxa"/>
            <w:vAlign w:val="bottom"/>
            <w:shd w:val="clear" w:color="auto" w:fill="F2F2F2"/>
          </w:tcPr>
          <w:p>
            <w:pPr>
              <w:spacing w:after="0"/>
              <w:rPr>
                <w:sz w:val="19"/>
                <w:szCs w:val="19"/>
                <w:color w:val="auto"/>
              </w:rPr>
            </w:pPr>
          </w:p>
        </w:tc>
        <w:tc>
          <w:tcPr>
            <w:tcW w:w="860" w:type="dxa"/>
            <w:vAlign w:val="bottom"/>
            <w:shd w:val="clear" w:color="auto" w:fill="F2F2F2"/>
          </w:tcPr>
          <w:p>
            <w:pPr>
              <w:spacing w:after="0"/>
              <w:rPr>
                <w:sz w:val="19"/>
                <w:szCs w:val="19"/>
                <w:color w:val="auto"/>
              </w:rPr>
            </w:pPr>
          </w:p>
        </w:tc>
        <w:tc>
          <w:tcPr>
            <w:tcW w:w="680" w:type="dxa"/>
            <w:vAlign w:val="bottom"/>
            <w:shd w:val="clear" w:color="auto" w:fill="F2F2F2"/>
          </w:tcPr>
          <w:p>
            <w:pPr>
              <w:spacing w:after="0"/>
              <w:rPr>
                <w:sz w:val="19"/>
                <w:szCs w:val="19"/>
                <w:color w:val="auto"/>
              </w:rPr>
            </w:pPr>
          </w:p>
        </w:tc>
        <w:tc>
          <w:tcPr>
            <w:tcW w:w="1140" w:type="dxa"/>
            <w:vAlign w:val="bottom"/>
            <w:shd w:val="clear" w:color="auto" w:fill="F2F2F2"/>
          </w:tcPr>
          <w:p>
            <w:pPr>
              <w:spacing w:after="0"/>
              <w:rPr>
                <w:sz w:val="19"/>
                <w:szCs w:val="19"/>
                <w:color w:val="auto"/>
              </w:rPr>
            </w:pPr>
          </w:p>
        </w:tc>
        <w:tc>
          <w:tcPr>
            <w:tcW w:w="136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540" w:type="dxa"/>
            <w:vAlign w:val="bottom"/>
            <w:tcBorders>
              <w:top w:val="single" w:sz="8" w:color="F2F2F2"/>
              <w:bottom w:val="single" w:sz="8" w:color="376DB5"/>
            </w:tcBorders>
          </w:tcPr>
          <w:p>
            <w:pPr>
              <w:spacing w:after="0"/>
              <w:rPr>
                <w:sz w:val="14"/>
                <w:szCs w:val="14"/>
                <w:color w:val="auto"/>
              </w:rPr>
            </w:pPr>
          </w:p>
        </w:tc>
        <w:tc>
          <w:tcPr>
            <w:tcW w:w="760" w:type="dxa"/>
            <w:vAlign w:val="bottom"/>
            <w:tcBorders>
              <w:top w:val="single" w:sz="8" w:color="376DB5"/>
              <w:bottom w:val="single" w:sz="8" w:color="376DB5"/>
            </w:tcBorders>
          </w:tcPr>
          <w:p>
            <w:pPr>
              <w:spacing w:after="0"/>
              <w:rPr>
                <w:sz w:val="14"/>
                <w:szCs w:val="14"/>
                <w:color w:val="auto"/>
              </w:rPr>
            </w:pPr>
          </w:p>
        </w:tc>
        <w:tc>
          <w:tcPr>
            <w:tcW w:w="280" w:type="dxa"/>
            <w:vAlign w:val="bottom"/>
            <w:tcBorders>
              <w:top w:val="single" w:sz="8" w:color="F2F2F2"/>
              <w:bottom w:val="single" w:sz="8" w:color="376DB5"/>
            </w:tcBorders>
          </w:tcPr>
          <w:p>
            <w:pPr>
              <w:spacing w:after="0"/>
              <w:rPr>
                <w:sz w:val="14"/>
                <w:szCs w:val="14"/>
                <w:color w:val="auto"/>
              </w:rPr>
            </w:pPr>
          </w:p>
        </w:tc>
        <w:tc>
          <w:tcPr>
            <w:tcW w:w="1340" w:type="dxa"/>
            <w:vAlign w:val="bottom"/>
            <w:tcBorders>
              <w:top w:val="single" w:sz="8" w:color="F2F2F2"/>
              <w:bottom w:val="single" w:sz="8" w:color="376DB5"/>
            </w:tcBorders>
          </w:tcPr>
          <w:p>
            <w:pPr>
              <w:spacing w:after="0"/>
              <w:rPr>
                <w:sz w:val="14"/>
                <w:szCs w:val="14"/>
                <w:color w:val="auto"/>
              </w:rPr>
            </w:pPr>
          </w:p>
        </w:tc>
        <w:tc>
          <w:tcPr>
            <w:tcW w:w="260" w:type="dxa"/>
            <w:vAlign w:val="bottom"/>
            <w:tcBorders>
              <w:top w:val="single" w:sz="8" w:color="F2F2F2"/>
              <w:bottom w:val="single" w:sz="8" w:color="376DB5"/>
            </w:tcBorders>
          </w:tcPr>
          <w:p>
            <w:pPr>
              <w:spacing w:after="0"/>
              <w:rPr>
                <w:sz w:val="14"/>
                <w:szCs w:val="14"/>
                <w:color w:val="auto"/>
              </w:rPr>
            </w:pPr>
          </w:p>
        </w:tc>
        <w:tc>
          <w:tcPr>
            <w:tcW w:w="2800" w:type="dxa"/>
            <w:vAlign w:val="bottom"/>
            <w:tcBorders>
              <w:top w:val="single" w:sz="8" w:color="F2F2F2"/>
              <w:bottom w:val="single" w:sz="8" w:color="F2F2F2"/>
            </w:tcBorders>
            <w:gridSpan w:val="3"/>
          </w:tcPr>
          <w:p>
            <w:pPr>
              <w:spacing w:after="0"/>
              <w:rPr>
                <w:sz w:val="14"/>
                <w:szCs w:val="14"/>
                <w:color w:val="auto"/>
              </w:rPr>
            </w:pPr>
          </w:p>
        </w:tc>
        <w:tc>
          <w:tcPr>
            <w:tcW w:w="860" w:type="dxa"/>
            <w:vAlign w:val="bottom"/>
            <w:tcBorders>
              <w:top w:val="single" w:sz="8" w:color="F2F2F2"/>
              <w:bottom w:val="single" w:sz="8" w:color="F2F2F2"/>
            </w:tcBorders>
          </w:tcPr>
          <w:p>
            <w:pPr>
              <w:spacing w:after="0"/>
              <w:rPr>
                <w:sz w:val="14"/>
                <w:szCs w:val="14"/>
                <w:color w:val="auto"/>
              </w:rPr>
            </w:pPr>
          </w:p>
        </w:tc>
        <w:tc>
          <w:tcPr>
            <w:tcW w:w="680" w:type="dxa"/>
            <w:vAlign w:val="bottom"/>
            <w:tcBorders>
              <w:top w:val="single" w:sz="8" w:color="F2F2F2"/>
              <w:bottom w:val="single" w:sz="8" w:color="F2F2F2"/>
            </w:tcBorders>
          </w:tcPr>
          <w:p>
            <w:pPr>
              <w:spacing w:after="0"/>
              <w:rPr>
                <w:sz w:val="14"/>
                <w:szCs w:val="14"/>
                <w:color w:val="auto"/>
              </w:rPr>
            </w:pPr>
          </w:p>
        </w:tc>
        <w:tc>
          <w:tcPr>
            <w:tcW w:w="1140" w:type="dxa"/>
            <w:vAlign w:val="bottom"/>
            <w:tcBorders>
              <w:top w:val="single" w:sz="8" w:color="F2F2F2"/>
              <w:bottom w:val="single" w:sz="8" w:color="F2F2F2"/>
            </w:tcBorders>
          </w:tcPr>
          <w:p>
            <w:pPr>
              <w:spacing w:after="0"/>
              <w:rPr>
                <w:sz w:val="14"/>
                <w:szCs w:val="14"/>
                <w:color w:val="auto"/>
              </w:rPr>
            </w:pPr>
          </w:p>
        </w:tc>
        <w:tc>
          <w:tcPr>
            <w:tcW w:w="1360" w:type="dxa"/>
            <w:vAlign w:val="bottom"/>
            <w:tcBorders>
              <w:top w:val="single" w:sz="8" w:color="F2F2F2"/>
              <w:bottom w:val="single" w:sz="8" w:color="F2F2F2"/>
            </w:tcBorders>
          </w:tcPr>
          <w:p>
            <w:pPr>
              <w:spacing w:after="0"/>
              <w:rPr>
                <w:sz w:val="14"/>
                <w:szCs w:val="14"/>
                <w:color w:val="auto"/>
              </w:rPr>
            </w:pPr>
          </w:p>
        </w:tc>
        <w:tc>
          <w:tcPr>
            <w:tcW w:w="0" w:type="dxa"/>
            <w:vAlign w:val="bottom"/>
          </w:tcPr>
          <w:p>
            <w:pPr>
              <w:spacing w:after="0"/>
              <w:rPr>
                <w:sz w:val="1"/>
                <w:szCs w:val="1"/>
                <w:color w:val="auto"/>
              </w:rPr>
            </w:pPr>
          </w:p>
        </w:tc>
      </w:tr>
      <w:tr>
        <w:trPr>
          <w:trHeight w:val="402"/>
        </w:trPr>
        <w:tc>
          <w:tcPr>
            <w:tcW w:w="1540" w:type="dxa"/>
            <w:vAlign w:val="bottom"/>
            <w:tcBorders>
              <w:left w:val="single" w:sz="8" w:color="376DB5"/>
            </w:tcBorders>
            <w:shd w:val="clear" w:color="auto" w:fill="F2F2F2"/>
          </w:tcPr>
          <w:p>
            <w:pPr>
              <w:ind w:left="160"/>
              <w:spacing w:after="0"/>
              <w:rPr>
                <w:sz w:val="20"/>
                <w:szCs w:val="20"/>
                <w:color w:val="auto"/>
              </w:rPr>
            </w:pPr>
            <w:r>
              <w:rPr>
                <w:rFonts w:ascii="Arial" w:cs="Arial" w:eastAsia="Arial" w:hAnsi="Arial"/>
                <w:sz w:val="22"/>
                <w:szCs w:val="22"/>
                <w:b w:val="1"/>
                <w:bCs w:val="1"/>
                <w:color w:val="376DB5"/>
              </w:rPr>
              <w:t>David A. Rey</w:t>
            </w:r>
          </w:p>
        </w:tc>
        <w:tc>
          <w:tcPr>
            <w:tcW w:w="760" w:type="dxa"/>
            <w:vAlign w:val="bottom"/>
            <w:shd w:val="clear" w:color="auto" w:fill="F2F2F2"/>
          </w:tcPr>
          <w:p>
            <w:pPr>
              <w:spacing w:after="0"/>
              <w:rPr>
                <w:sz w:val="24"/>
                <w:szCs w:val="24"/>
                <w:color w:val="auto"/>
              </w:rPr>
            </w:pPr>
          </w:p>
        </w:tc>
        <w:tc>
          <w:tcPr>
            <w:tcW w:w="280" w:type="dxa"/>
            <w:vAlign w:val="bottom"/>
            <w:shd w:val="clear" w:color="auto" w:fill="F2F2F2"/>
          </w:tcPr>
          <w:p>
            <w:pPr>
              <w:spacing w:after="0"/>
              <w:rPr>
                <w:sz w:val="24"/>
                <w:szCs w:val="24"/>
                <w:color w:val="auto"/>
              </w:rPr>
            </w:pPr>
          </w:p>
        </w:tc>
        <w:tc>
          <w:tcPr>
            <w:tcW w:w="1340" w:type="dxa"/>
            <w:vAlign w:val="bottom"/>
            <w:shd w:val="clear" w:color="auto" w:fill="F2F2F2"/>
          </w:tcPr>
          <w:p>
            <w:pPr>
              <w:spacing w:after="0"/>
              <w:rPr>
                <w:sz w:val="24"/>
                <w:szCs w:val="24"/>
                <w:color w:val="auto"/>
              </w:rPr>
            </w:pPr>
          </w:p>
        </w:tc>
        <w:tc>
          <w:tcPr>
            <w:tcW w:w="260" w:type="dxa"/>
            <w:vAlign w:val="bottom"/>
            <w:tcBorders>
              <w:right w:val="single" w:sz="8" w:color="376DB5"/>
            </w:tcBorders>
            <w:shd w:val="clear" w:color="auto" w:fill="F2F2F2"/>
          </w:tcPr>
          <w:p>
            <w:pPr>
              <w:spacing w:after="0"/>
              <w:rPr>
                <w:sz w:val="24"/>
                <w:szCs w:val="24"/>
                <w:color w:val="auto"/>
              </w:rPr>
            </w:pPr>
          </w:p>
        </w:tc>
        <w:tc>
          <w:tcPr>
            <w:tcW w:w="2800" w:type="dxa"/>
            <w:vAlign w:val="bottom"/>
            <w:gridSpan w:val="3"/>
            <w:shd w:val="clear" w:color="auto" w:fill="F2F2F2"/>
          </w:tcPr>
          <w:p>
            <w:pPr>
              <w:ind w:left="240"/>
              <w:spacing w:after="0"/>
              <w:rPr>
                <w:sz w:val="20"/>
                <w:szCs w:val="20"/>
                <w:color w:val="auto"/>
              </w:rPr>
            </w:pPr>
            <w:r>
              <w:rPr>
                <w:rFonts w:ascii="Arial" w:cs="Arial" w:eastAsia="Arial" w:hAnsi="Arial"/>
                <w:sz w:val="18"/>
                <w:szCs w:val="18"/>
                <w:b w:val="1"/>
                <w:bCs w:val="1"/>
                <w:color w:val="376DB5"/>
              </w:rPr>
              <w:t>Committee Assignments</w:t>
            </w:r>
          </w:p>
        </w:tc>
        <w:tc>
          <w:tcPr>
            <w:tcW w:w="860" w:type="dxa"/>
            <w:vAlign w:val="bottom"/>
            <w:shd w:val="clear" w:color="auto" w:fill="F2F2F2"/>
          </w:tcPr>
          <w:p>
            <w:pPr>
              <w:spacing w:after="0"/>
              <w:rPr>
                <w:sz w:val="24"/>
                <w:szCs w:val="24"/>
                <w:color w:val="auto"/>
              </w:rPr>
            </w:pPr>
          </w:p>
        </w:tc>
        <w:tc>
          <w:tcPr>
            <w:tcW w:w="680" w:type="dxa"/>
            <w:vAlign w:val="bottom"/>
            <w:shd w:val="clear" w:color="auto" w:fill="F2F2F2"/>
          </w:tcPr>
          <w:p>
            <w:pPr>
              <w:spacing w:after="0"/>
              <w:rPr>
                <w:sz w:val="24"/>
                <w:szCs w:val="24"/>
                <w:color w:val="auto"/>
              </w:rPr>
            </w:pPr>
          </w:p>
        </w:tc>
        <w:tc>
          <w:tcPr>
            <w:tcW w:w="1140" w:type="dxa"/>
            <w:vAlign w:val="bottom"/>
            <w:shd w:val="clear" w:color="auto" w:fill="F2F2F2"/>
          </w:tcPr>
          <w:p>
            <w:pPr>
              <w:spacing w:after="0"/>
              <w:rPr>
                <w:sz w:val="24"/>
                <w:szCs w:val="24"/>
                <w:color w:val="auto"/>
              </w:rPr>
            </w:pPr>
          </w:p>
        </w:tc>
        <w:tc>
          <w:tcPr>
            <w:tcW w:w="136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580" w:type="dxa"/>
            <w:vAlign w:val="bottom"/>
            <w:tcBorders>
              <w:left w:val="single" w:sz="8" w:color="376DB5"/>
            </w:tcBorders>
            <w:gridSpan w:val="3"/>
            <w:shd w:val="clear" w:color="auto" w:fill="F2F2F2"/>
          </w:tcPr>
          <w:p>
            <w:pPr>
              <w:ind w:left="160"/>
              <w:spacing w:after="0"/>
              <w:rPr>
                <w:sz w:val="20"/>
                <w:szCs w:val="20"/>
                <w:color w:val="auto"/>
              </w:rPr>
            </w:pPr>
            <w:r>
              <w:rPr>
                <w:rFonts w:ascii="Arial" w:cs="Arial" w:eastAsia="Arial" w:hAnsi="Arial"/>
                <w:sz w:val="18"/>
                <w:szCs w:val="18"/>
                <w:color w:val="auto"/>
              </w:rPr>
              <w:t>Director (since 2011)</w:t>
            </w:r>
          </w:p>
        </w:tc>
        <w:tc>
          <w:tcPr>
            <w:tcW w:w="1340" w:type="dxa"/>
            <w:vAlign w:val="bottom"/>
            <w:shd w:val="clear" w:color="auto" w:fill="F2F2F2"/>
          </w:tcPr>
          <w:p>
            <w:pPr>
              <w:spacing w:after="0"/>
              <w:rPr>
                <w:sz w:val="23"/>
                <w:szCs w:val="23"/>
                <w:color w:val="auto"/>
              </w:rPr>
            </w:pPr>
          </w:p>
        </w:tc>
        <w:tc>
          <w:tcPr>
            <w:tcW w:w="260" w:type="dxa"/>
            <w:vAlign w:val="bottom"/>
            <w:tcBorders>
              <w:right w:val="single" w:sz="8" w:color="376DB5"/>
            </w:tcBorders>
            <w:shd w:val="clear" w:color="auto" w:fill="F2F2F2"/>
          </w:tcPr>
          <w:p>
            <w:pPr>
              <w:spacing w:after="0"/>
              <w:rPr>
                <w:sz w:val="23"/>
                <w:szCs w:val="23"/>
                <w:color w:val="auto"/>
              </w:rPr>
            </w:pPr>
          </w:p>
        </w:tc>
        <w:tc>
          <w:tcPr>
            <w:tcW w:w="1220" w:type="dxa"/>
            <w:vAlign w:val="bottom"/>
            <w:gridSpan w:val="2"/>
            <w:shd w:val="clear" w:color="auto" w:fill="F2F2F2"/>
          </w:tcPr>
          <w:p>
            <w:pPr>
              <w:ind w:left="240"/>
              <w:spacing w:after="0"/>
              <w:rPr>
                <w:sz w:val="20"/>
                <w:szCs w:val="20"/>
                <w:color w:val="auto"/>
              </w:rPr>
            </w:pPr>
            <w:r>
              <w:rPr>
                <w:rFonts w:ascii="Arial" w:cs="Arial" w:eastAsia="Arial" w:hAnsi="Arial"/>
                <w:sz w:val="18"/>
                <w:szCs w:val="18"/>
                <w:b w:val="1"/>
                <w:bCs w:val="1"/>
                <w:color w:val="auto"/>
              </w:rPr>
              <w:t>Chair</w:t>
            </w:r>
          </w:p>
        </w:tc>
        <w:tc>
          <w:tcPr>
            <w:tcW w:w="1580" w:type="dxa"/>
            <w:vAlign w:val="bottom"/>
            <w:shd w:val="clear" w:color="auto" w:fill="F2F2F2"/>
          </w:tcPr>
          <w:p>
            <w:pPr>
              <w:spacing w:after="0"/>
              <w:rPr>
                <w:sz w:val="23"/>
                <w:szCs w:val="23"/>
                <w:color w:val="auto"/>
              </w:rPr>
            </w:pPr>
          </w:p>
        </w:tc>
        <w:tc>
          <w:tcPr>
            <w:tcW w:w="860" w:type="dxa"/>
            <w:vAlign w:val="bottom"/>
            <w:shd w:val="clear" w:color="auto" w:fill="F2F2F2"/>
          </w:tcPr>
          <w:p>
            <w:pPr>
              <w:spacing w:after="0"/>
              <w:rPr>
                <w:sz w:val="23"/>
                <w:szCs w:val="23"/>
                <w:color w:val="auto"/>
              </w:rPr>
            </w:pPr>
          </w:p>
        </w:tc>
        <w:tc>
          <w:tcPr>
            <w:tcW w:w="680" w:type="dxa"/>
            <w:vAlign w:val="bottom"/>
            <w:shd w:val="clear" w:color="auto" w:fill="F2F2F2"/>
          </w:tcPr>
          <w:p>
            <w:pPr>
              <w:spacing w:after="0"/>
              <w:rPr>
                <w:sz w:val="23"/>
                <w:szCs w:val="23"/>
                <w:color w:val="auto"/>
              </w:rPr>
            </w:pPr>
          </w:p>
        </w:tc>
        <w:tc>
          <w:tcPr>
            <w:tcW w:w="1140" w:type="dxa"/>
            <w:vAlign w:val="bottom"/>
            <w:shd w:val="clear" w:color="auto" w:fill="F2F2F2"/>
          </w:tcPr>
          <w:p>
            <w:pPr>
              <w:spacing w:after="0"/>
              <w:rPr>
                <w:sz w:val="23"/>
                <w:szCs w:val="23"/>
                <w:color w:val="auto"/>
              </w:rPr>
            </w:pPr>
          </w:p>
        </w:tc>
        <w:tc>
          <w:tcPr>
            <w:tcW w:w="1360" w:type="dxa"/>
            <w:vAlign w:val="bottom"/>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1540" w:type="dxa"/>
            <w:vAlign w:val="bottom"/>
            <w:tcBorders>
              <w:left w:val="single" w:sz="8" w:color="376DB5"/>
            </w:tcBorders>
            <w:shd w:val="clear" w:color="auto" w:fill="F2F2F2"/>
          </w:tcPr>
          <w:p>
            <w:pPr>
              <w:ind w:left="160"/>
              <w:spacing w:after="0"/>
              <w:rPr>
                <w:sz w:val="20"/>
                <w:szCs w:val="20"/>
                <w:color w:val="auto"/>
              </w:rPr>
            </w:pPr>
            <w:r>
              <w:rPr>
                <w:rFonts w:ascii="Arial" w:cs="Arial" w:eastAsia="Arial" w:hAnsi="Arial"/>
                <w:sz w:val="18"/>
                <w:szCs w:val="18"/>
                <w:color w:val="auto"/>
              </w:rPr>
              <w:t>Age 75</w:t>
            </w:r>
          </w:p>
        </w:tc>
        <w:tc>
          <w:tcPr>
            <w:tcW w:w="760" w:type="dxa"/>
            <w:vAlign w:val="bottom"/>
            <w:shd w:val="clear" w:color="auto" w:fill="F2F2F2"/>
          </w:tcPr>
          <w:p>
            <w:pPr>
              <w:spacing w:after="0"/>
              <w:rPr>
                <w:sz w:val="24"/>
                <w:szCs w:val="24"/>
                <w:color w:val="auto"/>
              </w:rPr>
            </w:pPr>
          </w:p>
        </w:tc>
        <w:tc>
          <w:tcPr>
            <w:tcW w:w="280" w:type="dxa"/>
            <w:vAlign w:val="bottom"/>
            <w:shd w:val="clear" w:color="auto" w:fill="F2F2F2"/>
          </w:tcPr>
          <w:p>
            <w:pPr>
              <w:spacing w:after="0"/>
              <w:rPr>
                <w:sz w:val="24"/>
                <w:szCs w:val="24"/>
                <w:color w:val="auto"/>
              </w:rPr>
            </w:pPr>
          </w:p>
        </w:tc>
        <w:tc>
          <w:tcPr>
            <w:tcW w:w="1340" w:type="dxa"/>
            <w:vAlign w:val="bottom"/>
            <w:shd w:val="clear" w:color="auto" w:fill="F2F2F2"/>
          </w:tcPr>
          <w:p>
            <w:pPr>
              <w:spacing w:after="0"/>
              <w:rPr>
                <w:sz w:val="24"/>
                <w:szCs w:val="24"/>
                <w:color w:val="auto"/>
              </w:rPr>
            </w:pPr>
          </w:p>
        </w:tc>
        <w:tc>
          <w:tcPr>
            <w:tcW w:w="260" w:type="dxa"/>
            <w:vAlign w:val="bottom"/>
            <w:tcBorders>
              <w:right w:val="single" w:sz="8" w:color="376DB5"/>
            </w:tcBorders>
            <w:shd w:val="clear" w:color="auto" w:fill="F2F2F2"/>
          </w:tcPr>
          <w:p>
            <w:pPr>
              <w:spacing w:after="0"/>
              <w:rPr>
                <w:sz w:val="24"/>
                <w:szCs w:val="24"/>
                <w:color w:val="auto"/>
              </w:rPr>
            </w:pPr>
          </w:p>
        </w:tc>
        <w:tc>
          <w:tcPr>
            <w:tcW w:w="2800" w:type="dxa"/>
            <w:vAlign w:val="bottom"/>
            <w:gridSpan w:val="3"/>
            <w:shd w:val="clear" w:color="auto" w:fill="F2F2F2"/>
          </w:tcPr>
          <w:p>
            <w:pPr>
              <w:ind w:left="240"/>
              <w:spacing w:after="0"/>
              <w:rPr>
                <w:sz w:val="20"/>
                <w:szCs w:val="20"/>
                <w:color w:val="auto"/>
              </w:rPr>
            </w:pPr>
            <w:r>
              <w:rPr>
                <w:rFonts w:ascii="Arial" w:cs="Arial" w:eastAsia="Arial" w:hAnsi="Arial"/>
                <w:sz w:val="18"/>
                <w:szCs w:val="18"/>
                <w:color w:val="auto"/>
              </w:rPr>
              <w:t>Audit Committee</w:t>
            </w:r>
          </w:p>
        </w:tc>
        <w:tc>
          <w:tcPr>
            <w:tcW w:w="860" w:type="dxa"/>
            <w:vAlign w:val="bottom"/>
            <w:shd w:val="clear" w:color="auto" w:fill="F2F2F2"/>
          </w:tcPr>
          <w:p>
            <w:pPr>
              <w:spacing w:after="0"/>
              <w:rPr>
                <w:sz w:val="24"/>
                <w:szCs w:val="24"/>
                <w:color w:val="auto"/>
              </w:rPr>
            </w:pPr>
          </w:p>
        </w:tc>
        <w:tc>
          <w:tcPr>
            <w:tcW w:w="680" w:type="dxa"/>
            <w:vAlign w:val="bottom"/>
            <w:shd w:val="clear" w:color="auto" w:fill="F2F2F2"/>
          </w:tcPr>
          <w:p>
            <w:pPr>
              <w:spacing w:after="0"/>
              <w:rPr>
                <w:sz w:val="24"/>
                <w:szCs w:val="24"/>
                <w:color w:val="auto"/>
              </w:rPr>
            </w:pPr>
          </w:p>
        </w:tc>
        <w:tc>
          <w:tcPr>
            <w:tcW w:w="1140" w:type="dxa"/>
            <w:vAlign w:val="bottom"/>
            <w:shd w:val="clear" w:color="auto" w:fill="F2F2F2"/>
          </w:tcPr>
          <w:p>
            <w:pPr>
              <w:spacing w:after="0"/>
              <w:rPr>
                <w:sz w:val="24"/>
                <w:szCs w:val="24"/>
                <w:color w:val="auto"/>
              </w:rPr>
            </w:pPr>
          </w:p>
        </w:tc>
        <w:tc>
          <w:tcPr>
            <w:tcW w:w="136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540" w:type="dxa"/>
            <w:vAlign w:val="bottom"/>
            <w:tcBorders>
              <w:left w:val="single" w:sz="8" w:color="376DB5"/>
            </w:tcBorders>
            <w:shd w:val="clear" w:color="auto" w:fill="F2F2F2"/>
          </w:tcPr>
          <w:p>
            <w:pPr>
              <w:ind w:left="160"/>
              <w:spacing w:after="0"/>
              <w:rPr>
                <w:sz w:val="20"/>
                <w:szCs w:val="20"/>
                <w:color w:val="auto"/>
              </w:rPr>
            </w:pPr>
            <w:r>
              <w:rPr>
                <w:rFonts w:ascii="Arial" w:cs="Arial" w:eastAsia="Arial" w:hAnsi="Arial"/>
                <w:sz w:val="18"/>
                <w:szCs w:val="18"/>
                <w:b w:val="1"/>
                <w:bCs w:val="1"/>
                <w:color w:val="376DB5"/>
              </w:rPr>
              <w:t>Independent</w:t>
            </w:r>
          </w:p>
        </w:tc>
        <w:tc>
          <w:tcPr>
            <w:tcW w:w="760" w:type="dxa"/>
            <w:vAlign w:val="bottom"/>
            <w:shd w:val="clear" w:color="auto" w:fill="F2F2F2"/>
          </w:tcPr>
          <w:p>
            <w:pPr>
              <w:spacing w:after="0"/>
              <w:rPr>
                <w:sz w:val="24"/>
                <w:szCs w:val="24"/>
                <w:color w:val="auto"/>
              </w:rPr>
            </w:pPr>
          </w:p>
        </w:tc>
        <w:tc>
          <w:tcPr>
            <w:tcW w:w="280" w:type="dxa"/>
            <w:vAlign w:val="bottom"/>
            <w:shd w:val="clear" w:color="auto" w:fill="F2F2F2"/>
          </w:tcPr>
          <w:p>
            <w:pPr>
              <w:spacing w:after="0"/>
              <w:rPr>
                <w:sz w:val="24"/>
                <w:szCs w:val="24"/>
                <w:color w:val="auto"/>
              </w:rPr>
            </w:pPr>
          </w:p>
        </w:tc>
        <w:tc>
          <w:tcPr>
            <w:tcW w:w="1340" w:type="dxa"/>
            <w:vAlign w:val="bottom"/>
            <w:shd w:val="clear" w:color="auto" w:fill="F2F2F2"/>
          </w:tcPr>
          <w:p>
            <w:pPr>
              <w:spacing w:after="0"/>
              <w:rPr>
                <w:sz w:val="24"/>
                <w:szCs w:val="24"/>
                <w:color w:val="auto"/>
              </w:rPr>
            </w:pPr>
          </w:p>
        </w:tc>
        <w:tc>
          <w:tcPr>
            <w:tcW w:w="260" w:type="dxa"/>
            <w:vAlign w:val="bottom"/>
            <w:tcBorders>
              <w:right w:val="single" w:sz="8" w:color="376DB5"/>
            </w:tcBorders>
            <w:shd w:val="clear" w:color="auto" w:fill="F2F2F2"/>
          </w:tcPr>
          <w:p>
            <w:pPr>
              <w:spacing w:after="0"/>
              <w:rPr>
                <w:sz w:val="24"/>
                <w:szCs w:val="24"/>
                <w:color w:val="auto"/>
              </w:rPr>
            </w:pPr>
          </w:p>
        </w:tc>
        <w:tc>
          <w:tcPr>
            <w:tcW w:w="1220" w:type="dxa"/>
            <w:vAlign w:val="bottom"/>
            <w:gridSpan w:val="2"/>
            <w:shd w:val="clear" w:color="auto" w:fill="F2F2F2"/>
          </w:tcPr>
          <w:p>
            <w:pPr>
              <w:ind w:left="240"/>
              <w:spacing w:after="0"/>
              <w:rPr>
                <w:sz w:val="20"/>
                <w:szCs w:val="20"/>
                <w:color w:val="auto"/>
              </w:rPr>
            </w:pPr>
            <w:r>
              <w:rPr>
                <w:rFonts w:ascii="Arial" w:cs="Arial" w:eastAsia="Arial" w:hAnsi="Arial"/>
                <w:sz w:val="18"/>
                <w:szCs w:val="18"/>
                <w:b w:val="1"/>
                <w:bCs w:val="1"/>
                <w:color w:val="auto"/>
              </w:rPr>
              <w:t>Member</w:t>
            </w:r>
          </w:p>
        </w:tc>
        <w:tc>
          <w:tcPr>
            <w:tcW w:w="1580" w:type="dxa"/>
            <w:vAlign w:val="bottom"/>
            <w:shd w:val="clear" w:color="auto" w:fill="F2F2F2"/>
          </w:tcPr>
          <w:p>
            <w:pPr>
              <w:spacing w:after="0"/>
              <w:rPr>
                <w:sz w:val="24"/>
                <w:szCs w:val="24"/>
                <w:color w:val="auto"/>
              </w:rPr>
            </w:pPr>
          </w:p>
        </w:tc>
        <w:tc>
          <w:tcPr>
            <w:tcW w:w="860" w:type="dxa"/>
            <w:vAlign w:val="bottom"/>
            <w:shd w:val="clear" w:color="auto" w:fill="F2F2F2"/>
          </w:tcPr>
          <w:p>
            <w:pPr>
              <w:spacing w:after="0"/>
              <w:rPr>
                <w:sz w:val="24"/>
                <w:szCs w:val="24"/>
                <w:color w:val="auto"/>
              </w:rPr>
            </w:pPr>
          </w:p>
        </w:tc>
        <w:tc>
          <w:tcPr>
            <w:tcW w:w="680" w:type="dxa"/>
            <w:vAlign w:val="bottom"/>
            <w:shd w:val="clear" w:color="auto" w:fill="F2F2F2"/>
          </w:tcPr>
          <w:p>
            <w:pPr>
              <w:spacing w:after="0"/>
              <w:rPr>
                <w:sz w:val="24"/>
                <w:szCs w:val="24"/>
                <w:color w:val="auto"/>
              </w:rPr>
            </w:pPr>
          </w:p>
        </w:tc>
        <w:tc>
          <w:tcPr>
            <w:tcW w:w="1140" w:type="dxa"/>
            <w:vAlign w:val="bottom"/>
            <w:shd w:val="clear" w:color="auto" w:fill="F2F2F2"/>
          </w:tcPr>
          <w:p>
            <w:pPr>
              <w:spacing w:after="0"/>
              <w:rPr>
                <w:sz w:val="24"/>
                <w:szCs w:val="24"/>
                <w:color w:val="auto"/>
              </w:rPr>
            </w:pPr>
          </w:p>
        </w:tc>
        <w:tc>
          <w:tcPr>
            <w:tcW w:w="136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540" w:type="dxa"/>
            <w:vAlign w:val="bottom"/>
            <w:tcBorders>
              <w:left w:val="single" w:sz="8" w:color="376DB5"/>
              <w:bottom w:val="single" w:sz="8" w:color="376DB5"/>
            </w:tcBorders>
            <w:shd w:val="clear" w:color="auto" w:fill="F2F2F2"/>
          </w:tcPr>
          <w:p>
            <w:pPr>
              <w:spacing w:after="0"/>
              <w:rPr>
                <w:sz w:val="18"/>
                <w:szCs w:val="18"/>
                <w:color w:val="auto"/>
              </w:rPr>
            </w:pPr>
          </w:p>
        </w:tc>
        <w:tc>
          <w:tcPr>
            <w:tcW w:w="760" w:type="dxa"/>
            <w:vAlign w:val="bottom"/>
            <w:tcBorders>
              <w:bottom w:val="single" w:sz="8" w:color="376DB5"/>
            </w:tcBorders>
            <w:shd w:val="clear" w:color="auto" w:fill="F2F2F2"/>
          </w:tcPr>
          <w:p>
            <w:pPr>
              <w:spacing w:after="0"/>
              <w:rPr>
                <w:sz w:val="18"/>
                <w:szCs w:val="18"/>
                <w:color w:val="auto"/>
              </w:rPr>
            </w:pPr>
          </w:p>
        </w:tc>
        <w:tc>
          <w:tcPr>
            <w:tcW w:w="280" w:type="dxa"/>
            <w:vAlign w:val="bottom"/>
            <w:tcBorders>
              <w:bottom w:val="single" w:sz="8" w:color="376DB5"/>
            </w:tcBorders>
            <w:shd w:val="clear" w:color="auto" w:fill="F2F2F2"/>
          </w:tcPr>
          <w:p>
            <w:pPr>
              <w:spacing w:after="0"/>
              <w:rPr>
                <w:sz w:val="18"/>
                <w:szCs w:val="18"/>
                <w:color w:val="auto"/>
              </w:rPr>
            </w:pPr>
          </w:p>
        </w:tc>
        <w:tc>
          <w:tcPr>
            <w:tcW w:w="1340" w:type="dxa"/>
            <w:vAlign w:val="bottom"/>
            <w:tcBorders>
              <w:bottom w:val="single" w:sz="8" w:color="376DB5"/>
            </w:tcBorders>
            <w:shd w:val="clear" w:color="auto" w:fill="F2F2F2"/>
          </w:tcPr>
          <w:p>
            <w:pPr>
              <w:spacing w:after="0"/>
              <w:rPr>
                <w:sz w:val="18"/>
                <w:szCs w:val="18"/>
                <w:color w:val="auto"/>
              </w:rPr>
            </w:pPr>
          </w:p>
        </w:tc>
        <w:tc>
          <w:tcPr>
            <w:tcW w:w="260" w:type="dxa"/>
            <w:vAlign w:val="bottom"/>
            <w:tcBorders>
              <w:bottom w:val="single" w:sz="8" w:color="376DB5"/>
              <w:right w:val="single" w:sz="8" w:color="376DB5"/>
            </w:tcBorders>
            <w:shd w:val="clear" w:color="auto" w:fill="F2F2F2"/>
          </w:tcPr>
          <w:p>
            <w:pPr>
              <w:spacing w:after="0"/>
              <w:rPr>
                <w:sz w:val="18"/>
                <w:szCs w:val="18"/>
                <w:color w:val="auto"/>
              </w:rPr>
            </w:pPr>
          </w:p>
        </w:tc>
        <w:tc>
          <w:tcPr>
            <w:tcW w:w="4340" w:type="dxa"/>
            <w:vAlign w:val="bottom"/>
            <w:tcBorders>
              <w:bottom w:val="single" w:sz="8" w:color="F2F2F2"/>
            </w:tcBorders>
            <w:gridSpan w:val="5"/>
            <w:shd w:val="clear" w:color="auto" w:fill="F2F2F2"/>
          </w:tcPr>
          <w:p>
            <w:pPr>
              <w:ind w:left="240"/>
              <w:spacing w:after="0" w:line="192" w:lineRule="exact"/>
              <w:rPr>
                <w:sz w:val="20"/>
                <w:szCs w:val="20"/>
                <w:color w:val="auto"/>
              </w:rPr>
            </w:pPr>
            <w:r>
              <w:rPr>
                <w:rFonts w:ascii="Arial" w:cs="Arial" w:eastAsia="Arial" w:hAnsi="Arial"/>
                <w:sz w:val="18"/>
                <w:szCs w:val="18"/>
                <w:color w:val="auto"/>
                <w:w w:val="99"/>
              </w:rPr>
              <w:t>Governance, Nominating and Executive Committee</w:t>
            </w:r>
          </w:p>
        </w:tc>
        <w:tc>
          <w:tcPr>
            <w:tcW w:w="1140" w:type="dxa"/>
            <w:vAlign w:val="bottom"/>
            <w:tcBorders>
              <w:bottom w:val="single" w:sz="8" w:color="F2F2F2"/>
            </w:tcBorders>
            <w:shd w:val="clear" w:color="auto" w:fill="F2F2F2"/>
          </w:tcPr>
          <w:p>
            <w:pPr>
              <w:spacing w:after="0"/>
              <w:rPr>
                <w:sz w:val="18"/>
                <w:szCs w:val="18"/>
                <w:color w:val="auto"/>
              </w:rPr>
            </w:pPr>
          </w:p>
        </w:tc>
        <w:tc>
          <w:tcPr>
            <w:tcW w:w="1360" w:type="dxa"/>
            <w:vAlign w:val="bottom"/>
            <w:tcBorders>
              <w:bottom w:val="single" w:sz="8" w:color="F2F2F2"/>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2580" w:type="dxa"/>
            <w:vAlign w:val="bottom"/>
            <w:tcBorders>
              <w:left w:val="single" w:sz="8" w:color="F2F2F2"/>
            </w:tcBorders>
            <w:gridSpan w:val="3"/>
            <w:shd w:val="clear" w:color="auto" w:fill="F2F2F2"/>
          </w:tcPr>
          <w:p>
            <w:pPr>
              <w:ind w:left="140"/>
              <w:spacing w:after="0"/>
              <w:rPr>
                <w:sz w:val="20"/>
                <w:szCs w:val="20"/>
                <w:color w:val="auto"/>
              </w:rPr>
            </w:pPr>
            <w:r>
              <w:rPr>
                <w:rFonts w:ascii="Arial" w:cs="Arial" w:eastAsia="Arial" w:hAnsi="Arial"/>
                <w:sz w:val="18"/>
                <w:szCs w:val="18"/>
                <w:b w:val="1"/>
                <w:bCs w:val="1"/>
                <w:color w:val="376DB5"/>
              </w:rPr>
              <w:t>Professional Experience</w:t>
            </w:r>
          </w:p>
        </w:tc>
        <w:tc>
          <w:tcPr>
            <w:tcW w:w="1340" w:type="dxa"/>
            <w:vAlign w:val="bottom"/>
            <w:shd w:val="clear" w:color="auto" w:fill="F2F2F2"/>
          </w:tcPr>
          <w:p>
            <w:pPr>
              <w:spacing w:after="0"/>
              <w:rPr>
                <w:sz w:val="24"/>
                <w:szCs w:val="24"/>
                <w:color w:val="auto"/>
              </w:rPr>
            </w:pPr>
          </w:p>
        </w:tc>
        <w:tc>
          <w:tcPr>
            <w:tcW w:w="260" w:type="dxa"/>
            <w:vAlign w:val="bottom"/>
            <w:tcBorders>
              <w:right w:val="single" w:sz="8" w:color="F2F2F2"/>
            </w:tcBorders>
            <w:shd w:val="clear" w:color="auto" w:fill="F2F2F2"/>
          </w:tcPr>
          <w:p>
            <w:pPr>
              <w:spacing w:after="0"/>
              <w:rPr>
                <w:sz w:val="24"/>
                <w:szCs w:val="24"/>
                <w:color w:val="auto"/>
              </w:rPr>
            </w:pPr>
          </w:p>
        </w:tc>
        <w:tc>
          <w:tcPr>
            <w:tcW w:w="1220" w:type="dxa"/>
            <w:vAlign w:val="bottom"/>
            <w:gridSpan w:val="2"/>
            <w:shd w:val="clear" w:color="auto" w:fill="F2F2F2"/>
          </w:tcPr>
          <w:p>
            <w:pPr>
              <w:ind w:left="240"/>
              <w:spacing w:after="0"/>
              <w:rPr>
                <w:sz w:val="20"/>
                <w:szCs w:val="20"/>
                <w:color w:val="auto"/>
              </w:rPr>
            </w:pPr>
            <w:r>
              <w:rPr>
                <w:rFonts w:ascii="Arial" w:cs="Arial" w:eastAsia="Arial" w:hAnsi="Arial"/>
                <w:sz w:val="18"/>
                <w:szCs w:val="18"/>
                <w:b w:val="1"/>
                <w:bCs w:val="1"/>
                <w:color w:val="376DB5"/>
              </w:rPr>
              <w:t>Education</w:t>
            </w:r>
          </w:p>
        </w:tc>
        <w:tc>
          <w:tcPr>
            <w:tcW w:w="1580" w:type="dxa"/>
            <w:vAlign w:val="bottom"/>
            <w:shd w:val="clear" w:color="auto" w:fill="F2F2F2"/>
          </w:tcPr>
          <w:p>
            <w:pPr>
              <w:spacing w:after="0"/>
              <w:rPr>
                <w:sz w:val="24"/>
                <w:szCs w:val="24"/>
                <w:color w:val="auto"/>
              </w:rPr>
            </w:pPr>
          </w:p>
        </w:tc>
        <w:tc>
          <w:tcPr>
            <w:tcW w:w="860" w:type="dxa"/>
            <w:vAlign w:val="bottom"/>
            <w:shd w:val="clear" w:color="auto" w:fill="F2F2F2"/>
          </w:tcPr>
          <w:p>
            <w:pPr>
              <w:spacing w:after="0"/>
              <w:rPr>
                <w:sz w:val="24"/>
                <w:szCs w:val="24"/>
                <w:color w:val="auto"/>
              </w:rPr>
            </w:pPr>
          </w:p>
        </w:tc>
        <w:tc>
          <w:tcPr>
            <w:tcW w:w="680" w:type="dxa"/>
            <w:vAlign w:val="bottom"/>
            <w:shd w:val="clear" w:color="auto" w:fill="F2F2F2"/>
          </w:tcPr>
          <w:p>
            <w:pPr>
              <w:spacing w:after="0"/>
              <w:rPr>
                <w:sz w:val="24"/>
                <w:szCs w:val="24"/>
                <w:color w:val="auto"/>
              </w:rPr>
            </w:pPr>
          </w:p>
        </w:tc>
        <w:tc>
          <w:tcPr>
            <w:tcW w:w="1140" w:type="dxa"/>
            <w:vAlign w:val="bottom"/>
            <w:shd w:val="clear" w:color="auto" w:fill="F2F2F2"/>
          </w:tcPr>
          <w:p>
            <w:pPr>
              <w:spacing w:after="0"/>
              <w:rPr>
                <w:sz w:val="24"/>
                <w:szCs w:val="24"/>
                <w:color w:val="auto"/>
              </w:rPr>
            </w:pPr>
          </w:p>
        </w:tc>
        <w:tc>
          <w:tcPr>
            <w:tcW w:w="136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920" w:type="dxa"/>
            <w:vAlign w:val="bottom"/>
            <w:tcBorders>
              <w:left w:val="single" w:sz="8" w:color="F2F2F2"/>
            </w:tcBorders>
            <w:gridSpan w:val="4"/>
            <w:shd w:val="clear" w:color="auto" w:fill="F2F2F2"/>
          </w:tcPr>
          <w:p>
            <w:pPr>
              <w:ind w:left="140"/>
              <w:spacing w:after="0"/>
              <w:rPr>
                <w:sz w:val="20"/>
                <w:szCs w:val="20"/>
                <w:color w:val="auto"/>
              </w:rPr>
            </w:pPr>
            <w:r>
              <w:rPr>
                <w:rFonts w:ascii="Arial" w:cs="Arial" w:eastAsia="Arial" w:hAnsi="Arial"/>
                <w:sz w:val="18"/>
                <w:szCs w:val="18"/>
                <w:color w:val="auto"/>
              </w:rPr>
              <w:t>UnitedHealth Group (2008 to 2011)</w:t>
            </w:r>
          </w:p>
        </w:tc>
        <w:tc>
          <w:tcPr>
            <w:tcW w:w="260" w:type="dxa"/>
            <w:vAlign w:val="bottom"/>
            <w:tcBorders>
              <w:right w:val="single" w:sz="8" w:color="F2F2F2"/>
            </w:tcBorders>
            <w:shd w:val="clear" w:color="auto" w:fill="F2F2F2"/>
          </w:tcPr>
          <w:p>
            <w:pPr>
              <w:spacing w:after="0"/>
              <w:rPr>
                <w:sz w:val="19"/>
                <w:szCs w:val="19"/>
                <w:color w:val="auto"/>
              </w:rPr>
            </w:pPr>
          </w:p>
        </w:tc>
        <w:tc>
          <w:tcPr>
            <w:tcW w:w="5480" w:type="dxa"/>
            <w:vAlign w:val="bottom"/>
            <w:gridSpan w:val="6"/>
            <w:shd w:val="clear" w:color="auto" w:fill="F2F2F2"/>
          </w:tcPr>
          <w:p>
            <w:pPr>
              <w:ind w:left="240"/>
              <w:spacing w:after="0"/>
              <w:rPr>
                <w:sz w:val="20"/>
                <w:szCs w:val="20"/>
                <w:color w:val="auto"/>
              </w:rPr>
            </w:pPr>
            <w:r>
              <w:rPr>
                <w:rFonts w:ascii="Arial" w:cs="Arial" w:eastAsia="Arial" w:hAnsi="Arial"/>
                <w:sz w:val="18"/>
                <w:szCs w:val="18"/>
                <w:color w:val="auto"/>
              </w:rPr>
              <w:t>Bachelor of Science degree in industrial engineering and</w:t>
            </w:r>
          </w:p>
        </w:tc>
        <w:tc>
          <w:tcPr>
            <w:tcW w:w="136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20" w:type="dxa"/>
            <w:vAlign w:val="bottom"/>
            <w:tcBorders>
              <w:left w:val="single" w:sz="8" w:color="F2F2F2"/>
            </w:tcBorders>
            <w:gridSpan w:val="4"/>
            <w:vMerge w:val="restart"/>
            <w:shd w:val="clear" w:color="auto" w:fill="F2F2F2"/>
          </w:tcPr>
          <w:p>
            <w:pPr>
              <w:ind w:left="360"/>
              <w:spacing w:after="0"/>
              <w:rPr>
                <w:sz w:val="20"/>
                <w:szCs w:val="20"/>
                <w:color w:val="auto"/>
              </w:rPr>
            </w:pPr>
            <w:r>
              <w:rPr>
                <w:rFonts w:ascii="Arial" w:cs="Arial" w:eastAsia="Arial" w:hAnsi="Arial"/>
                <w:sz w:val="18"/>
                <w:szCs w:val="18"/>
                <w:color w:val="auto"/>
              </w:rPr>
              <w:t>• Executive Vice President and Chief Client</w:t>
            </w:r>
          </w:p>
        </w:tc>
        <w:tc>
          <w:tcPr>
            <w:tcW w:w="260" w:type="dxa"/>
            <w:vAlign w:val="bottom"/>
            <w:tcBorders>
              <w:right w:val="single" w:sz="8" w:color="F2F2F2"/>
            </w:tcBorders>
            <w:shd w:val="clear" w:color="auto" w:fill="F2F2F2"/>
          </w:tcPr>
          <w:p>
            <w:pPr>
              <w:spacing w:after="0"/>
              <w:rPr>
                <w:sz w:val="20"/>
                <w:szCs w:val="20"/>
                <w:color w:val="auto"/>
              </w:rPr>
            </w:pPr>
          </w:p>
        </w:tc>
        <w:tc>
          <w:tcPr>
            <w:tcW w:w="5480" w:type="dxa"/>
            <w:vAlign w:val="bottom"/>
            <w:gridSpan w:val="6"/>
            <w:shd w:val="clear" w:color="auto" w:fill="F2F2F2"/>
          </w:tcPr>
          <w:p>
            <w:pPr>
              <w:ind w:left="240"/>
              <w:spacing w:after="0"/>
              <w:rPr>
                <w:sz w:val="20"/>
                <w:szCs w:val="20"/>
                <w:color w:val="auto"/>
              </w:rPr>
            </w:pPr>
            <w:r>
              <w:rPr>
                <w:rFonts w:ascii="Arial" w:cs="Arial" w:eastAsia="Arial" w:hAnsi="Arial"/>
                <w:sz w:val="18"/>
                <w:szCs w:val="18"/>
                <w:color w:val="auto"/>
              </w:rPr>
              <w:t>operations research from the University of California, Berkeley</w:t>
            </w:r>
          </w:p>
        </w:tc>
        <w:tc>
          <w:tcPr>
            <w:tcW w:w="136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3920" w:type="dxa"/>
            <w:vAlign w:val="bottom"/>
            <w:tcBorders>
              <w:left w:val="single" w:sz="8" w:color="F2F2F2"/>
            </w:tcBorders>
            <w:gridSpan w:val="4"/>
            <w:vMerge w:val="continue"/>
            <w:shd w:val="clear" w:color="auto" w:fill="F2F2F2"/>
          </w:tcPr>
          <w:p>
            <w:pPr>
              <w:spacing w:after="0"/>
              <w:rPr>
                <w:sz w:val="3"/>
                <w:szCs w:val="3"/>
                <w:color w:val="auto"/>
              </w:rPr>
            </w:pPr>
          </w:p>
        </w:tc>
        <w:tc>
          <w:tcPr>
            <w:tcW w:w="260" w:type="dxa"/>
            <w:vAlign w:val="bottom"/>
            <w:tcBorders>
              <w:right w:val="single" w:sz="8" w:color="F2F2F2"/>
            </w:tcBorders>
            <w:shd w:val="clear" w:color="auto" w:fill="F2F2F2"/>
          </w:tcPr>
          <w:p>
            <w:pPr>
              <w:spacing w:after="0"/>
              <w:rPr>
                <w:sz w:val="3"/>
                <w:szCs w:val="3"/>
                <w:color w:val="auto"/>
              </w:rPr>
            </w:pPr>
          </w:p>
        </w:tc>
        <w:tc>
          <w:tcPr>
            <w:tcW w:w="480" w:type="dxa"/>
            <w:vAlign w:val="bottom"/>
            <w:shd w:val="clear" w:color="auto" w:fill="F2F2F2"/>
          </w:tcPr>
          <w:p>
            <w:pPr>
              <w:spacing w:after="0"/>
              <w:rPr>
                <w:sz w:val="3"/>
                <w:szCs w:val="3"/>
                <w:color w:val="auto"/>
              </w:rPr>
            </w:pPr>
          </w:p>
        </w:tc>
        <w:tc>
          <w:tcPr>
            <w:tcW w:w="740" w:type="dxa"/>
            <w:vAlign w:val="bottom"/>
            <w:shd w:val="clear" w:color="auto" w:fill="F2F2F2"/>
          </w:tcPr>
          <w:p>
            <w:pPr>
              <w:spacing w:after="0"/>
              <w:rPr>
                <w:sz w:val="3"/>
                <w:szCs w:val="3"/>
                <w:color w:val="auto"/>
              </w:rPr>
            </w:pPr>
          </w:p>
        </w:tc>
        <w:tc>
          <w:tcPr>
            <w:tcW w:w="1580" w:type="dxa"/>
            <w:vAlign w:val="bottom"/>
            <w:shd w:val="clear" w:color="auto" w:fill="F2F2F2"/>
          </w:tcPr>
          <w:p>
            <w:pPr>
              <w:spacing w:after="0"/>
              <w:rPr>
                <w:sz w:val="3"/>
                <w:szCs w:val="3"/>
                <w:color w:val="auto"/>
              </w:rPr>
            </w:pPr>
          </w:p>
        </w:tc>
        <w:tc>
          <w:tcPr>
            <w:tcW w:w="860" w:type="dxa"/>
            <w:vAlign w:val="bottom"/>
            <w:shd w:val="clear" w:color="auto" w:fill="F2F2F2"/>
          </w:tcPr>
          <w:p>
            <w:pPr>
              <w:spacing w:after="0"/>
              <w:rPr>
                <w:sz w:val="3"/>
                <w:szCs w:val="3"/>
                <w:color w:val="auto"/>
              </w:rPr>
            </w:pPr>
          </w:p>
        </w:tc>
        <w:tc>
          <w:tcPr>
            <w:tcW w:w="680" w:type="dxa"/>
            <w:vAlign w:val="bottom"/>
            <w:shd w:val="clear" w:color="auto" w:fill="F2F2F2"/>
          </w:tcPr>
          <w:p>
            <w:pPr>
              <w:spacing w:after="0"/>
              <w:rPr>
                <w:sz w:val="3"/>
                <w:szCs w:val="3"/>
                <w:color w:val="auto"/>
              </w:rPr>
            </w:pPr>
          </w:p>
        </w:tc>
        <w:tc>
          <w:tcPr>
            <w:tcW w:w="1140" w:type="dxa"/>
            <w:vAlign w:val="bottom"/>
            <w:shd w:val="clear" w:color="auto" w:fill="F2F2F2"/>
          </w:tcPr>
          <w:p>
            <w:pPr>
              <w:spacing w:after="0"/>
              <w:rPr>
                <w:sz w:val="3"/>
                <w:szCs w:val="3"/>
                <w:color w:val="auto"/>
              </w:rPr>
            </w:pPr>
          </w:p>
        </w:tc>
        <w:tc>
          <w:tcPr>
            <w:tcW w:w="1360" w:type="dxa"/>
            <w:vAlign w:val="bottom"/>
            <w:shd w:val="clear" w:color="auto" w:fill="F2F2F2"/>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580" w:type="dxa"/>
            <w:vAlign w:val="bottom"/>
            <w:tcBorders>
              <w:left w:val="single" w:sz="8" w:color="F2F2F2"/>
            </w:tcBorders>
            <w:gridSpan w:val="3"/>
            <w:shd w:val="clear" w:color="auto" w:fill="F2F2F2"/>
          </w:tcPr>
          <w:p>
            <w:pPr>
              <w:ind w:left="520"/>
              <w:spacing w:after="0"/>
              <w:rPr>
                <w:sz w:val="20"/>
                <w:szCs w:val="20"/>
                <w:color w:val="auto"/>
              </w:rPr>
            </w:pPr>
            <w:r>
              <w:rPr>
                <w:rFonts w:ascii="Arial" w:cs="Arial" w:eastAsia="Arial" w:hAnsi="Arial"/>
                <w:sz w:val="18"/>
                <w:szCs w:val="18"/>
                <w:color w:val="auto"/>
              </w:rPr>
              <w:t>Relationship Officer</w:t>
            </w:r>
          </w:p>
        </w:tc>
        <w:tc>
          <w:tcPr>
            <w:tcW w:w="1340" w:type="dxa"/>
            <w:vAlign w:val="bottom"/>
            <w:shd w:val="clear" w:color="auto" w:fill="F2F2F2"/>
          </w:tcPr>
          <w:p>
            <w:pPr>
              <w:spacing w:after="0"/>
              <w:rPr>
                <w:sz w:val="20"/>
                <w:szCs w:val="20"/>
                <w:color w:val="auto"/>
              </w:rPr>
            </w:pPr>
          </w:p>
        </w:tc>
        <w:tc>
          <w:tcPr>
            <w:tcW w:w="260" w:type="dxa"/>
            <w:vAlign w:val="bottom"/>
            <w:tcBorders>
              <w:right w:val="single" w:sz="8" w:color="F2F2F2"/>
            </w:tcBorders>
            <w:shd w:val="clear" w:color="auto" w:fill="F2F2F2"/>
          </w:tcPr>
          <w:p>
            <w:pPr>
              <w:spacing w:after="0"/>
              <w:rPr>
                <w:sz w:val="20"/>
                <w:szCs w:val="20"/>
                <w:color w:val="auto"/>
              </w:rPr>
            </w:pPr>
          </w:p>
        </w:tc>
        <w:tc>
          <w:tcPr>
            <w:tcW w:w="5480" w:type="dxa"/>
            <w:vAlign w:val="bottom"/>
            <w:gridSpan w:val="6"/>
            <w:vMerge w:val="restart"/>
            <w:shd w:val="clear" w:color="auto" w:fill="F2F2F2"/>
          </w:tcPr>
          <w:p>
            <w:pPr>
              <w:ind w:left="240"/>
              <w:spacing w:after="0"/>
              <w:rPr>
                <w:sz w:val="20"/>
                <w:szCs w:val="20"/>
                <w:color w:val="auto"/>
              </w:rPr>
            </w:pPr>
            <w:r>
              <w:rPr>
                <w:rFonts w:ascii="Arial" w:cs="Arial" w:eastAsia="Arial" w:hAnsi="Arial"/>
                <w:sz w:val="18"/>
                <w:szCs w:val="18"/>
                <w:b w:val="1"/>
                <w:bCs w:val="1"/>
                <w:color w:val="376DB5"/>
              </w:rPr>
              <w:t>Expertise, Strategic Capabilities, and Key Competencies</w:t>
            </w:r>
          </w:p>
        </w:tc>
        <w:tc>
          <w:tcPr>
            <w:tcW w:w="136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2580" w:type="dxa"/>
            <w:vAlign w:val="bottom"/>
            <w:tcBorders>
              <w:left w:val="single" w:sz="8" w:color="F2F2F2"/>
            </w:tcBorders>
            <w:gridSpan w:val="3"/>
            <w:vMerge w:val="restart"/>
            <w:shd w:val="clear" w:color="auto" w:fill="F2F2F2"/>
          </w:tcPr>
          <w:p>
            <w:pPr>
              <w:ind w:left="140"/>
              <w:spacing w:after="0"/>
              <w:rPr>
                <w:sz w:val="20"/>
                <w:szCs w:val="20"/>
                <w:color w:val="auto"/>
              </w:rPr>
            </w:pPr>
            <w:r>
              <w:rPr>
                <w:rFonts w:ascii="Arial" w:cs="Arial" w:eastAsia="Arial" w:hAnsi="Arial"/>
                <w:sz w:val="18"/>
                <w:szCs w:val="18"/>
                <w:color w:val="auto"/>
              </w:rPr>
              <w:t>Accenture Ltd (1972 to 2008)</w:t>
            </w:r>
          </w:p>
        </w:tc>
        <w:tc>
          <w:tcPr>
            <w:tcW w:w="1340" w:type="dxa"/>
            <w:vAlign w:val="bottom"/>
            <w:shd w:val="clear" w:color="auto" w:fill="F2F2F2"/>
          </w:tcPr>
          <w:p>
            <w:pPr>
              <w:spacing w:after="0"/>
              <w:rPr>
                <w:sz w:val="8"/>
                <w:szCs w:val="8"/>
                <w:color w:val="auto"/>
              </w:rPr>
            </w:pPr>
          </w:p>
        </w:tc>
        <w:tc>
          <w:tcPr>
            <w:tcW w:w="260" w:type="dxa"/>
            <w:vAlign w:val="bottom"/>
            <w:tcBorders>
              <w:right w:val="single" w:sz="8" w:color="F2F2F2"/>
            </w:tcBorders>
            <w:shd w:val="clear" w:color="auto" w:fill="F2F2F2"/>
          </w:tcPr>
          <w:p>
            <w:pPr>
              <w:spacing w:after="0"/>
              <w:rPr>
                <w:sz w:val="8"/>
                <w:szCs w:val="8"/>
                <w:color w:val="auto"/>
              </w:rPr>
            </w:pPr>
          </w:p>
        </w:tc>
        <w:tc>
          <w:tcPr>
            <w:tcW w:w="5480" w:type="dxa"/>
            <w:vAlign w:val="bottom"/>
            <w:gridSpan w:val="6"/>
            <w:vMerge w:val="continue"/>
            <w:shd w:val="clear" w:color="auto" w:fill="F2F2F2"/>
          </w:tcPr>
          <w:p>
            <w:pPr>
              <w:spacing w:after="0"/>
              <w:rPr>
                <w:sz w:val="8"/>
                <w:szCs w:val="8"/>
                <w:color w:val="auto"/>
              </w:rPr>
            </w:pPr>
          </w:p>
        </w:tc>
        <w:tc>
          <w:tcPr>
            <w:tcW w:w="136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580" w:type="dxa"/>
            <w:vAlign w:val="bottom"/>
            <w:tcBorders>
              <w:left w:val="single" w:sz="8" w:color="F2F2F2"/>
            </w:tcBorders>
            <w:gridSpan w:val="3"/>
            <w:vMerge w:val="continue"/>
            <w:shd w:val="clear" w:color="auto" w:fill="F2F2F2"/>
          </w:tcPr>
          <w:p>
            <w:pPr>
              <w:spacing w:after="0"/>
              <w:rPr>
                <w:sz w:val="21"/>
                <w:szCs w:val="21"/>
                <w:color w:val="auto"/>
              </w:rPr>
            </w:pPr>
          </w:p>
        </w:tc>
        <w:tc>
          <w:tcPr>
            <w:tcW w:w="1340" w:type="dxa"/>
            <w:vAlign w:val="bottom"/>
            <w:shd w:val="clear" w:color="auto" w:fill="F2F2F2"/>
          </w:tcPr>
          <w:p>
            <w:pPr>
              <w:spacing w:after="0"/>
              <w:rPr>
                <w:sz w:val="21"/>
                <w:szCs w:val="21"/>
                <w:color w:val="auto"/>
              </w:rPr>
            </w:pPr>
          </w:p>
        </w:tc>
        <w:tc>
          <w:tcPr>
            <w:tcW w:w="260" w:type="dxa"/>
            <w:vAlign w:val="bottom"/>
            <w:tcBorders>
              <w:right w:val="single" w:sz="8" w:color="F2F2F2"/>
            </w:tcBorders>
            <w:shd w:val="clear" w:color="auto" w:fill="F2F2F2"/>
          </w:tcPr>
          <w:p>
            <w:pPr>
              <w:spacing w:after="0"/>
              <w:rPr>
                <w:sz w:val="21"/>
                <w:szCs w:val="21"/>
                <w:color w:val="auto"/>
              </w:rPr>
            </w:pPr>
          </w:p>
        </w:tc>
        <w:tc>
          <w:tcPr>
            <w:tcW w:w="480" w:type="dxa"/>
            <w:vAlign w:val="bottom"/>
            <w:shd w:val="clear" w:color="auto" w:fill="F2F2F2"/>
          </w:tcPr>
          <w:p>
            <w:pPr>
              <w:ind w:left="38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F2F2F2"/>
          </w:tcPr>
          <w:p>
            <w:pPr>
              <w:ind w:left="60"/>
              <w:spacing w:after="0"/>
              <w:rPr>
                <w:sz w:val="20"/>
                <w:szCs w:val="20"/>
                <w:color w:val="auto"/>
              </w:rPr>
            </w:pPr>
            <w:r>
              <w:rPr>
                <w:rFonts w:ascii="Arial" w:cs="Arial" w:eastAsia="Arial" w:hAnsi="Arial"/>
                <w:sz w:val="18"/>
                <w:szCs w:val="18"/>
                <w:color w:val="auto"/>
              </w:rPr>
              <w:t>Strategy development</w:t>
            </w:r>
          </w:p>
        </w:tc>
        <w:tc>
          <w:tcPr>
            <w:tcW w:w="860" w:type="dxa"/>
            <w:vAlign w:val="bottom"/>
            <w:shd w:val="clear" w:color="auto" w:fill="F2F2F2"/>
          </w:tcPr>
          <w:p>
            <w:pPr>
              <w:ind w:left="760"/>
              <w:spacing w:after="0"/>
              <w:rPr>
                <w:sz w:val="20"/>
                <w:szCs w:val="20"/>
                <w:color w:val="auto"/>
              </w:rPr>
            </w:pPr>
            <w:r>
              <w:rPr>
                <w:rFonts w:ascii="Arial" w:cs="Arial" w:eastAsia="Arial" w:hAnsi="Arial"/>
                <w:sz w:val="18"/>
                <w:szCs w:val="18"/>
                <w:color w:val="auto"/>
              </w:rPr>
              <w:t>•</w:t>
            </w:r>
          </w:p>
        </w:tc>
        <w:tc>
          <w:tcPr>
            <w:tcW w:w="3180" w:type="dxa"/>
            <w:vAlign w:val="bottom"/>
            <w:gridSpan w:val="3"/>
            <w:shd w:val="clear" w:color="auto" w:fill="F2F2F2"/>
          </w:tcPr>
          <w:p>
            <w:pPr>
              <w:ind w:left="60"/>
              <w:spacing w:after="0"/>
              <w:rPr>
                <w:sz w:val="20"/>
                <w:szCs w:val="20"/>
                <w:color w:val="auto"/>
              </w:rPr>
            </w:pPr>
            <w:r>
              <w:rPr>
                <w:rFonts w:ascii="Arial" w:cs="Arial" w:eastAsia="Arial" w:hAnsi="Arial"/>
                <w:sz w:val="18"/>
                <w:szCs w:val="18"/>
                <w:color w:val="auto"/>
              </w:rPr>
              <w:t>Cybersecurity oversight</w:t>
            </w:r>
          </w:p>
        </w:tc>
        <w:tc>
          <w:tcPr>
            <w:tcW w:w="0" w:type="dxa"/>
            <w:vAlign w:val="bottom"/>
          </w:tcPr>
          <w:p>
            <w:pPr>
              <w:spacing w:after="0"/>
              <w:rPr>
                <w:sz w:val="1"/>
                <w:szCs w:val="1"/>
                <w:color w:val="auto"/>
              </w:rPr>
            </w:pPr>
          </w:p>
        </w:tc>
      </w:tr>
      <w:tr>
        <w:trPr>
          <w:trHeight w:val="243"/>
        </w:trPr>
        <w:tc>
          <w:tcPr>
            <w:tcW w:w="2580" w:type="dxa"/>
            <w:vAlign w:val="bottom"/>
            <w:tcBorders>
              <w:left w:val="single" w:sz="8" w:color="F2F2F2"/>
            </w:tcBorders>
            <w:gridSpan w:val="3"/>
            <w:shd w:val="clear" w:color="auto" w:fill="F2F2F2"/>
          </w:tcPr>
          <w:p>
            <w:pPr>
              <w:ind w:left="360"/>
              <w:spacing w:after="0"/>
              <w:rPr>
                <w:sz w:val="20"/>
                <w:szCs w:val="20"/>
                <w:color w:val="auto"/>
              </w:rPr>
            </w:pPr>
            <w:r>
              <w:rPr>
                <w:rFonts w:ascii="Arial" w:cs="Arial" w:eastAsia="Arial" w:hAnsi="Arial"/>
                <w:sz w:val="18"/>
                <w:szCs w:val="18"/>
                <w:color w:val="auto"/>
              </w:rPr>
              <w:t xml:space="preserve">• Employee  </w:t>
            </w:r>
            <w:r>
              <w:rPr>
                <w:rFonts w:ascii="Times New Roman" w:cs="Times New Roman" w:eastAsia="Times New Roman" w:hAnsi="Times New Roman"/>
                <w:sz w:val="13"/>
                <w:szCs w:val="13"/>
                <w:color w:val="auto"/>
              </w:rPr>
              <w:t>u</w:t>
            </w:r>
            <w:r>
              <w:rPr>
                <w:rFonts w:ascii="Arial" w:cs="Arial" w:eastAsia="Arial" w:hAnsi="Arial"/>
                <w:sz w:val="18"/>
                <w:szCs w:val="18"/>
                <w:color w:val="auto"/>
              </w:rPr>
              <w:t xml:space="preserve">  Partner</w:t>
            </w:r>
          </w:p>
        </w:tc>
        <w:tc>
          <w:tcPr>
            <w:tcW w:w="1340" w:type="dxa"/>
            <w:vAlign w:val="bottom"/>
            <w:shd w:val="clear" w:color="auto" w:fill="F2F2F2"/>
          </w:tcPr>
          <w:p>
            <w:pPr>
              <w:spacing w:after="0"/>
              <w:rPr>
                <w:sz w:val="21"/>
                <w:szCs w:val="21"/>
                <w:color w:val="auto"/>
              </w:rPr>
            </w:pPr>
          </w:p>
        </w:tc>
        <w:tc>
          <w:tcPr>
            <w:tcW w:w="260" w:type="dxa"/>
            <w:vAlign w:val="bottom"/>
            <w:tcBorders>
              <w:right w:val="single" w:sz="8" w:color="F2F2F2"/>
            </w:tcBorders>
            <w:shd w:val="clear" w:color="auto" w:fill="F2F2F2"/>
          </w:tcPr>
          <w:p>
            <w:pPr>
              <w:spacing w:after="0"/>
              <w:rPr>
                <w:sz w:val="21"/>
                <w:szCs w:val="21"/>
                <w:color w:val="auto"/>
              </w:rPr>
            </w:pPr>
          </w:p>
        </w:tc>
        <w:tc>
          <w:tcPr>
            <w:tcW w:w="480" w:type="dxa"/>
            <w:vAlign w:val="bottom"/>
            <w:shd w:val="clear" w:color="auto" w:fill="F2F2F2"/>
          </w:tcPr>
          <w:p>
            <w:pPr>
              <w:ind w:left="38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F2F2F2"/>
          </w:tcPr>
          <w:p>
            <w:pPr>
              <w:ind w:left="60"/>
              <w:spacing w:after="0"/>
              <w:rPr>
                <w:sz w:val="20"/>
                <w:szCs w:val="20"/>
                <w:color w:val="auto"/>
              </w:rPr>
            </w:pPr>
            <w:r>
              <w:rPr>
                <w:rFonts w:ascii="Arial" w:cs="Arial" w:eastAsia="Arial" w:hAnsi="Arial"/>
                <w:sz w:val="18"/>
                <w:szCs w:val="18"/>
                <w:color w:val="auto"/>
              </w:rPr>
              <w:t>Financial expertise</w:t>
            </w:r>
          </w:p>
        </w:tc>
        <w:tc>
          <w:tcPr>
            <w:tcW w:w="860" w:type="dxa"/>
            <w:vAlign w:val="bottom"/>
            <w:shd w:val="clear" w:color="auto" w:fill="F2F2F2"/>
          </w:tcPr>
          <w:p>
            <w:pPr>
              <w:ind w:left="7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F2F2F2"/>
          </w:tcPr>
          <w:p>
            <w:pPr>
              <w:ind w:left="60"/>
              <w:spacing w:after="0"/>
              <w:rPr>
                <w:sz w:val="20"/>
                <w:szCs w:val="20"/>
                <w:color w:val="auto"/>
              </w:rPr>
            </w:pPr>
            <w:r>
              <w:rPr>
                <w:rFonts w:ascii="Arial" w:cs="Arial" w:eastAsia="Arial" w:hAnsi="Arial"/>
                <w:sz w:val="18"/>
                <w:szCs w:val="18"/>
                <w:color w:val="auto"/>
                <w:w w:val="99"/>
              </w:rPr>
              <w:t>International business</w:t>
            </w:r>
          </w:p>
        </w:tc>
        <w:tc>
          <w:tcPr>
            <w:tcW w:w="136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1540" w:type="dxa"/>
            <w:vAlign w:val="bottom"/>
            <w:tcBorders>
              <w:left w:val="single" w:sz="8" w:color="F2F2F2"/>
            </w:tcBorders>
            <w:shd w:val="clear" w:color="auto" w:fill="F2F2F2"/>
          </w:tcPr>
          <w:p>
            <w:pPr>
              <w:spacing w:after="0"/>
              <w:rPr>
                <w:sz w:val="24"/>
                <w:szCs w:val="24"/>
                <w:color w:val="auto"/>
              </w:rPr>
            </w:pPr>
          </w:p>
        </w:tc>
        <w:tc>
          <w:tcPr>
            <w:tcW w:w="760" w:type="dxa"/>
            <w:vAlign w:val="bottom"/>
            <w:shd w:val="clear" w:color="auto" w:fill="F2F2F2"/>
          </w:tcPr>
          <w:p>
            <w:pPr>
              <w:spacing w:after="0"/>
              <w:rPr>
                <w:sz w:val="24"/>
                <w:szCs w:val="24"/>
                <w:color w:val="auto"/>
              </w:rPr>
            </w:pPr>
          </w:p>
        </w:tc>
        <w:tc>
          <w:tcPr>
            <w:tcW w:w="280" w:type="dxa"/>
            <w:vAlign w:val="bottom"/>
            <w:shd w:val="clear" w:color="auto" w:fill="F2F2F2"/>
          </w:tcPr>
          <w:p>
            <w:pPr>
              <w:spacing w:after="0"/>
              <w:rPr>
                <w:sz w:val="24"/>
                <w:szCs w:val="24"/>
                <w:color w:val="auto"/>
              </w:rPr>
            </w:pPr>
          </w:p>
        </w:tc>
        <w:tc>
          <w:tcPr>
            <w:tcW w:w="1340" w:type="dxa"/>
            <w:vAlign w:val="bottom"/>
            <w:shd w:val="clear" w:color="auto" w:fill="F2F2F2"/>
          </w:tcPr>
          <w:p>
            <w:pPr>
              <w:spacing w:after="0"/>
              <w:rPr>
                <w:sz w:val="24"/>
                <w:szCs w:val="24"/>
                <w:color w:val="auto"/>
              </w:rPr>
            </w:pPr>
          </w:p>
        </w:tc>
        <w:tc>
          <w:tcPr>
            <w:tcW w:w="260" w:type="dxa"/>
            <w:vAlign w:val="bottom"/>
            <w:tcBorders>
              <w:right w:val="single" w:sz="8" w:color="F2F2F2"/>
            </w:tcBorders>
            <w:shd w:val="clear" w:color="auto" w:fill="F2F2F2"/>
          </w:tcPr>
          <w:p>
            <w:pPr>
              <w:spacing w:after="0"/>
              <w:rPr>
                <w:sz w:val="24"/>
                <w:szCs w:val="24"/>
                <w:color w:val="auto"/>
              </w:rPr>
            </w:pPr>
          </w:p>
        </w:tc>
        <w:tc>
          <w:tcPr>
            <w:tcW w:w="480" w:type="dxa"/>
            <w:vAlign w:val="bottom"/>
            <w:shd w:val="clear" w:color="auto" w:fill="F2F2F2"/>
          </w:tcPr>
          <w:p>
            <w:pPr>
              <w:spacing w:after="0"/>
              <w:rPr>
                <w:sz w:val="24"/>
                <w:szCs w:val="24"/>
                <w:color w:val="auto"/>
              </w:rPr>
            </w:pPr>
          </w:p>
        </w:tc>
        <w:tc>
          <w:tcPr>
            <w:tcW w:w="740" w:type="dxa"/>
            <w:vAlign w:val="bottom"/>
            <w:shd w:val="clear" w:color="auto" w:fill="F2F2F2"/>
          </w:tcPr>
          <w:p>
            <w:pPr>
              <w:spacing w:after="0"/>
              <w:rPr>
                <w:sz w:val="24"/>
                <w:szCs w:val="24"/>
                <w:color w:val="auto"/>
              </w:rPr>
            </w:pPr>
          </w:p>
        </w:tc>
        <w:tc>
          <w:tcPr>
            <w:tcW w:w="1580" w:type="dxa"/>
            <w:vAlign w:val="bottom"/>
            <w:shd w:val="clear" w:color="auto" w:fill="F2F2F2"/>
          </w:tcPr>
          <w:p>
            <w:pPr>
              <w:spacing w:after="0"/>
              <w:rPr>
                <w:sz w:val="24"/>
                <w:szCs w:val="24"/>
                <w:color w:val="auto"/>
              </w:rPr>
            </w:pPr>
          </w:p>
        </w:tc>
        <w:tc>
          <w:tcPr>
            <w:tcW w:w="860" w:type="dxa"/>
            <w:vAlign w:val="bottom"/>
            <w:shd w:val="clear" w:color="auto" w:fill="F2F2F2"/>
          </w:tcPr>
          <w:p>
            <w:pPr>
              <w:spacing w:after="0"/>
              <w:rPr>
                <w:sz w:val="24"/>
                <w:szCs w:val="24"/>
                <w:color w:val="auto"/>
              </w:rPr>
            </w:pPr>
          </w:p>
        </w:tc>
        <w:tc>
          <w:tcPr>
            <w:tcW w:w="680" w:type="dxa"/>
            <w:vAlign w:val="bottom"/>
            <w:shd w:val="clear" w:color="auto" w:fill="F2F2F2"/>
          </w:tcPr>
          <w:p>
            <w:pPr>
              <w:spacing w:after="0"/>
              <w:rPr>
                <w:sz w:val="24"/>
                <w:szCs w:val="24"/>
                <w:color w:val="auto"/>
              </w:rPr>
            </w:pPr>
          </w:p>
        </w:tc>
        <w:tc>
          <w:tcPr>
            <w:tcW w:w="1140" w:type="dxa"/>
            <w:vAlign w:val="bottom"/>
            <w:shd w:val="clear" w:color="auto" w:fill="F2F2F2"/>
          </w:tcPr>
          <w:p>
            <w:pPr>
              <w:spacing w:after="0"/>
              <w:rPr>
                <w:sz w:val="24"/>
                <w:szCs w:val="24"/>
                <w:color w:val="auto"/>
              </w:rPr>
            </w:pPr>
          </w:p>
        </w:tc>
        <w:tc>
          <w:tcPr>
            <w:tcW w:w="136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40" w:type="dxa"/>
            <w:vAlign w:val="bottom"/>
            <w:tcBorders>
              <w:bottom w:val="single" w:sz="8" w:color="376DB5"/>
            </w:tcBorders>
          </w:tcPr>
          <w:p>
            <w:pPr>
              <w:spacing w:after="0"/>
              <w:rPr>
                <w:sz w:val="24"/>
                <w:szCs w:val="24"/>
                <w:color w:val="auto"/>
              </w:rPr>
            </w:pPr>
          </w:p>
        </w:tc>
        <w:tc>
          <w:tcPr>
            <w:tcW w:w="760" w:type="dxa"/>
            <w:vAlign w:val="bottom"/>
            <w:tcBorders>
              <w:bottom w:val="single" w:sz="8" w:color="376DB5"/>
            </w:tcBorders>
          </w:tcPr>
          <w:p>
            <w:pPr>
              <w:spacing w:after="0"/>
              <w:rPr>
                <w:sz w:val="24"/>
                <w:szCs w:val="24"/>
                <w:color w:val="auto"/>
              </w:rPr>
            </w:pPr>
          </w:p>
        </w:tc>
        <w:tc>
          <w:tcPr>
            <w:tcW w:w="280" w:type="dxa"/>
            <w:vAlign w:val="bottom"/>
            <w:tcBorders>
              <w:bottom w:val="single" w:sz="8" w:color="376DB5"/>
            </w:tcBorders>
          </w:tcPr>
          <w:p>
            <w:pPr>
              <w:spacing w:after="0"/>
              <w:rPr>
                <w:sz w:val="24"/>
                <w:szCs w:val="24"/>
                <w:color w:val="auto"/>
              </w:rPr>
            </w:pPr>
          </w:p>
        </w:tc>
        <w:tc>
          <w:tcPr>
            <w:tcW w:w="1340" w:type="dxa"/>
            <w:vAlign w:val="bottom"/>
            <w:tcBorders>
              <w:bottom w:val="single" w:sz="8" w:color="376DB5"/>
            </w:tcBorders>
          </w:tcPr>
          <w:p>
            <w:pPr>
              <w:spacing w:after="0"/>
              <w:rPr>
                <w:sz w:val="24"/>
                <w:szCs w:val="24"/>
                <w:color w:val="auto"/>
              </w:rPr>
            </w:pPr>
          </w:p>
        </w:tc>
        <w:tc>
          <w:tcPr>
            <w:tcW w:w="260" w:type="dxa"/>
            <w:vAlign w:val="bottom"/>
            <w:tcBorders>
              <w:bottom w:val="single" w:sz="8" w:color="376DB5"/>
            </w:tcBorders>
          </w:tcPr>
          <w:p>
            <w:pPr>
              <w:spacing w:after="0"/>
              <w:rPr>
                <w:sz w:val="24"/>
                <w:szCs w:val="24"/>
                <w:color w:val="auto"/>
              </w:rPr>
            </w:pPr>
          </w:p>
        </w:tc>
        <w:tc>
          <w:tcPr>
            <w:tcW w:w="480" w:type="dxa"/>
            <w:vAlign w:val="bottom"/>
            <w:tcBorders>
              <w:bottom w:val="single" w:sz="8" w:color="376DB5"/>
            </w:tcBorders>
          </w:tcPr>
          <w:p>
            <w:pPr>
              <w:spacing w:after="0"/>
              <w:rPr>
                <w:sz w:val="24"/>
                <w:szCs w:val="24"/>
                <w:color w:val="auto"/>
              </w:rPr>
            </w:pPr>
          </w:p>
        </w:tc>
        <w:tc>
          <w:tcPr>
            <w:tcW w:w="740" w:type="dxa"/>
            <w:vAlign w:val="bottom"/>
            <w:tcBorders>
              <w:bottom w:val="single" w:sz="8" w:color="376DB5"/>
            </w:tcBorders>
          </w:tcPr>
          <w:p>
            <w:pPr>
              <w:spacing w:after="0"/>
              <w:rPr>
                <w:sz w:val="24"/>
                <w:szCs w:val="24"/>
                <w:color w:val="auto"/>
              </w:rPr>
            </w:pPr>
          </w:p>
        </w:tc>
        <w:tc>
          <w:tcPr>
            <w:tcW w:w="1580" w:type="dxa"/>
            <w:vAlign w:val="bottom"/>
            <w:tcBorders>
              <w:bottom w:val="single" w:sz="8" w:color="376DB5"/>
            </w:tcBorders>
          </w:tcPr>
          <w:p>
            <w:pPr>
              <w:spacing w:after="0"/>
              <w:rPr>
                <w:sz w:val="24"/>
                <w:szCs w:val="24"/>
                <w:color w:val="auto"/>
              </w:rPr>
            </w:pPr>
          </w:p>
        </w:tc>
        <w:tc>
          <w:tcPr>
            <w:tcW w:w="860" w:type="dxa"/>
            <w:vAlign w:val="bottom"/>
            <w:tcBorders>
              <w:bottom w:val="single" w:sz="8" w:color="376DB5"/>
            </w:tcBorders>
          </w:tcPr>
          <w:p>
            <w:pPr>
              <w:spacing w:after="0"/>
              <w:rPr>
                <w:sz w:val="24"/>
                <w:szCs w:val="24"/>
                <w:color w:val="auto"/>
              </w:rPr>
            </w:pPr>
          </w:p>
        </w:tc>
        <w:tc>
          <w:tcPr>
            <w:tcW w:w="680" w:type="dxa"/>
            <w:vAlign w:val="bottom"/>
            <w:tcBorders>
              <w:bottom w:val="single" w:sz="8" w:color="376DB5"/>
            </w:tcBorders>
          </w:tcPr>
          <w:p>
            <w:pPr>
              <w:spacing w:after="0"/>
              <w:rPr>
                <w:sz w:val="24"/>
                <w:szCs w:val="24"/>
                <w:color w:val="auto"/>
              </w:rPr>
            </w:pPr>
          </w:p>
        </w:tc>
        <w:tc>
          <w:tcPr>
            <w:tcW w:w="1140" w:type="dxa"/>
            <w:vAlign w:val="bottom"/>
            <w:tcBorders>
              <w:bottom w:val="single" w:sz="8" w:color="376DB5"/>
            </w:tcBorders>
          </w:tcPr>
          <w:p>
            <w:pPr>
              <w:spacing w:after="0"/>
              <w:rPr>
                <w:sz w:val="24"/>
                <w:szCs w:val="24"/>
                <w:color w:val="auto"/>
              </w:rPr>
            </w:pPr>
          </w:p>
        </w:tc>
        <w:tc>
          <w:tcPr>
            <w:tcW w:w="1360" w:type="dxa"/>
            <w:vAlign w:val="bottom"/>
            <w:tcBorders>
              <w:bottom w:val="single" w:sz="8" w:color="376DB5"/>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540" w:type="dxa"/>
            <w:vAlign w:val="bottom"/>
            <w:tcBorders>
              <w:bottom w:val="single" w:sz="8" w:color="376DB5"/>
            </w:tcBorders>
          </w:tcPr>
          <w:p>
            <w:pPr>
              <w:spacing w:after="0"/>
              <w:rPr>
                <w:sz w:val="24"/>
                <w:szCs w:val="24"/>
                <w:color w:val="auto"/>
              </w:rPr>
            </w:pPr>
          </w:p>
        </w:tc>
        <w:tc>
          <w:tcPr>
            <w:tcW w:w="760" w:type="dxa"/>
            <w:vAlign w:val="bottom"/>
            <w:tcBorders>
              <w:bottom w:val="single" w:sz="8" w:color="376DB5"/>
            </w:tcBorders>
          </w:tcPr>
          <w:p>
            <w:pPr>
              <w:spacing w:after="0"/>
              <w:rPr>
                <w:sz w:val="24"/>
                <w:szCs w:val="24"/>
                <w:color w:val="auto"/>
              </w:rPr>
            </w:pPr>
          </w:p>
        </w:tc>
        <w:tc>
          <w:tcPr>
            <w:tcW w:w="280" w:type="dxa"/>
            <w:vAlign w:val="bottom"/>
            <w:tcBorders>
              <w:bottom w:val="single" w:sz="8" w:color="376DB5"/>
            </w:tcBorders>
          </w:tcPr>
          <w:p>
            <w:pPr>
              <w:spacing w:after="0"/>
              <w:rPr>
                <w:sz w:val="24"/>
                <w:szCs w:val="24"/>
                <w:color w:val="auto"/>
              </w:rPr>
            </w:pPr>
          </w:p>
        </w:tc>
        <w:tc>
          <w:tcPr>
            <w:tcW w:w="1340" w:type="dxa"/>
            <w:vAlign w:val="bottom"/>
            <w:tcBorders>
              <w:bottom w:val="single" w:sz="8" w:color="376DB5"/>
            </w:tcBorders>
          </w:tcPr>
          <w:p>
            <w:pPr>
              <w:spacing w:after="0"/>
              <w:rPr>
                <w:sz w:val="24"/>
                <w:szCs w:val="24"/>
                <w:color w:val="auto"/>
              </w:rPr>
            </w:pPr>
          </w:p>
        </w:tc>
        <w:tc>
          <w:tcPr>
            <w:tcW w:w="260" w:type="dxa"/>
            <w:vAlign w:val="bottom"/>
            <w:tcBorders>
              <w:bottom w:val="single" w:sz="8" w:color="376DB5"/>
            </w:tcBorders>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-26670</wp:posOffset>
            </wp:positionV>
            <wp:extent cx="6995160" cy="3446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344614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04"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376DB5"/>
        </w:rPr>
        <w:t>H. Tayloe Stansbury</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Director (since 2023)</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Age 64</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376DB5"/>
        </w:rPr>
        <w:t>Independent</w:t>
      </w:r>
    </w:p>
    <w:p>
      <w:pPr>
        <w:spacing w:after="0" w:line="34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376DB5"/>
        </w:rPr>
        <w:t>Professional Experience</w:t>
      </w:r>
    </w:p>
    <w:p>
      <w:pPr>
        <w:spacing w:after="0" w:line="117" w:lineRule="exact"/>
        <w:rPr>
          <w:sz w:val="20"/>
          <w:szCs w:val="20"/>
          <w:color w:val="auto"/>
        </w:rPr>
      </w:pPr>
    </w:p>
    <w:p>
      <w:pPr>
        <w:ind w:left="260" w:right="560"/>
        <w:spacing w:after="0" w:line="253" w:lineRule="auto"/>
        <w:rPr>
          <w:sz w:val="20"/>
          <w:szCs w:val="20"/>
          <w:color w:val="auto"/>
        </w:rPr>
      </w:pPr>
      <w:r>
        <w:rPr>
          <w:rFonts w:ascii="Arial" w:cs="Arial" w:eastAsia="Arial" w:hAnsi="Arial"/>
          <w:sz w:val="18"/>
          <w:szCs w:val="18"/>
          <w:color w:val="auto"/>
        </w:rPr>
        <w:t>Chairman (since August 2021) and Chief Executive Officer (since November 2020) of Kaleidescape</w:t>
      </w:r>
    </w:p>
    <w:p>
      <w:pPr>
        <w:spacing w:after="0" w:line="74" w:lineRule="exact"/>
        <w:rPr>
          <w:sz w:val="20"/>
          <w:szCs w:val="20"/>
          <w:color w:val="auto"/>
        </w:rPr>
      </w:pPr>
    </w:p>
    <w:p>
      <w:pPr>
        <w:jc w:val="both"/>
        <w:ind w:left="260" w:right="500"/>
        <w:spacing w:after="0" w:line="301" w:lineRule="auto"/>
        <w:rPr>
          <w:sz w:val="20"/>
          <w:szCs w:val="20"/>
          <w:color w:val="auto"/>
        </w:rPr>
      </w:pPr>
      <w:r>
        <w:rPr>
          <w:rFonts w:ascii="Arial" w:cs="Arial" w:eastAsia="Arial" w:hAnsi="Arial"/>
          <w:sz w:val="17"/>
          <w:szCs w:val="17"/>
          <w:color w:val="auto"/>
        </w:rPr>
        <w:t>Interim Chief Executive Officer of Watermark Insights, LLC (July 2020 to November 2020)</w:t>
      </w:r>
    </w:p>
    <w:p>
      <w:pPr>
        <w:spacing w:after="0" w:line="36" w:lineRule="exact"/>
        <w:rPr>
          <w:sz w:val="20"/>
          <w:szCs w:val="20"/>
          <w:color w:val="auto"/>
        </w:rPr>
      </w:pPr>
    </w:p>
    <w:p>
      <w:pPr>
        <w:ind w:left="260" w:right="40"/>
        <w:spacing w:after="0" w:line="253" w:lineRule="auto"/>
        <w:rPr>
          <w:sz w:val="20"/>
          <w:szCs w:val="20"/>
          <w:color w:val="auto"/>
        </w:rPr>
      </w:pPr>
      <w:r>
        <w:rPr>
          <w:rFonts w:ascii="Arial" w:cs="Arial" w:eastAsia="Arial" w:hAnsi="Arial"/>
          <w:sz w:val="18"/>
          <w:szCs w:val="18"/>
          <w:color w:val="auto"/>
        </w:rPr>
        <w:t>Various roles including Executive Vice President and Chief Technology Officer at Intuit Inc. (2009 to 2019)</w:t>
      </w:r>
    </w:p>
    <w:p>
      <w:pPr>
        <w:spacing w:after="0" w:line="74" w:lineRule="exact"/>
        <w:rPr>
          <w:sz w:val="20"/>
          <w:szCs w:val="20"/>
          <w:color w:val="auto"/>
        </w:rPr>
      </w:pPr>
    </w:p>
    <w:p>
      <w:pPr>
        <w:ind w:left="260" w:right="140"/>
        <w:spacing w:after="0" w:line="271" w:lineRule="auto"/>
        <w:rPr>
          <w:sz w:val="20"/>
          <w:szCs w:val="20"/>
          <w:color w:val="auto"/>
        </w:rPr>
      </w:pPr>
      <w:r>
        <w:rPr>
          <w:rFonts w:ascii="Arial" w:cs="Arial" w:eastAsia="Arial" w:hAnsi="Arial"/>
          <w:sz w:val="18"/>
          <w:szCs w:val="18"/>
          <w:color w:val="auto"/>
        </w:rPr>
        <w:t>Chief Information Officer of VMware Inc. (2007 to 2009)</w:t>
      </w:r>
    </w:p>
    <w:p>
      <w:pPr>
        <w:spacing w:after="0" w:line="59" w:lineRule="exact"/>
        <w:rPr>
          <w:sz w:val="20"/>
          <w:szCs w:val="20"/>
          <w:color w:val="auto"/>
        </w:rPr>
      </w:pPr>
    </w:p>
    <w:p>
      <w:pPr>
        <w:ind w:left="260"/>
        <w:spacing w:after="0" w:line="253" w:lineRule="auto"/>
        <w:rPr>
          <w:sz w:val="20"/>
          <w:szCs w:val="20"/>
          <w:color w:val="auto"/>
        </w:rPr>
      </w:pPr>
      <w:r>
        <w:rPr>
          <w:rFonts w:ascii="Arial" w:cs="Arial" w:eastAsia="Arial" w:hAnsi="Arial"/>
          <w:sz w:val="18"/>
          <w:szCs w:val="18"/>
          <w:color w:val="auto"/>
        </w:rPr>
        <w:t>Various roles including Executive Vice President of Products and Operations at Ariba, Inc. (2001 to 2007)</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376DB5"/>
        </w:rPr>
        <w:t>Committee Assignments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376DB5"/>
        </w:rPr>
        <w:t>Education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A.B. degree in applied mathematics from Harvard University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76DB5"/>
        </w:rPr>
        <w:t>Other Public Company Board Experience</w:t>
      </w:r>
    </w:p>
    <w:p>
      <w:pPr>
        <w:spacing w:after="0" w:line="63" w:lineRule="exact"/>
        <w:rPr>
          <w:sz w:val="20"/>
          <w:szCs w:val="20"/>
          <w:color w:val="auto"/>
        </w:rPr>
      </w:pPr>
    </w:p>
    <w:p>
      <w:pPr>
        <w:ind w:left="280" w:hanging="164"/>
        <w:spacing w:after="0"/>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Coupa Software Incorporated (2015 to February 2023)</w:t>
      </w:r>
    </w:p>
    <w:p>
      <w:pPr>
        <w:spacing w:after="0" w:line="63" w:lineRule="exact"/>
        <w:rPr>
          <w:rFonts w:ascii="Arial" w:cs="Arial" w:eastAsia="Arial" w:hAnsi="Arial"/>
          <w:sz w:val="18"/>
          <w:szCs w:val="18"/>
          <w:color w:val="auto"/>
        </w:rPr>
      </w:pPr>
    </w:p>
    <w:p>
      <w:pPr>
        <w:ind w:left="280" w:hanging="164"/>
        <w:spacing w:after="0"/>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TCV Acquisition Corp. (April 2021 to March 2023)</w:t>
      </w:r>
    </w:p>
    <w:p>
      <w:pPr>
        <w:spacing w:after="0" w:line="63" w:lineRule="exact"/>
        <w:rPr>
          <w:rFonts w:ascii="Arial" w:cs="Arial" w:eastAsia="Arial" w:hAnsi="Arial"/>
          <w:sz w:val="18"/>
          <w:szCs w:val="18"/>
          <w:color w:val="auto"/>
        </w:rPr>
      </w:pPr>
    </w:p>
    <w:p>
      <w:pPr>
        <w:ind w:left="280" w:hanging="164"/>
        <w:spacing w:after="0"/>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Shutterfly, Inc. (2016 to 2019)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76DB5"/>
        </w:rPr>
        <w:t>Expertise, Strategic Capabilities, and Key Competencies</w:t>
      </w:r>
    </w:p>
    <w:p>
      <w:pPr>
        <w:spacing w:after="0" w:line="77"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60"/>
              <w:spacing w:after="0"/>
              <w:rPr>
                <w:sz w:val="20"/>
                <w:szCs w:val="20"/>
                <w:color w:val="auto"/>
              </w:rPr>
            </w:pPr>
            <w:r>
              <w:rPr>
                <w:rFonts w:ascii="Arial" w:cs="Arial" w:eastAsia="Arial" w:hAnsi="Arial"/>
                <w:sz w:val="18"/>
                <w:szCs w:val="18"/>
                <w:color w:val="auto"/>
              </w:rPr>
              <w:t>Executive leadership</w:t>
            </w:r>
          </w:p>
        </w:tc>
        <w:tc>
          <w:tcPr>
            <w:tcW w:w="500" w:type="dxa"/>
            <w:vAlign w:val="bottom"/>
          </w:tcPr>
          <w:p>
            <w:pPr>
              <w:ind w:left="380"/>
              <w:spacing w:after="0"/>
              <w:rPr>
                <w:sz w:val="20"/>
                <w:szCs w:val="20"/>
                <w:color w:val="auto"/>
              </w:rPr>
            </w:pPr>
            <w:r>
              <w:rPr>
                <w:rFonts w:ascii="Arial" w:cs="Arial" w:eastAsia="Arial" w:hAnsi="Arial"/>
                <w:sz w:val="18"/>
                <w:szCs w:val="18"/>
                <w:color w:val="auto"/>
              </w:rPr>
              <w:t>•</w:t>
            </w:r>
          </w:p>
        </w:tc>
        <w:tc>
          <w:tcPr>
            <w:tcW w:w="2060" w:type="dxa"/>
            <w:vAlign w:val="bottom"/>
          </w:tcPr>
          <w:p>
            <w:pPr>
              <w:ind w:left="60"/>
              <w:spacing w:after="0"/>
              <w:rPr>
                <w:sz w:val="20"/>
                <w:szCs w:val="20"/>
                <w:color w:val="auto"/>
              </w:rPr>
            </w:pPr>
            <w:r>
              <w:rPr>
                <w:rFonts w:ascii="Arial" w:cs="Arial" w:eastAsia="Arial" w:hAnsi="Arial"/>
                <w:sz w:val="18"/>
                <w:szCs w:val="18"/>
                <w:color w:val="auto"/>
              </w:rPr>
              <w:t>Financial expertise</w:t>
            </w:r>
          </w:p>
        </w:tc>
      </w:tr>
      <w:tr>
        <w:trPr>
          <w:trHeight w:val="283"/>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60"/>
              <w:spacing w:after="0"/>
              <w:rPr>
                <w:sz w:val="20"/>
                <w:szCs w:val="20"/>
                <w:color w:val="auto"/>
              </w:rPr>
            </w:pPr>
            <w:r>
              <w:rPr>
                <w:rFonts w:ascii="Arial" w:cs="Arial" w:eastAsia="Arial" w:hAnsi="Arial"/>
                <w:sz w:val="18"/>
                <w:szCs w:val="18"/>
                <w:color w:val="auto"/>
              </w:rPr>
              <w:t>Cloud-based software experience</w:t>
            </w:r>
          </w:p>
        </w:tc>
        <w:tc>
          <w:tcPr>
            <w:tcW w:w="500" w:type="dxa"/>
            <w:vAlign w:val="bottom"/>
          </w:tcPr>
          <w:p>
            <w:pPr>
              <w:ind w:left="380"/>
              <w:spacing w:after="0"/>
              <w:rPr>
                <w:sz w:val="20"/>
                <w:szCs w:val="20"/>
                <w:color w:val="auto"/>
              </w:rPr>
            </w:pPr>
            <w:r>
              <w:rPr>
                <w:rFonts w:ascii="Arial" w:cs="Arial" w:eastAsia="Arial" w:hAnsi="Arial"/>
                <w:sz w:val="18"/>
                <w:szCs w:val="18"/>
                <w:color w:val="auto"/>
              </w:rPr>
              <w:t>•</w:t>
            </w:r>
          </w:p>
        </w:tc>
        <w:tc>
          <w:tcPr>
            <w:tcW w:w="2060" w:type="dxa"/>
            <w:vAlign w:val="bottom"/>
          </w:tcPr>
          <w:p>
            <w:pPr>
              <w:ind w:left="60"/>
              <w:spacing w:after="0"/>
              <w:rPr>
                <w:sz w:val="20"/>
                <w:szCs w:val="20"/>
                <w:color w:val="auto"/>
              </w:rPr>
            </w:pPr>
            <w:r>
              <w:rPr>
                <w:rFonts w:ascii="Arial" w:cs="Arial" w:eastAsia="Arial" w:hAnsi="Arial"/>
                <w:sz w:val="18"/>
                <w:szCs w:val="18"/>
                <w:color w:val="auto"/>
              </w:rPr>
              <w:t>Investment experience</w:t>
            </w: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60"/>
              <w:spacing w:after="0"/>
              <w:rPr>
                <w:sz w:val="20"/>
                <w:szCs w:val="20"/>
                <w:color w:val="auto"/>
              </w:rPr>
            </w:pPr>
            <w:r>
              <w:rPr>
                <w:rFonts w:ascii="Arial" w:cs="Arial" w:eastAsia="Arial" w:hAnsi="Arial"/>
                <w:sz w:val="18"/>
                <w:szCs w:val="18"/>
                <w:color w:val="auto"/>
              </w:rPr>
              <w:t>Artificial intelligence experience</w:t>
            </w:r>
          </w:p>
        </w:tc>
        <w:tc>
          <w:tcPr>
            <w:tcW w:w="500" w:type="dxa"/>
            <w:vAlign w:val="bottom"/>
          </w:tcPr>
          <w:p>
            <w:pPr>
              <w:ind w:left="380"/>
              <w:spacing w:after="0"/>
              <w:rPr>
                <w:sz w:val="20"/>
                <w:szCs w:val="20"/>
                <w:color w:val="auto"/>
              </w:rPr>
            </w:pPr>
            <w:r>
              <w:rPr>
                <w:rFonts w:ascii="Arial" w:cs="Arial" w:eastAsia="Arial" w:hAnsi="Arial"/>
                <w:sz w:val="18"/>
                <w:szCs w:val="18"/>
                <w:color w:val="auto"/>
              </w:rPr>
              <w:t>•</w:t>
            </w:r>
          </w:p>
        </w:tc>
        <w:tc>
          <w:tcPr>
            <w:tcW w:w="2060" w:type="dxa"/>
            <w:vAlign w:val="bottom"/>
          </w:tcPr>
          <w:p>
            <w:pPr>
              <w:ind w:left="60"/>
              <w:spacing w:after="0"/>
              <w:rPr>
                <w:sz w:val="20"/>
                <w:szCs w:val="20"/>
                <w:color w:val="auto"/>
              </w:rPr>
            </w:pPr>
            <w:r>
              <w:rPr>
                <w:rFonts w:ascii="Arial" w:cs="Arial" w:eastAsia="Arial" w:hAnsi="Arial"/>
                <w:sz w:val="18"/>
                <w:szCs w:val="18"/>
                <w:color w:val="auto"/>
                <w:w w:val="98"/>
              </w:rPr>
              <w:t>Mergers and acquisitions</w:t>
            </w: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60"/>
              <w:spacing w:after="0"/>
              <w:rPr>
                <w:sz w:val="20"/>
                <w:szCs w:val="20"/>
                <w:color w:val="auto"/>
              </w:rPr>
            </w:pPr>
            <w:r>
              <w:rPr>
                <w:rFonts w:ascii="Arial" w:cs="Arial" w:eastAsia="Arial" w:hAnsi="Arial"/>
                <w:sz w:val="18"/>
                <w:szCs w:val="18"/>
                <w:color w:val="auto"/>
              </w:rPr>
              <w:t>Cybersecurity oversight</w:t>
            </w:r>
          </w:p>
        </w:tc>
        <w:tc>
          <w:tcPr>
            <w:tcW w:w="500" w:type="dxa"/>
            <w:vAlign w:val="bottom"/>
          </w:tcPr>
          <w:p>
            <w:pPr>
              <w:ind w:left="380"/>
              <w:spacing w:after="0"/>
              <w:rPr>
                <w:sz w:val="20"/>
                <w:szCs w:val="20"/>
                <w:color w:val="auto"/>
              </w:rPr>
            </w:pPr>
            <w:r>
              <w:rPr>
                <w:rFonts w:ascii="Arial" w:cs="Arial" w:eastAsia="Arial" w:hAnsi="Arial"/>
                <w:sz w:val="18"/>
                <w:szCs w:val="18"/>
                <w:color w:val="auto"/>
              </w:rPr>
              <w:t>•</w:t>
            </w:r>
          </w:p>
        </w:tc>
        <w:tc>
          <w:tcPr>
            <w:tcW w:w="2060" w:type="dxa"/>
            <w:vAlign w:val="bottom"/>
          </w:tcPr>
          <w:p>
            <w:pPr>
              <w:ind w:left="60"/>
              <w:spacing w:after="0"/>
              <w:rPr>
                <w:sz w:val="20"/>
                <w:szCs w:val="20"/>
                <w:color w:val="auto"/>
              </w:rPr>
            </w:pPr>
            <w:r>
              <w:rPr>
                <w:rFonts w:ascii="Arial" w:cs="Arial" w:eastAsia="Arial" w:hAnsi="Arial"/>
                <w:sz w:val="18"/>
                <w:szCs w:val="18"/>
                <w:color w:val="auto"/>
              </w:rPr>
              <w:t>SaaS experience</w:t>
            </w: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60"/>
              <w:spacing w:after="0"/>
              <w:rPr>
                <w:sz w:val="20"/>
                <w:szCs w:val="20"/>
                <w:color w:val="auto"/>
              </w:rPr>
            </w:pPr>
            <w:r>
              <w:rPr>
                <w:rFonts w:ascii="Arial" w:cs="Arial" w:eastAsia="Arial" w:hAnsi="Arial"/>
                <w:sz w:val="18"/>
                <w:szCs w:val="18"/>
                <w:color w:val="auto"/>
              </w:rPr>
              <w:t>Technology leadership</w:t>
            </w:r>
          </w:p>
        </w:tc>
        <w:tc>
          <w:tcPr>
            <w:tcW w:w="500" w:type="dxa"/>
            <w:vAlign w:val="bottom"/>
          </w:tcPr>
          <w:p>
            <w:pPr>
              <w:spacing w:after="0"/>
              <w:rPr>
                <w:sz w:val="23"/>
                <w:szCs w:val="23"/>
                <w:color w:val="auto"/>
              </w:rPr>
            </w:pPr>
          </w:p>
        </w:tc>
        <w:tc>
          <w:tcPr>
            <w:tcW w:w="2060" w:type="dxa"/>
            <w:vAlign w:val="bottom"/>
          </w:tcPr>
          <w:p>
            <w:pPr>
              <w:spacing w:after="0"/>
              <w:rPr>
                <w:sz w:val="23"/>
                <w:szCs w:val="23"/>
                <w:color w:val="auto"/>
              </w:rPr>
            </w:pPr>
          </w:p>
        </w:tc>
      </w:tr>
    </w:tbl>
    <w:p>
      <w:pPr>
        <w:spacing w:after="0" w:line="656" w:lineRule="exact"/>
        <w:rPr>
          <w:sz w:val="20"/>
          <w:szCs w:val="20"/>
          <w:color w:val="auto"/>
        </w:rPr>
      </w:pPr>
    </w:p>
    <w:p>
      <w:pPr>
        <w:sectPr>
          <w:pgSz w:w="11900" w:h="16838" w:orient="portrait"/>
          <w:cols w:equalWidth="0" w:num="2">
            <w:col w:w="4300" w:space="240"/>
            <w:col w:w="6600"/>
          </w:cols>
          <w:pgMar w:left="320" w:top="482" w:right="439" w:bottom="1440" w:gutter="0" w:footer="0" w:header="0"/>
          <w:type w:val="continuous"/>
        </w:sectPr>
      </w:pPr>
    </w:p>
    <w:p>
      <w:pPr>
        <w:spacing w:after="0" w:line="266"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16</w:t>
      </w:r>
    </w:p>
    <w:p>
      <w:pPr>
        <w:sectPr>
          <w:pgSz w:w="11900" w:h="16838" w:orient="portrait"/>
          <w:cols w:equalWidth="0" w:num="1">
            <w:col w:w="11140"/>
          </w:cols>
          <w:pgMar w:left="320" w:top="482" w:right="4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0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Proxy</w:t>
            </w:r>
          </w:p>
        </w:tc>
        <w:tc>
          <w:tcPr>
            <w:tcW w:w="11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22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Corporate</w:t>
            </w:r>
          </w:p>
        </w:tc>
        <w:tc>
          <w:tcPr>
            <w:tcW w:w="1520" w:type="dxa"/>
            <w:vAlign w:val="bottom"/>
            <w:shd w:val="clear" w:color="auto" w:fill="F2F2F2"/>
          </w:tcPr>
          <w:p>
            <w:pPr>
              <w:ind w:left="18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00" w:type="dxa"/>
            <w:vAlign w:val="bottom"/>
            <w:shd w:val="clear" w:color="auto" w:fill="F2F2F2"/>
          </w:tcPr>
          <w:p>
            <w:pPr>
              <w:ind w:left="620"/>
              <w:spacing w:after="0" w:line="202" w:lineRule="exact"/>
              <w:rPr>
                <w:sz w:val="20"/>
                <w:szCs w:val="20"/>
                <w:color w:val="auto"/>
              </w:rPr>
            </w:pPr>
            <w:r>
              <w:rPr>
                <w:rFonts w:ascii="Arial" w:cs="Arial" w:eastAsia="Arial" w:hAnsi="Arial"/>
                <w:sz w:val="18"/>
                <w:szCs w:val="18"/>
                <w:color w:val="auto"/>
                <w:w w:val="98"/>
              </w:rPr>
              <w:t>Summary</w:t>
            </w:r>
          </w:p>
        </w:tc>
        <w:tc>
          <w:tcPr>
            <w:tcW w:w="118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22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Governance</w:t>
            </w:r>
          </w:p>
        </w:tc>
        <w:tc>
          <w:tcPr>
            <w:tcW w:w="152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00" w:type="dxa"/>
            <w:vAlign w:val="bottom"/>
            <w:shd w:val="clear" w:color="auto" w:fill="F2F2F2"/>
          </w:tcPr>
          <w:p>
            <w:pPr>
              <w:spacing w:after="0"/>
              <w:rPr>
                <w:sz w:val="16"/>
                <w:szCs w:val="16"/>
                <w:color w:val="auto"/>
              </w:rPr>
            </w:pPr>
          </w:p>
        </w:tc>
        <w:tc>
          <w:tcPr>
            <w:tcW w:w="1180" w:type="dxa"/>
            <w:vAlign w:val="bottom"/>
            <w:shd w:val="clear" w:color="auto" w:fill="F2F2F2"/>
          </w:tcPr>
          <w:p>
            <w:pPr>
              <w:spacing w:after="0"/>
              <w:rPr>
                <w:sz w:val="16"/>
                <w:szCs w:val="16"/>
                <w:color w:val="auto"/>
              </w:rPr>
            </w:pPr>
          </w:p>
        </w:tc>
        <w:tc>
          <w:tcPr>
            <w:tcW w:w="122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520" w:type="dxa"/>
            <w:vAlign w:val="bottom"/>
            <w:shd w:val="clear" w:color="auto" w:fill="F2F2F2"/>
          </w:tcPr>
          <w:p>
            <w:pPr>
              <w:spacing w:after="0"/>
              <w:rPr>
                <w:sz w:val="16"/>
                <w:szCs w:val="16"/>
                <w:color w:val="auto"/>
              </w:rPr>
            </w:pP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00" w:type="dxa"/>
            <w:vAlign w:val="bottom"/>
            <w:tcBorders>
              <w:top w:val="single" w:sz="8" w:color="F2F2F2"/>
            </w:tcBorders>
            <w:shd w:val="clear" w:color="auto" w:fill="F2F2F2"/>
          </w:tcPr>
          <w:p>
            <w:pPr>
              <w:spacing w:after="0"/>
              <w:rPr>
                <w:sz w:val="2"/>
                <w:szCs w:val="2"/>
                <w:color w:val="auto"/>
              </w:rPr>
            </w:pPr>
          </w:p>
        </w:tc>
        <w:tc>
          <w:tcPr>
            <w:tcW w:w="118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400" w:type="dxa"/>
            <w:vAlign w:val="bottom"/>
            <w:tcBorders>
              <w:top w:val="single" w:sz="8" w:color="F2F2F2"/>
            </w:tcBorders>
            <w:shd w:val="clear" w:color="auto" w:fill="F2F2F2"/>
          </w:tcPr>
          <w:p>
            <w:pPr>
              <w:spacing w:after="0"/>
              <w:rPr>
                <w:sz w:val="2"/>
                <w:szCs w:val="2"/>
                <w:color w:val="auto"/>
              </w:rPr>
            </w:pPr>
          </w:p>
        </w:tc>
        <w:tc>
          <w:tcPr>
            <w:tcW w:w="15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1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CORPORATE GOVERNANCE</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Board Leadership Structure</w:t>
      </w:r>
    </w:p>
    <w:p>
      <w:pPr>
        <w:spacing w:after="0" w:line="191"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The Board of Directors does not have a policy with respect to the separation of the offices of Chairman of the Board and Chief Executive Officer. The Board of Directors believes that it is in the best interest of the Company for the Board of Directors to make a determination on this matter when it appoints a new Chief Executive Officer or Chairman. The Board of Directors has determined that, currently, the most effective leadership structure is to have a separate Chairman of the Board, a position held by Mr. Kelly since February 2016, and Chief Executive Officer, a position held by Mr. Lansing since January 2012, as it provides us the best access to the judgments and experience of both individuals while providing a mechanism for the Board’s independent oversight of management. As a result, the Chairman presides over the meetings of the Board of Directors and the stockholders, and the Chief Executive Officer is allowed more time to focus energies on the management of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49" w:lineRule="exact"/>
        <w:rPr>
          <w:sz w:val="20"/>
          <w:szCs w:val="20"/>
          <w:color w:val="auto"/>
        </w:rPr>
      </w:pPr>
    </w:p>
    <w:p>
      <w:pPr>
        <w:ind w:left="200" w:hanging="84"/>
        <w:spacing w:after="0"/>
        <w:tabs>
          <w:tab w:leader="none" w:pos="200" w:val="left"/>
        </w:tabs>
        <w:numPr>
          <w:ilvl w:val="0"/>
          <w:numId w:val="30"/>
        </w:numPr>
        <w:rPr>
          <w:rFonts w:ascii="Arial" w:cs="Arial" w:eastAsia="Arial" w:hAnsi="Arial"/>
          <w:sz w:val="16"/>
          <w:szCs w:val="16"/>
          <w:b w:val="1"/>
          <w:bCs w:val="1"/>
          <w:color w:val="376DB5"/>
        </w:rPr>
      </w:pPr>
      <w:r>
        <w:rPr>
          <w:rFonts w:ascii="Arial" w:cs="Arial" w:eastAsia="Arial" w:hAnsi="Arial"/>
          <w:sz w:val="16"/>
          <w:szCs w:val="16"/>
          <w:b w:val="1"/>
          <w:bCs w:val="1"/>
          <w:color w:val="376DB5"/>
        </w:rPr>
        <w:t>The roles and responsibilities of the Independent Chairman include:</w:t>
      </w:r>
    </w:p>
    <w:p>
      <w:pPr>
        <w:spacing w:after="0" w:line="194" w:lineRule="exact"/>
        <w:rPr>
          <w:rFonts w:ascii="Arial" w:cs="Arial" w:eastAsia="Arial" w:hAnsi="Arial"/>
          <w:sz w:val="16"/>
          <w:szCs w:val="16"/>
          <w:b w:val="1"/>
          <w:bCs w:val="1"/>
          <w:color w:val="376DB5"/>
        </w:rPr>
      </w:pPr>
    </w:p>
    <w:p>
      <w:pPr>
        <w:ind w:left="480" w:hanging="274"/>
        <w:spacing w:after="0"/>
        <w:tabs>
          <w:tab w:leader="none" w:pos="480" w:val="left"/>
        </w:tabs>
        <w:numPr>
          <w:ilvl w:val="1"/>
          <w:numId w:val="30"/>
        </w:numPr>
        <w:rPr>
          <w:rFonts w:ascii="Arial" w:cs="Arial" w:eastAsia="Arial" w:hAnsi="Arial"/>
          <w:sz w:val="18"/>
          <w:szCs w:val="18"/>
          <w:color w:val="376DB5"/>
        </w:rPr>
      </w:pPr>
      <w:r>
        <w:rPr>
          <w:rFonts w:ascii="Arial" w:cs="Arial" w:eastAsia="Arial" w:hAnsi="Arial"/>
          <w:sz w:val="18"/>
          <w:szCs w:val="18"/>
          <w:color w:val="auto"/>
        </w:rPr>
        <w:t>Scheduling, in connection with management and chairs of the standing committees, regular and special meetings of the Board</w:t>
      </w:r>
    </w:p>
    <w:p>
      <w:pPr>
        <w:spacing w:after="0" w:line="198" w:lineRule="exact"/>
        <w:rPr>
          <w:rFonts w:ascii="Arial" w:cs="Arial" w:eastAsia="Arial" w:hAnsi="Arial"/>
          <w:sz w:val="18"/>
          <w:szCs w:val="18"/>
          <w:color w:val="376DB5"/>
        </w:rPr>
      </w:pPr>
    </w:p>
    <w:p>
      <w:pPr>
        <w:ind w:left="480" w:hanging="274"/>
        <w:spacing w:after="0"/>
        <w:tabs>
          <w:tab w:leader="none" w:pos="480" w:val="left"/>
        </w:tabs>
        <w:numPr>
          <w:ilvl w:val="1"/>
          <w:numId w:val="30"/>
        </w:numPr>
        <w:rPr>
          <w:rFonts w:ascii="Arial" w:cs="Arial" w:eastAsia="Arial" w:hAnsi="Arial"/>
          <w:sz w:val="18"/>
          <w:szCs w:val="18"/>
          <w:color w:val="376DB5"/>
        </w:rPr>
      </w:pPr>
      <w:r>
        <w:rPr>
          <w:rFonts w:ascii="Arial" w:cs="Arial" w:eastAsia="Arial" w:hAnsi="Arial"/>
          <w:sz w:val="18"/>
          <w:szCs w:val="18"/>
          <w:color w:val="auto"/>
        </w:rPr>
        <w:t>Presiding at all Board meetings, executive sessions and stockholder meetings</w:t>
      </w:r>
    </w:p>
    <w:p>
      <w:pPr>
        <w:spacing w:after="0" w:line="171" w:lineRule="exact"/>
        <w:rPr>
          <w:rFonts w:ascii="Arial" w:cs="Arial" w:eastAsia="Arial" w:hAnsi="Arial"/>
          <w:sz w:val="18"/>
          <w:szCs w:val="18"/>
          <w:color w:val="376DB5"/>
        </w:rPr>
      </w:pPr>
    </w:p>
    <w:p>
      <w:pPr>
        <w:ind w:left="480" w:hanging="274"/>
        <w:spacing w:after="0"/>
        <w:tabs>
          <w:tab w:leader="none" w:pos="480" w:val="left"/>
        </w:tabs>
        <w:numPr>
          <w:ilvl w:val="1"/>
          <w:numId w:val="30"/>
        </w:numPr>
        <w:rPr>
          <w:rFonts w:ascii="Arial" w:cs="Arial" w:eastAsia="Arial" w:hAnsi="Arial"/>
          <w:sz w:val="18"/>
          <w:szCs w:val="18"/>
          <w:color w:val="376DB5"/>
        </w:rPr>
      </w:pPr>
      <w:r>
        <w:rPr>
          <w:rFonts w:ascii="Arial" w:cs="Arial" w:eastAsia="Arial" w:hAnsi="Arial"/>
          <w:sz w:val="18"/>
          <w:szCs w:val="18"/>
          <w:color w:val="auto"/>
        </w:rPr>
        <w:t>Advising the CEO of decisions reached and suggestions made at the executive sessions of the independent directors</w:t>
      </w:r>
    </w:p>
    <w:p>
      <w:pPr>
        <w:spacing w:after="0" w:line="211" w:lineRule="exact"/>
        <w:rPr>
          <w:rFonts w:ascii="Arial" w:cs="Arial" w:eastAsia="Arial" w:hAnsi="Arial"/>
          <w:sz w:val="18"/>
          <w:szCs w:val="18"/>
          <w:color w:val="376DB5"/>
        </w:rPr>
      </w:pPr>
    </w:p>
    <w:p>
      <w:pPr>
        <w:ind w:left="480" w:hanging="274"/>
        <w:spacing w:after="0"/>
        <w:tabs>
          <w:tab w:leader="none" w:pos="480" w:val="left"/>
        </w:tabs>
        <w:numPr>
          <w:ilvl w:val="1"/>
          <w:numId w:val="30"/>
        </w:numPr>
        <w:rPr>
          <w:rFonts w:ascii="Arial" w:cs="Arial" w:eastAsia="Arial" w:hAnsi="Arial"/>
          <w:sz w:val="18"/>
          <w:szCs w:val="18"/>
          <w:color w:val="376DB5"/>
        </w:rPr>
      </w:pPr>
      <w:r>
        <w:rPr>
          <w:rFonts w:ascii="Arial" w:cs="Arial" w:eastAsia="Arial" w:hAnsi="Arial"/>
          <w:sz w:val="18"/>
          <w:szCs w:val="18"/>
          <w:color w:val="auto"/>
        </w:rPr>
        <w:t>Facilitating communication between the directors and management</w:t>
      </w:r>
    </w:p>
    <w:p>
      <w:pPr>
        <w:spacing w:after="0" w:line="184" w:lineRule="exact"/>
        <w:rPr>
          <w:rFonts w:ascii="Arial" w:cs="Arial" w:eastAsia="Arial" w:hAnsi="Arial"/>
          <w:sz w:val="18"/>
          <w:szCs w:val="18"/>
          <w:color w:val="376DB5"/>
        </w:rPr>
      </w:pPr>
    </w:p>
    <w:p>
      <w:pPr>
        <w:ind w:left="480" w:hanging="274"/>
        <w:spacing w:after="0"/>
        <w:tabs>
          <w:tab w:leader="none" w:pos="480" w:val="left"/>
        </w:tabs>
        <w:numPr>
          <w:ilvl w:val="1"/>
          <w:numId w:val="30"/>
        </w:numPr>
        <w:rPr>
          <w:rFonts w:ascii="Arial" w:cs="Arial" w:eastAsia="Arial" w:hAnsi="Arial"/>
          <w:sz w:val="18"/>
          <w:szCs w:val="18"/>
          <w:color w:val="376DB5"/>
        </w:rPr>
      </w:pPr>
      <w:r>
        <w:rPr>
          <w:rFonts w:ascii="Arial" w:cs="Arial" w:eastAsia="Arial" w:hAnsi="Arial"/>
          <w:sz w:val="18"/>
          <w:szCs w:val="18"/>
          <w:color w:val="auto"/>
        </w:rPr>
        <w:t>Meeting directly with management and other employees of the Company, as needed</w:t>
      </w:r>
    </w:p>
    <w:p>
      <w:pPr>
        <w:spacing w:after="0" w:line="198" w:lineRule="exact"/>
        <w:rPr>
          <w:rFonts w:ascii="Arial" w:cs="Arial" w:eastAsia="Arial" w:hAnsi="Arial"/>
          <w:sz w:val="18"/>
          <w:szCs w:val="18"/>
          <w:color w:val="376DB5"/>
        </w:rPr>
      </w:pPr>
    </w:p>
    <w:p>
      <w:pPr>
        <w:ind w:left="480" w:hanging="274"/>
        <w:spacing w:after="0"/>
        <w:tabs>
          <w:tab w:leader="none" w:pos="480" w:val="left"/>
        </w:tabs>
        <w:numPr>
          <w:ilvl w:val="1"/>
          <w:numId w:val="30"/>
        </w:numPr>
        <w:rPr>
          <w:rFonts w:ascii="Arial" w:cs="Arial" w:eastAsia="Arial" w:hAnsi="Arial"/>
          <w:sz w:val="18"/>
          <w:szCs w:val="18"/>
          <w:color w:val="376DB5"/>
        </w:rPr>
      </w:pPr>
      <w:r>
        <w:rPr>
          <w:rFonts w:ascii="Arial" w:cs="Arial" w:eastAsia="Arial" w:hAnsi="Arial"/>
          <w:sz w:val="18"/>
          <w:szCs w:val="18"/>
          <w:color w:val="auto"/>
        </w:rPr>
        <w:t>Being available for consultation and direct communication with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-933450</wp:posOffset>
            </wp:positionV>
            <wp:extent cx="6995160" cy="2400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24003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-427355</wp:posOffset>
            </wp:positionV>
            <wp:extent cx="6995160" cy="2400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24003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-1438910</wp:posOffset>
            </wp:positionV>
            <wp:extent cx="6995160" cy="2400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240030"/>
                    </a:xfrm>
                    <a:prstGeom prst="rect">
                      <a:avLst/>
                    </a:prstGeom>
                    <a:noFill/>
                  </pic:spPr>
                </pic:pic>
              </a:graphicData>
            </a:graphic>
          </wp:anchor>
        </w:drawing>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Board Risk Oversight Role</w:t>
      </w:r>
    </w:p>
    <w:p>
      <w:pPr>
        <w:spacing w:after="0" w:line="231" w:lineRule="exact"/>
        <w:rPr>
          <w:sz w:val="20"/>
          <w:szCs w:val="20"/>
          <w:color w:val="auto"/>
        </w:rPr>
      </w:pPr>
    </w:p>
    <w:p>
      <w:pPr>
        <w:jc w:val="both"/>
        <w:ind w:left="120" w:firstLine="551"/>
        <w:spacing w:after="0" w:line="244" w:lineRule="auto"/>
        <w:rPr>
          <w:sz w:val="20"/>
          <w:szCs w:val="20"/>
          <w:color w:val="auto"/>
        </w:rPr>
      </w:pPr>
      <w:r>
        <w:rPr>
          <w:rFonts w:ascii="Arial" w:cs="Arial" w:eastAsia="Arial" w:hAnsi="Arial"/>
          <w:sz w:val="18"/>
          <w:szCs w:val="18"/>
          <w:color w:val="auto"/>
        </w:rPr>
        <w:t>Our management is responsible for identifying the various risks facing the Company, formulating risk management policies and procedures, and managing the Company’s risk exposures. Our Board of Directors’ responsibility is to monitor the Company’s risk management processes by informing itself concerning our material risks and evaluating whether management has reasonable controls in place to address the material risks. While the Board as a whole maintains the ultimate oversight responsibility for risk management, the committees of the Board are assigned responsibility for risk management oversight of specific areas, as detailed in the chart below.</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17</w:t>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0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Proxy</w:t>
            </w:r>
          </w:p>
        </w:tc>
        <w:tc>
          <w:tcPr>
            <w:tcW w:w="11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22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Corporate</w:t>
            </w:r>
          </w:p>
        </w:tc>
        <w:tc>
          <w:tcPr>
            <w:tcW w:w="1520" w:type="dxa"/>
            <w:vAlign w:val="bottom"/>
            <w:shd w:val="clear" w:color="auto" w:fill="F2F2F2"/>
          </w:tcPr>
          <w:p>
            <w:pPr>
              <w:ind w:left="18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00" w:type="dxa"/>
            <w:vAlign w:val="bottom"/>
            <w:shd w:val="clear" w:color="auto" w:fill="F2F2F2"/>
          </w:tcPr>
          <w:p>
            <w:pPr>
              <w:ind w:left="620"/>
              <w:spacing w:after="0" w:line="202" w:lineRule="exact"/>
              <w:rPr>
                <w:sz w:val="20"/>
                <w:szCs w:val="20"/>
                <w:color w:val="auto"/>
              </w:rPr>
            </w:pPr>
            <w:r>
              <w:rPr>
                <w:rFonts w:ascii="Arial" w:cs="Arial" w:eastAsia="Arial" w:hAnsi="Arial"/>
                <w:sz w:val="18"/>
                <w:szCs w:val="18"/>
                <w:color w:val="auto"/>
                <w:w w:val="98"/>
              </w:rPr>
              <w:t>Summary</w:t>
            </w:r>
          </w:p>
        </w:tc>
        <w:tc>
          <w:tcPr>
            <w:tcW w:w="118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22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Governance</w:t>
            </w:r>
          </w:p>
        </w:tc>
        <w:tc>
          <w:tcPr>
            <w:tcW w:w="152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00" w:type="dxa"/>
            <w:vAlign w:val="bottom"/>
            <w:shd w:val="clear" w:color="auto" w:fill="F2F2F2"/>
          </w:tcPr>
          <w:p>
            <w:pPr>
              <w:spacing w:after="0"/>
              <w:rPr>
                <w:sz w:val="16"/>
                <w:szCs w:val="16"/>
                <w:color w:val="auto"/>
              </w:rPr>
            </w:pPr>
          </w:p>
        </w:tc>
        <w:tc>
          <w:tcPr>
            <w:tcW w:w="1180" w:type="dxa"/>
            <w:vAlign w:val="bottom"/>
            <w:shd w:val="clear" w:color="auto" w:fill="F2F2F2"/>
          </w:tcPr>
          <w:p>
            <w:pPr>
              <w:spacing w:after="0"/>
              <w:rPr>
                <w:sz w:val="16"/>
                <w:szCs w:val="16"/>
                <w:color w:val="auto"/>
              </w:rPr>
            </w:pPr>
          </w:p>
        </w:tc>
        <w:tc>
          <w:tcPr>
            <w:tcW w:w="122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520" w:type="dxa"/>
            <w:vAlign w:val="bottom"/>
            <w:shd w:val="clear" w:color="auto" w:fill="F2F2F2"/>
          </w:tcPr>
          <w:p>
            <w:pPr>
              <w:spacing w:after="0"/>
              <w:rPr>
                <w:sz w:val="16"/>
                <w:szCs w:val="16"/>
                <w:color w:val="auto"/>
              </w:rPr>
            </w:pP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00" w:type="dxa"/>
            <w:vAlign w:val="bottom"/>
            <w:tcBorders>
              <w:top w:val="single" w:sz="8" w:color="F2F2F2"/>
            </w:tcBorders>
            <w:shd w:val="clear" w:color="auto" w:fill="F2F2F2"/>
          </w:tcPr>
          <w:p>
            <w:pPr>
              <w:spacing w:after="0"/>
              <w:rPr>
                <w:sz w:val="2"/>
                <w:szCs w:val="2"/>
                <w:color w:val="auto"/>
              </w:rPr>
            </w:pPr>
          </w:p>
        </w:tc>
        <w:tc>
          <w:tcPr>
            <w:tcW w:w="118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400" w:type="dxa"/>
            <w:vAlign w:val="bottom"/>
            <w:tcBorders>
              <w:top w:val="single" w:sz="8" w:color="F2F2F2"/>
            </w:tcBorders>
            <w:shd w:val="clear" w:color="auto" w:fill="F2F2F2"/>
          </w:tcPr>
          <w:p>
            <w:pPr>
              <w:spacing w:after="0"/>
              <w:rPr>
                <w:sz w:val="2"/>
                <w:szCs w:val="2"/>
                <w:color w:val="auto"/>
              </w:rPr>
            </w:pPr>
          </w:p>
        </w:tc>
        <w:tc>
          <w:tcPr>
            <w:tcW w:w="15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83667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29450" cy="8366760"/>
                    </a:xfrm>
                    <a:prstGeom prst="rect">
                      <a:avLst/>
                    </a:prstGeom>
                    <a:noFill/>
                  </pic:spPr>
                </pic:pic>
              </a:graphicData>
            </a:graphic>
          </wp:anchor>
        </w:drawing>
      </w:r>
    </w:p>
    <w:p>
      <w:pPr>
        <w:sectPr>
          <w:pgSz w:w="11900" w:h="16838" w:orient="portrait"/>
          <w:cols w:equalWidth="0" w:num="1">
            <w:col w:w="11140"/>
          </w:cols>
          <w:pgMar w:left="320" w:top="482" w:right="439" w:bottom="3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18</w:t>
      </w:r>
    </w:p>
    <w:p>
      <w:pPr>
        <w:sectPr>
          <w:pgSz w:w="11900" w:h="16838" w:orient="portrait"/>
          <w:cols w:equalWidth="0" w:num="1">
            <w:col w:w="11140"/>
          </w:cols>
          <w:pgMar w:left="320" w:top="482" w:right="439" w:bottom="378"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0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Proxy</w:t>
            </w:r>
          </w:p>
        </w:tc>
        <w:tc>
          <w:tcPr>
            <w:tcW w:w="11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22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Corporate</w:t>
            </w:r>
          </w:p>
        </w:tc>
        <w:tc>
          <w:tcPr>
            <w:tcW w:w="1520" w:type="dxa"/>
            <w:vAlign w:val="bottom"/>
            <w:shd w:val="clear" w:color="auto" w:fill="F2F2F2"/>
          </w:tcPr>
          <w:p>
            <w:pPr>
              <w:ind w:left="18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00" w:type="dxa"/>
            <w:vAlign w:val="bottom"/>
            <w:shd w:val="clear" w:color="auto" w:fill="F2F2F2"/>
          </w:tcPr>
          <w:p>
            <w:pPr>
              <w:ind w:left="620"/>
              <w:spacing w:after="0" w:line="202" w:lineRule="exact"/>
              <w:rPr>
                <w:sz w:val="20"/>
                <w:szCs w:val="20"/>
                <w:color w:val="auto"/>
              </w:rPr>
            </w:pPr>
            <w:r>
              <w:rPr>
                <w:rFonts w:ascii="Arial" w:cs="Arial" w:eastAsia="Arial" w:hAnsi="Arial"/>
                <w:sz w:val="18"/>
                <w:szCs w:val="18"/>
                <w:color w:val="auto"/>
                <w:w w:val="98"/>
              </w:rPr>
              <w:t>Summary</w:t>
            </w:r>
          </w:p>
        </w:tc>
        <w:tc>
          <w:tcPr>
            <w:tcW w:w="118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22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Governance</w:t>
            </w:r>
          </w:p>
        </w:tc>
        <w:tc>
          <w:tcPr>
            <w:tcW w:w="152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00" w:type="dxa"/>
            <w:vAlign w:val="bottom"/>
            <w:shd w:val="clear" w:color="auto" w:fill="F2F2F2"/>
          </w:tcPr>
          <w:p>
            <w:pPr>
              <w:spacing w:after="0"/>
              <w:rPr>
                <w:sz w:val="16"/>
                <w:szCs w:val="16"/>
                <w:color w:val="auto"/>
              </w:rPr>
            </w:pPr>
          </w:p>
        </w:tc>
        <w:tc>
          <w:tcPr>
            <w:tcW w:w="1180" w:type="dxa"/>
            <w:vAlign w:val="bottom"/>
            <w:shd w:val="clear" w:color="auto" w:fill="F2F2F2"/>
          </w:tcPr>
          <w:p>
            <w:pPr>
              <w:spacing w:after="0"/>
              <w:rPr>
                <w:sz w:val="16"/>
                <w:szCs w:val="16"/>
                <w:color w:val="auto"/>
              </w:rPr>
            </w:pPr>
          </w:p>
        </w:tc>
        <w:tc>
          <w:tcPr>
            <w:tcW w:w="122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520" w:type="dxa"/>
            <w:vAlign w:val="bottom"/>
            <w:shd w:val="clear" w:color="auto" w:fill="F2F2F2"/>
          </w:tcPr>
          <w:p>
            <w:pPr>
              <w:spacing w:after="0"/>
              <w:rPr>
                <w:sz w:val="16"/>
                <w:szCs w:val="16"/>
                <w:color w:val="auto"/>
              </w:rPr>
            </w:pP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00" w:type="dxa"/>
            <w:vAlign w:val="bottom"/>
            <w:tcBorders>
              <w:top w:val="single" w:sz="8" w:color="F2F2F2"/>
            </w:tcBorders>
            <w:shd w:val="clear" w:color="auto" w:fill="F2F2F2"/>
          </w:tcPr>
          <w:p>
            <w:pPr>
              <w:spacing w:after="0"/>
              <w:rPr>
                <w:sz w:val="2"/>
                <w:szCs w:val="2"/>
                <w:color w:val="auto"/>
              </w:rPr>
            </w:pPr>
          </w:p>
        </w:tc>
        <w:tc>
          <w:tcPr>
            <w:tcW w:w="118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400" w:type="dxa"/>
            <w:vAlign w:val="bottom"/>
            <w:tcBorders>
              <w:top w:val="single" w:sz="8" w:color="F2F2F2"/>
            </w:tcBorders>
            <w:shd w:val="clear" w:color="auto" w:fill="F2F2F2"/>
          </w:tcPr>
          <w:p>
            <w:pPr>
              <w:spacing w:after="0"/>
              <w:rPr>
                <w:sz w:val="2"/>
                <w:szCs w:val="2"/>
                <w:color w:val="auto"/>
              </w:rPr>
            </w:pPr>
          </w:p>
        </w:tc>
        <w:tc>
          <w:tcPr>
            <w:tcW w:w="15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Risk Oversight</w:t>
      </w:r>
    </w:p>
    <w:p>
      <w:pPr>
        <w:spacing w:after="0" w:line="104"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We continually assess the structure of the Company’s compensation programs in the context of recognized best practices. Each year, management reviews our compensation programs to assess risks arising from our policies and practices and presents its findings to the LDCC. The most recent assessment found appropriate risk mitigation features in our compensation programs, including:</w:t>
      </w:r>
    </w:p>
    <w:p>
      <w:pPr>
        <w:spacing w:after="0" w:line="74" w:lineRule="exact"/>
        <w:rPr>
          <w:sz w:val="20"/>
          <w:szCs w:val="20"/>
          <w:color w:val="auto"/>
        </w:rPr>
      </w:pPr>
    </w:p>
    <w:p>
      <w:pPr>
        <w:jc w:val="both"/>
        <w:ind w:left="1420" w:right="20" w:hanging="319"/>
        <w:spacing w:after="0" w:line="253"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compensation consists of a mix of fixed and variable elements, and a significant portion of our executive officers’ target total direct compensation comes in the form of long-term equity incentive awards that are earned over several years;</w:t>
      </w:r>
    </w:p>
    <w:p>
      <w:pPr>
        <w:spacing w:after="0" w:line="74" w:lineRule="exact"/>
        <w:rPr>
          <w:rFonts w:ascii="Arial" w:cs="Arial" w:eastAsia="Arial" w:hAnsi="Arial"/>
          <w:sz w:val="18"/>
          <w:szCs w:val="18"/>
          <w:color w:val="auto"/>
        </w:rPr>
      </w:pPr>
    </w:p>
    <w:p>
      <w:pPr>
        <w:ind w:left="1420" w:right="20" w:hanging="319"/>
        <w:spacing w:after="0" w:line="271"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stock ownership guidelines in place for our executive officers work to align their long-term interests with those of our stockholders;</w:t>
      </w:r>
    </w:p>
    <w:p>
      <w:pPr>
        <w:spacing w:after="0" w:line="59" w:lineRule="exact"/>
        <w:rPr>
          <w:rFonts w:ascii="Arial" w:cs="Arial" w:eastAsia="Arial" w:hAnsi="Arial"/>
          <w:sz w:val="18"/>
          <w:szCs w:val="18"/>
          <w:color w:val="auto"/>
        </w:rPr>
      </w:pPr>
    </w:p>
    <w:p>
      <w:pPr>
        <w:jc w:val="both"/>
        <w:ind w:left="1420" w:right="20" w:hanging="319"/>
        <w:spacing w:after="0" w:line="24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short-term cash incentive plan applicable to executive officers and other employees is structured to reward achievement of diverse goals, some of which are tied to Company-wide performance and some of which are tied to business unit performance, but all of which are designed to benefit the Company and our stockholders on a long-term basis;</w:t>
      </w:r>
    </w:p>
    <w:p>
      <w:pPr>
        <w:spacing w:after="0" w:line="79"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the short-term cash incentive plan, award maximums, or “caps,” are in place to prevent windfalls;</w:t>
      </w:r>
    </w:p>
    <w:p>
      <w:pPr>
        <w:spacing w:after="0" w:line="117" w:lineRule="exact"/>
        <w:rPr>
          <w:rFonts w:ascii="Arial" w:cs="Arial" w:eastAsia="Arial" w:hAnsi="Arial"/>
          <w:sz w:val="18"/>
          <w:szCs w:val="18"/>
          <w:color w:val="auto"/>
        </w:rPr>
      </w:pPr>
    </w:p>
    <w:p>
      <w:pPr>
        <w:ind w:left="1420" w:hanging="319"/>
        <w:spacing w:after="0" w:line="271"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LDCC retains discretion to adjust awards under the short-term cash incentive plan if a payout determined under the formula is not appropriate in the circumstances; and</w:t>
      </w:r>
    </w:p>
    <w:p>
      <w:pPr>
        <w:spacing w:after="0" w:line="59"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system of internal controls places a strong focus on avoiding undue financial risk through rigorous review processes.</w:t>
      </w:r>
    </w:p>
    <w:p>
      <w:pPr>
        <w:spacing w:after="0" w:line="104" w:lineRule="exact"/>
        <w:rPr>
          <w:sz w:val="20"/>
          <w:szCs w:val="20"/>
          <w:color w:val="auto"/>
        </w:rPr>
      </w:pPr>
    </w:p>
    <w:p>
      <w:pPr>
        <w:jc w:val="both"/>
        <w:ind w:left="120" w:right="20" w:firstLine="551"/>
        <w:spacing w:after="0" w:line="301" w:lineRule="auto"/>
        <w:rPr>
          <w:sz w:val="20"/>
          <w:szCs w:val="20"/>
          <w:color w:val="auto"/>
        </w:rPr>
      </w:pPr>
      <w:r>
        <w:rPr>
          <w:rFonts w:ascii="Arial" w:cs="Arial" w:eastAsia="Arial" w:hAnsi="Arial"/>
          <w:sz w:val="17"/>
          <w:szCs w:val="17"/>
          <w:color w:val="auto"/>
        </w:rPr>
        <w:t>In light of the risk-limiting features of our compensation policies and practices, the Company has concluded that any risks arising from its compensation policies and practices for its employees are not reasonably likely to have a material adverse effect on the Company.</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Attendance at Board Meetings</w:t>
      </w:r>
    </w:p>
    <w:p>
      <w:pPr>
        <w:spacing w:after="0" w:line="191" w:lineRule="exact"/>
        <w:rPr>
          <w:sz w:val="20"/>
          <w:szCs w:val="20"/>
          <w:color w:val="auto"/>
        </w:rPr>
      </w:pPr>
    </w:p>
    <w:p>
      <w:pPr>
        <w:jc w:val="both"/>
        <w:ind w:left="120" w:firstLine="551"/>
        <w:spacing w:after="0" w:line="271" w:lineRule="auto"/>
        <w:rPr>
          <w:sz w:val="20"/>
          <w:szCs w:val="20"/>
          <w:color w:val="auto"/>
        </w:rPr>
      </w:pPr>
      <w:r>
        <w:rPr>
          <w:rFonts w:ascii="Arial" w:cs="Arial" w:eastAsia="Arial" w:hAnsi="Arial"/>
          <w:sz w:val="18"/>
          <w:szCs w:val="18"/>
          <w:color w:val="auto"/>
        </w:rPr>
        <w:t>During fiscal 2025, the Board of Directors met four times. Each director attended at least 75% of the aggregate of the total number of meetings of the Board of Directors and the total number of meetings held by all committees of the Board on which such director served.</w:t>
      </w:r>
    </w:p>
    <w:p>
      <w:pPr>
        <w:spacing w:after="0" w:line="46"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All Board members are expected to attend our annual meetings of stockholders. All directors then standing for election attended the 2025 annual meeting.</w:t>
      </w:r>
    </w:p>
    <w:p>
      <w:pPr>
        <w:spacing w:after="0" w:line="46"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Our Corporate Governance Guidelines provide that independent directors will meet in executive session without the Chief Executive Officer or other management present at each regular Board meeting. Braden R. Kelly, the Chairman of the Board, is independent and presides at executive sessions held in accordance with our Corporate Governance Guidelines.</w:t>
      </w:r>
    </w:p>
    <w:p>
      <w:pPr>
        <w:spacing w:after="0" w:line="37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Board Self-Evaluation Process</w:t>
      </w:r>
    </w:p>
    <w:p>
      <w:pPr>
        <w:spacing w:after="0" w:line="299" w:lineRule="exact"/>
        <w:rPr>
          <w:sz w:val="20"/>
          <w:szCs w:val="20"/>
          <w:color w:val="auto"/>
        </w:rPr>
      </w:pPr>
    </w:p>
    <w:p>
      <w:pPr>
        <w:jc w:val="both"/>
        <w:ind w:left="120" w:firstLine="551"/>
        <w:spacing w:after="0" w:line="242" w:lineRule="auto"/>
        <w:rPr>
          <w:sz w:val="20"/>
          <w:szCs w:val="20"/>
          <w:color w:val="auto"/>
        </w:rPr>
      </w:pPr>
      <w:r>
        <w:rPr>
          <w:rFonts w:ascii="Arial" w:cs="Arial" w:eastAsia="Arial" w:hAnsi="Arial"/>
          <w:sz w:val="18"/>
          <w:szCs w:val="18"/>
          <w:color w:val="auto"/>
        </w:rPr>
        <w:t>The Board of Directors and committees conduct annual self-evaluations to assess the qualifications, attributes, skills and experience represented on the Board and to determine whether the Board and its committees are functioning effectively. On an annual basis, each director completes written individual director, Board and committee evaluation questionnaires. The questionnaire responses are then aggregated without individual attribution. Our Independent Chairman, on behalf of the Governance, Nominating and Executive Committee, references the response summaries and conducts a discussion with the Board regarding Board and committee effectiveness and engagement in independent executive sessions.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19</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0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Proxy</w:t>
            </w:r>
          </w:p>
        </w:tc>
        <w:tc>
          <w:tcPr>
            <w:tcW w:w="11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22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Corporate</w:t>
            </w:r>
          </w:p>
        </w:tc>
        <w:tc>
          <w:tcPr>
            <w:tcW w:w="1520" w:type="dxa"/>
            <w:vAlign w:val="bottom"/>
            <w:shd w:val="clear" w:color="auto" w:fill="F2F2F2"/>
          </w:tcPr>
          <w:p>
            <w:pPr>
              <w:ind w:left="18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00" w:type="dxa"/>
            <w:vAlign w:val="bottom"/>
            <w:shd w:val="clear" w:color="auto" w:fill="F2F2F2"/>
          </w:tcPr>
          <w:p>
            <w:pPr>
              <w:ind w:left="620"/>
              <w:spacing w:after="0" w:line="202" w:lineRule="exact"/>
              <w:rPr>
                <w:sz w:val="20"/>
                <w:szCs w:val="20"/>
                <w:color w:val="auto"/>
              </w:rPr>
            </w:pPr>
            <w:r>
              <w:rPr>
                <w:rFonts w:ascii="Arial" w:cs="Arial" w:eastAsia="Arial" w:hAnsi="Arial"/>
                <w:sz w:val="18"/>
                <w:szCs w:val="18"/>
                <w:color w:val="auto"/>
                <w:w w:val="98"/>
              </w:rPr>
              <w:t>Summary</w:t>
            </w:r>
          </w:p>
        </w:tc>
        <w:tc>
          <w:tcPr>
            <w:tcW w:w="118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22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Governance</w:t>
            </w:r>
          </w:p>
        </w:tc>
        <w:tc>
          <w:tcPr>
            <w:tcW w:w="152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00" w:type="dxa"/>
            <w:vAlign w:val="bottom"/>
            <w:shd w:val="clear" w:color="auto" w:fill="F2F2F2"/>
          </w:tcPr>
          <w:p>
            <w:pPr>
              <w:spacing w:after="0"/>
              <w:rPr>
                <w:sz w:val="16"/>
                <w:szCs w:val="16"/>
                <w:color w:val="auto"/>
              </w:rPr>
            </w:pPr>
          </w:p>
        </w:tc>
        <w:tc>
          <w:tcPr>
            <w:tcW w:w="1180" w:type="dxa"/>
            <w:vAlign w:val="bottom"/>
            <w:shd w:val="clear" w:color="auto" w:fill="F2F2F2"/>
          </w:tcPr>
          <w:p>
            <w:pPr>
              <w:spacing w:after="0"/>
              <w:rPr>
                <w:sz w:val="16"/>
                <w:szCs w:val="16"/>
                <w:color w:val="auto"/>
              </w:rPr>
            </w:pPr>
          </w:p>
        </w:tc>
        <w:tc>
          <w:tcPr>
            <w:tcW w:w="122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520" w:type="dxa"/>
            <w:vAlign w:val="bottom"/>
            <w:shd w:val="clear" w:color="auto" w:fill="F2F2F2"/>
          </w:tcPr>
          <w:p>
            <w:pPr>
              <w:spacing w:after="0"/>
              <w:rPr>
                <w:sz w:val="16"/>
                <w:szCs w:val="16"/>
                <w:color w:val="auto"/>
              </w:rPr>
            </w:pP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00" w:type="dxa"/>
            <w:vAlign w:val="bottom"/>
            <w:tcBorders>
              <w:top w:val="single" w:sz="8" w:color="F2F2F2"/>
            </w:tcBorders>
            <w:shd w:val="clear" w:color="auto" w:fill="F2F2F2"/>
          </w:tcPr>
          <w:p>
            <w:pPr>
              <w:spacing w:after="0"/>
              <w:rPr>
                <w:sz w:val="2"/>
                <w:szCs w:val="2"/>
                <w:color w:val="auto"/>
              </w:rPr>
            </w:pPr>
          </w:p>
        </w:tc>
        <w:tc>
          <w:tcPr>
            <w:tcW w:w="118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400" w:type="dxa"/>
            <w:vAlign w:val="bottom"/>
            <w:tcBorders>
              <w:top w:val="single" w:sz="8" w:color="F2F2F2"/>
            </w:tcBorders>
            <w:shd w:val="clear" w:color="auto" w:fill="F2F2F2"/>
          </w:tcPr>
          <w:p>
            <w:pPr>
              <w:spacing w:after="0"/>
              <w:rPr>
                <w:sz w:val="2"/>
                <w:szCs w:val="2"/>
                <w:color w:val="auto"/>
              </w:rPr>
            </w:pPr>
          </w:p>
        </w:tc>
        <w:tc>
          <w:tcPr>
            <w:tcW w:w="15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Board Committees</w:t>
      </w:r>
    </w:p>
    <w:p>
      <w:pPr>
        <w:spacing w:after="0" w:line="150"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Our Board has three standing committees</w:t>
      </w:r>
      <w:r>
        <w:rPr>
          <w:rFonts w:ascii="Arial" w:cs="Arial" w:eastAsia="Arial" w:hAnsi="Arial"/>
          <w:sz w:val="18"/>
          <w:szCs w:val="18"/>
          <w:i w:val="1"/>
          <w:iCs w:val="1"/>
          <w:color w:val="auto"/>
        </w:rPr>
        <w:t>:</w:t>
      </w:r>
      <w:r>
        <w:rPr>
          <w:rFonts w:ascii="Arial" w:cs="Arial" w:eastAsia="Arial" w:hAnsi="Arial"/>
          <w:sz w:val="18"/>
          <w:szCs w:val="18"/>
          <w:color w:val="auto"/>
        </w:rPr>
        <w:t xml:space="preserve"> Audit; Leadership Development and Compensation; and Governance, Nominating and Executive. All of the members of the committees are independent directors under the applicable SEC rules and NYSE listing standards. Each committee’s charter expressly provides that the committee has the sole discretion to retain, compensate, and terminate its advisors. Current copies of the charters of the three committees are available on the “Investors” page of our website at </w:t>
      </w:r>
      <w:r>
        <w:rPr>
          <w:rFonts w:ascii="Arial" w:cs="Arial" w:eastAsia="Arial" w:hAnsi="Arial"/>
          <w:sz w:val="18"/>
          <w:szCs w:val="18"/>
          <w:i w:val="1"/>
          <w:iCs w:val="1"/>
          <w:u w:val="single" w:color="auto"/>
          <w:color w:val="467886"/>
        </w:rPr>
        <w:t>www.fico.com</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4368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4368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55" w:lineRule="exact"/>
        <w:rPr>
          <w:sz w:val="20"/>
          <w:szCs w:val="20"/>
          <w:color w:val="auto"/>
        </w:rPr>
      </w:pPr>
    </w:p>
    <w:p>
      <w:pPr>
        <w:ind w:left="300" w:hanging="184"/>
        <w:spacing w:after="0"/>
        <w:tabs>
          <w:tab w:leader="none" w:pos="300" w:val="left"/>
        </w:tabs>
        <w:numPr>
          <w:ilvl w:val="0"/>
          <w:numId w:val="32"/>
        </w:numPr>
        <w:rPr>
          <w:rFonts w:ascii="Arial" w:cs="Arial" w:eastAsia="Arial" w:hAnsi="Arial"/>
          <w:sz w:val="8"/>
          <w:szCs w:val="8"/>
          <w:color w:val="auto"/>
        </w:rPr>
      </w:pPr>
      <w:r>
        <w:rPr>
          <w:rFonts w:ascii="Arial" w:cs="Arial" w:eastAsia="Arial" w:hAnsi="Arial"/>
          <w:sz w:val="8"/>
          <w:szCs w:val="8"/>
          <w:color w:val="auto"/>
        </w:rPr>
        <w:t> </w:t>
      </w:r>
    </w:p>
    <w:p>
      <w:pPr>
        <w:spacing w:after="0" w:line="200" w:lineRule="exact"/>
        <w:rPr>
          <w:rFonts w:ascii="Arial" w:cs="Arial" w:eastAsia="Arial" w:hAnsi="Arial"/>
          <w:sz w:val="8"/>
          <w:szCs w:val="8"/>
          <w:color w:val="auto"/>
        </w:rPr>
      </w:pPr>
    </w:p>
    <w:p>
      <w:pPr>
        <w:spacing w:after="0" w:line="200" w:lineRule="exact"/>
        <w:rPr>
          <w:rFonts w:ascii="Arial" w:cs="Arial" w:eastAsia="Arial" w:hAnsi="Arial"/>
          <w:sz w:val="8"/>
          <w:szCs w:val="8"/>
          <w:color w:val="auto"/>
        </w:rPr>
      </w:pPr>
    </w:p>
    <w:p>
      <w:pPr>
        <w:spacing w:after="0" w:line="200" w:lineRule="exact"/>
        <w:rPr>
          <w:rFonts w:ascii="Arial" w:cs="Arial" w:eastAsia="Arial" w:hAnsi="Arial"/>
          <w:sz w:val="8"/>
          <w:szCs w:val="8"/>
          <w:color w:val="auto"/>
        </w:rPr>
      </w:pPr>
    </w:p>
    <w:p>
      <w:pPr>
        <w:spacing w:after="0" w:line="200" w:lineRule="exact"/>
        <w:rPr>
          <w:rFonts w:ascii="Arial" w:cs="Arial" w:eastAsia="Arial" w:hAnsi="Arial"/>
          <w:sz w:val="8"/>
          <w:szCs w:val="8"/>
          <w:color w:val="auto"/>
        </w:rPr>
      </w:pPr>
    </w:p>
    <w:p>
      <w:pPr>
        <w:spacing w:after="0" w:line="336" w:lineRule="exact"/>
        <w:rPr>
          <w:rFonts w:ascii="Arial" w:cs="Arial" w:eastAsia="Arial" w:hAnsi="Arial"/>
          <w:sz w:val="8"/>
          <w:szCs w:val="8"/>
          <w:color w:val="auto"/>
        </w:rPr>
      </w:pPr>
    </w:p>
    <w:p>
      <w:pPr>
        <w:ind w:left="300" w:hanging="184"/>
        <w:spacing w:after="0"/>
        <w:tabs>
          <w:tab w:leader="none" w:pos="300" w:val="left"/>
        </w:tabs>
        <w:numPr>
          <w:ilvl w:val="0"/>
          <w:numId w:val="32"/>
        </w:numPr>
        <w:rPr>
          <w:rFonts w:ascii="Arial" w:cs="Arial" w:eastAsia="Arial" w:hAnsi="Arial"/>
          <w:sz w:val="8"/>
          <w:szCs w:val="8"/>
          <w:color w:val="auto"/>
        </w:rPr>
      </w:pPr>
      <w:r>
        <w:rPr>
          <w:rFonts w:ascii="Arial" w:cs="Arial" w:eastAsia="Arial" w:hAnsi="Arial"/>
          <w:sz w:val="8"/>
          <w:szCs w:val="8"/>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189230</wp:posOffset>
            </wp:positionV>
            <wp:extent cx="3223260" cy="33686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23260" cy="336867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396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shd w:val="clear" w:color="auto" w:fill="E8E8E8"/>
          </w:tcPr>
          <w:p>
            <w:pPr>
              <w:spacing w:after="0"/>
              <w:rPr>
                <w:sz w:val="9"/>
                <w:szCs w:val="9"/>
                <w:color w:val="auto"/>
              </w:rPr>
            </w:pPr>
          </w:p>
        </w:tc>
        <w:tc>
          <w:tcPr>
            <w:tcW w:w="5840" w:type="dxa"/>
            <w:vAlign w:val="bottom"/>
            <w:shd w:val="clear" w:color="auto" w:fill="E8E8E8"/>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3960" w:type="dxa"/>
            <w:vAlign w:val="bottom"/>
            <w:gridSpan w:val="2"/>
            <w:shd w:val="clear" w:color="auto" w:fill="F2F2F2"/>
          </w:tcPr>
          <w:p>
            <w:pPr>
              <w:ind w:left="120"/>
              <w:spacing w:after="0"/>
              <w:rPr>
                <w:sz w:val="20"/>
                <w:szCs w:val="20"/>
                <w:color w:val="auto"/>
              </w:rPr>
            </w:pPr>
            <w:r>
              <w:rPr>
                <w:rFonts w:ascii="Arial" w:cs="Arial" w:eastAsia="Arial" w:hAnsi="Arial"/>
                <w:sz w:val="18"/>
                <w:szCs w:val="18"/>
                <w:b w:val="1"/>
                <w:bCs w:val="1"/>
                <w:color w:val="376DB5"/>
              </w:rPr>
              <w:t>Committee Highlights</w:t>
            </w:r>
          </w:p>
        </w:tc>
        <w:tc>
          <w:tcPr>
            <w:tcW w:w="120" w:type="dxa"/>
            <w:vAlign w:val="bottom"/>
            <w:shd w:val="clear" w:color="auto" w:fill="F2F2F2"/>
          </w:tcPr>
          <w:p>
            <w:pPr>
              <w:spacing w:after="0"/>
              <w:rPr>
                <w:sz w:val="21"/>
                <w:szCs w:val="21"/>
                <w:color w:val="auto"/>
              </w:rPr>
            </w:pPr>
          </w:p>
        </w:tc>
        <w:tc>
          <w:tcPr>
            <w:tcW w:w="640" w:type="dxa"/>
            <w:vAlign w:val="bottom"/>
            <w:shd w:val="clear" w:color="auto" w:fill="F2F2F2"/>
          </w:tcPr>
          <w:p>
            <w:pPr>
              <w:spacing w:after="0"/>
              <w:rPr>
                <w:sz w:val="21"/>
                <w:szCs w:val="21"/>
                <w:color w:val="auto"/>
              </w:rPr>
            </w:pPr>
          </w:p>
        </w:tc>
        <w:tc>
          <w:tcPr>
            <w:tcW w:w="120" w:type="dxa"/>
            <w:vAlign w:val="bottom"/>
            <w:shd w:val="clear" w:color="auto" w:fill="E8E8E8"/>
          </w:tcPr>
          <w:p>
            <w:pPr>
              <w:spacing w:after="0"/>
              <w:rPr>
                <w:sz w:val="21"/>
                <w:szCs w:val="21"/>
                <w:color w:val="auto"/>
              </w:rPr>
            </w:pPr>
          </w:p>
        </w:tc>
        <w:tc>
          <w:tcPr>
            <w:tcW w:w="5840" w:type="dxa"/>
            <w:vAlign w:val="bottom"/>
            <w:vMerge w:val="restart"/>
            <w:shd w:val="clear" w:color="auto" w:fill="E8E8E8"/>
          </w:tcPr>
          <w:p>
            <w:pPr>
              <w:spacing w:after="0"/>
              <w:rPr>
                <w:sz w:val="20"/>
                <w:szCs w:val="20"/>
                <w:color w:val="auto"/>
              </w:rPr>
            </w:pPr>
            <w:r>
              <w:rPr>
                <w:rFonts w:ascii="Arial" w:cs="Arial" w:eastAsia="Arial" w:hAnsi="Arial"/>
                <w:sz w:val="18"/>
                <w:szCs w:val="18"/>
                <w:b w:val="1"/>
                <w:bCs w:val="1"/>
                <w:color w:val="376DB5"/>
              </w:rPr>
              <w:t>Primary Responsibilities</w:t>
            </w:r>
          </w:p>
        </w:tc>
        <w:tc>
          <w:tcPr>
            <w:tcW w:w="0" w:type="dxa"/>
            <w:vAlign w:val="bottom"/>
          </w:tcPr>
          <w:p>
            <w:pPr>
              <w:spacing w:after="0"/>
              <w:rPr>
                <w:sz w:val="1"/>
                <w:szCs w:val="1"/>
                <w:color w:val="auto"/>
              </w:rPr>
            </w:pPr>
          </w:p>
        </w:tc>
      </w:tr>
      <w:tr>
        <w:trPr>
          <w:trHeight w:val="76"/>
        </w:trPr>
        <w:tc>
          <w:tcPr>
            <w:tcW w:w="1480" w:type="dxa"/>
            <w:vAlign w:val="bottom"/>
            <w:shd w:val="clear" w:color="auto" w:fill="F2F2F2"/>
          </w:tcPr>
          <w:p>
            <w:pPr>
              <w:spacing w:after="0"/>
              <w:rPr>
                <w:sz w:val="6"/>
                <w:szCs w:val="6"/>
                <w:color w:val="auto"/>
              </w:rPr>
            </w:pPr>
          </w:p>
        </w:tc>
        <w:tc>
          <w:tcPr>
            <w:tcW w:w="2480" w:type="dxa"/>
            <w:vAlign w:val="bottom"/>
            <w:shd w:val="clear" w:color="auto" w:fill="F2F2F2"/>
          </w:tcPr>
          <w:p>
            <w:pPr>
              <w:spacing w:after="0"/>
              <w:rPr>
                <w:sz w:val="6"/>
                <w:szCs w:val="6"/>
                <w:color w:val="auto"/>
              </w:rPr>
            </w:pPr>
          </w:p>
        </w:tc>
        <w:tc>
          <w:tcPr>
            <w:tcW w:w="120" w:type="dxa"/>
            <w:vAlign w:val="bottom"/>
            <w:shd w:val="clear" w:color="auto" w:fill="F2F2F2"/>
          </w:tcPr>
          <w:p>
            <w:pPr>
              <w:spacing w:after="0"/>
              <w:rPr>
                <w:sz w:val="6"/>
                <w:szCs w:val="6"/>
                <w:color w:val="auto"/>
              </w:rPr>
            </w:pPr>
          </w:p>
        </w:tc>
        <w:tc>
          <w:tcPr>
            <w:tcW w:w="640" w:type="dxa"/>
            <w:vAlign w:val="bottom"/>
            <w:shd w:val="clear" w:color="auto" w:fill="F2F2F2"/>
          </w:tcPr>
          <w:p>
            <w:pPr>
              <w:spacing w:after="0"/>
              <w:rPr>
                <w:sz w:val="6"/>
                <w:szCs w:val="6"/>
                <w:color w:val="auto"/>
              </w:rPr>
            </w:pPr>
          </w:p>
        </w:tc>
        <w:tc>
          <w:tcPr>
            <w:tcW w:w="120" w:type="dxa"/>
            <w:vAlign w:val="bottom"/>
            <w:shd w:val="clear" w:color="auto" w:fill="E8E8E8"/>
          </w:tcPr>
          <w:p>
            <w:pPr>
              <w:spacing w:after="0"/>
              <w:rPr>
                <w:sz w:val="6"/>
                <w:szCs w:val="6"/>
                <w:color w:val="auto"/>
              </w:rPr>
            </w:pPr>
          </w:p>
        </w:tc>
        <w:tc>
          <w:tcPr>
            <w:tcW w:w="5840" w:type="dxa"/>
            <w:vAlign w:val="bottom"/>
            <w:vMerge w:val="continue"/>
            <w:shd w:val="clear" w:color="auto" w:fill="E8E8E8"/>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1480" w:type="dxa"/>
            <w:vAlign w:val="bottom"/>
            <w:shd w:val="clear" w:color="auto" w:fill="F2F2F2"/>
          </w:tcPr>
          <w:p>
            <w:pPr>
              <w:spacing w:after="0"/>
              <w:rPr>
                <w:sz w:val="10"/>
                <w:szCs w:val="10"/>
                <w:color w:val="auto"/>
              </w:rPr>
            </w:pPr>
          </w:p>
        </w:tc>
        <w:tc>
          <w:tcPr>
            <w:tcW w:w="2480" w:type="dxa"/>
            <w:vAlign w:val="bottom"/>
            <w:shd w:val="clear" w:color="auto" w:fill="F2F2F2"/>
          </w:tcPr>
          <w:p>
            <w:pPr>
              <w:spacing w:after="0"/>
              <w:rPr>
                <w:sz w:val="10"/>
                <w:szCs w:val="10"/>
                <w:color w:val="auto"/>
              </w:rPr>
            </w:pPr>
          </w:p>
        </w:tc>
        <w:tc>
          <w:tcPr>
            <w:tcW w:w="120" w:type="dxa"/>
            <w:vAlign w:val="bottom"/>
            <w:shd w:val="clear" w:color="auto" w:fill="F2F2F2"/>
          </w:tcPr>
          <w:p>
            <w:pPr>
              <w:spacing w:after="0"/>
              <w:rPr>
                <w:sz w:val="10"/>
                <w:szCs w:val="10"/>
                <w:color w:val="auto"/>
              </w:rPr>
            </w:pPr>
          </w:p>
        </w:tc>
        <w:tc>
          <w:tcPr>
            <w:tcW w:w="640" w:type="dxa"/>
            <w:vAlign w:val="bottom"/>
            <w:vMerge w:val="restart"/>
            <w:shd w:val="clear" w:color="auto" w:fill="F2F2F2"/>
          </w:tcPr>
          <w:p>
            <w:pPr>
              <w:spacing w:after="0"/>
              <w:rPr>
                <w:sz w:val="20"/>
                <w:szCs w:val="20"/>
                <w:color w:val="auto"/>
              </w:rPr>
            </w:pPr>
            <w:r>
              <w:rPr>
                <w:rFonts w:ascii="Arial" w:cs="Arial" w:eastAsia="Arial" w:hAnsi="Arial"/>
                <w:sz w:val="18"/>
                <w:szCs w:val="18"/>
                <w:color w:val="376DB5"/>
              </w:rPr>
              <w:t> </w:t>
            </w:r>
          </w:p>
        </w:tc>
        <w:tc>
          <w:tcPr>
            <w:tcW w:w="120" w:type="dxa"/>
            <w:vAlign w:val="bottom"/>
            <w:shd w:val="clear" w:color="auto" w:fill="E8E8E8"/>
          </w:tcPr>
          <w:p>
            <w:pPr>
              <w:spacing w:after="0"/>
              <w:rPr>
                <w:sz w:val="10"/>
                <w:szCs w:val="10"/>
                <w:color w:val="auto"/>
              </w:rPr>
            </w:pPr>
          </w:p>
        </w:tc>
        <w:tc>
          <w:tcPr>
            <w:tcW w:w="5840" w:type="dxa"/>
            <w:vAlign w:val="bottom"/>
            <w:vMerge w:val="restart"/>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 Assists the Board in overseeing the integrity of our financial</w:t>
            </w:r>
          </w:p>
        </w:tc>
        <w:tc>
          <w:tcPr>
            <w:tcW w:w="0" w:type="dxa"/>
            <w:vAlign w:val="bottom"/>
          </w:tcPr>
          <w:p>
            <w:pPr>
              <w:spacing w:after="0"/>
              <w:rPr>
                <w:sz w:val="1"/>
                <w:szCs w:val="1"/>
                <w:color w:val="auto"/>
              </w:rPr>
            </w:pPr>
          </w:p>
        </w:tc>
      </w:tr>
      <w:tr>
        <w:trPr>
          <w:trHeight w:val="184"/>
        </w:trPr>
        <w:tc>
          <w:tcPr>
            <w:tcW w:w="1480" w:type="dxa"/>
            <w:vAlign w:val="bottom"/>
            <w:vMerge w:val="restart"/>
          </w:tcPr>
          <w:p>
            <w:pPr>
              <w:ind w:left="780"/>
              <w:spacing w:after="0"/>
              <w:rPr>
                <w:sz w:val="20"/>
                <w:szCs w:val="20"/>
                <w:color w:val="auto"/>
              </w:rPr>
            </w:pPr>
            <w:r>
              <w:rPr>
                <w:rFonts w:ascii="Arial" w:cs="Arial" w:eastAsia="Arial" w:hAnsi="Arial"/>
                <w:sz w:val="18"/>
                <w:szCs w:val="18"/>
                <w:color w:val="376DB5"/>
              </w:rPr>
              <w:t>8</w:t>
            </w:r>
          </w:p>
        </w:tc>
        <w:tc>
          <w:tcPr>
            <w:tcW w:w="2480" w:type="dxa"/>
            <w:vAlign w:val="bottom"/>
            <w:vMerge w:val="restart"/>
          </w:tcPr>
          <w:p>
            <w:pPr>
              <w:ind w:left="180"/>
              <w:spacing w:after="0"/>
              <w:rPr>
                <w:sz w:val="20"/>
                <w:szCs w:val="20"/>
                <w:color w:val="auto"/>
              </w:rPr>
            </w:pPr>
            <w:r>
              <w:rPr>
                <w:rFonts w:ascii="Arial" w:cs="Arial" w:eastAsia="Arial" w:hAnsi="Arial"/>
                <w:sz w:val="18"/>
                <w:szCs w:val="18"/>
                <w:color w:val="376DB5"/>
              </w:rPr>
              <w:t>Members</w:t>
            </w:r>
          </w:p>
        </w:tc>
        <w:tc>
          <w:tcPr>
            <w:tcW w:w="120" w:type="dxa"/>
            <w:vAlign w:val="bottom"/>
            <w:shd w:val="clear" w:color="auto" w:fill="F2F2F2"/>
          </w:tcPr>
          <w:p>
            <w:pPr>
              <w:spacing w:after="0"/>
              <w:rPr>
                <w:sz w:val="15"/>
                <w:szCs w:val="15"/>
                <w:color w:val="auto"/>
              </w:rPr>
            </w:pPr>
          </w:p>
        </w:tc>
        <w:tc>
          <w:tcPr>
            <w:tcW w:w="640" w:type="dxa"/>
            <w:vAlign w:val="bottom"/>
            <w:vMerge w:val="continue"/>
            <w:shd w:val="clear" w:color="auto" w:fill="F2F2F2"/>
          </w:tcPr>
          <w:p>
            <w:pPr>
              <w:spacing w:after="0"/>
              <w:rPr>
                <w:sz w:val="15"/>
                <w:szCs w:val="15"/>
                <w:color w:val="auto"/>
              </w:rPr>
            </w:pPr>
          </w:p>
        </w:tc>
        <w:tc>
          <w:tcPr>
            <w:tcW w:w="120" w:type="dxa"/>
            <w:vAlign w:val="bottom"/>
            <w:shd w:val="clear" w:color="auto" w:fill="E8E8E8"/>
          </w:tcPr>
          <w:p>
            <w:pPr>
              <w:spacing w:after="0"/>
              <w:rPr>
                <w:sz w:val="15"/>
                <w:szCs w:val="15"/>
                <w:color w:val="auto"/>
              </w:rPr>
            </w:pPr>
          </w:p>
        </w:tc>
        <w:tc>
          <w:tcPr>
            <w:tcW w:w="5840" w:type="dxa"/>
            <w:vAlign w:val="bottom"/>
            <w:vMerge w:val="continue"/>
            <w:shd w:val="clear" w:color="auto" w:fill="E8E8E8"/>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48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0" w:type="dxa"/>
            <w:vAlign w:val="bottom"/>
            <w:shd w:val="clear" w:color="auto" w:fill="F2F2F2"/>
          </w:tcPr>
          <w:p>
            <w:pPr>
              <w:spacing w:after="0"/>
              <w:rPr>
                <w:sz w:val="10"/>
                <w:szCs w:val="10"/>
                <w:color w:val="auto"/>
              </w:rPr>
            </w:pPr>
          </w:p>
        </w:tc>
        <w:tc>
          <w:tcPr>
            <w:tcW w:w="640" w:type="dxa"/>
            <w:vAlign w:val="bottom"/>
            <w:shd w:val="clear" w:color="auto" w:fill="F2F2F2"/>
          </w:tcPr>
          <w:p>
            <w:pPr>
              <w:spacing w:after="0"/>
              <w:rPr>
                <w:sz w:val="10"/>
                <w:szCs w:val="10"/>
                <w:color w:val="auto"/>
              </w:rPr>
            </w:pPr>
          </w:p>
        </w:tc>
        <w:tc>
          <w:tcPr>
            <w:tcW w:w="120" w:type="dxa"/>
            <w:vAlign w:val="bottom"/>
            <w:shd w:val="clear" w:color="auto" w:fill="E8E8E8"/>
          </w:tcPr>
          <w:p>
            <w:pPr>
              <w:spacing w:after="0"/>
              <w:rPr>
                <w:sz w:val="10"/>
                <w:szCs w:val="10"/>
                <w:color w:val="auto"/>
              </w:rPr>
            </w:pPr>
          </w:p>
        </w:tc>
        <w:tc>
          <w:tcPr>
            <w:tcW w:w="5840" w:type="dxa"/>
            <w:vAlign w:val="bottom"/>
            <w:vMerge w:val="restart"/>
            <w:shd w:val="clear" w:color="auto" w:fill="E8E8E8"/>
          </w:tcPr>
          <w:p>
            <w:pPr>
              <w:ind w:left="200"/>
              <w:spacing w:after="0"/>
              <w:rPr>
                <w:sz w:val="20"/>
                <w:szCs w:val="20"/>
                <w:color w:val="auto"/>
              </w:rPr>
            </w:pPr>
            <w:r>
              <w:rPr>
                <w:rFonts w:ascii="Arial" w:cs="Arial" w:eastAsia="Arial" w:hAnsi="Arial"/>
                <w:sz w:val="18"/>
                <w:szCs w:val="18"/>
                <w:color w:val="auto"/>
              </w:rPr>
              <w:t>statements</w:t>
            </w:r>
          </w:p>
        </w:tc>
        <w:tc>
          <w:tcPr>
            <w:tcW w:w="0" w:type="dxa"/>
            <w:vAlign w:val="bottom"/>
          </w:tcPr>
          <w:p>
            <w:pPr>
              <w:spacing w:after="0"/>
              <w:rPr>
                <w:sz w:val="1"/>
                <w:szCs w:val="1"/>
                <w:color w:val="auto"/>
              </w:rPr>
            </w:pPr>
          </w:p>
        </w:tc>
      </w:tr>
      <w:tr>
        <w:trPr>
          <w:trHeight w:val="117"/>
        </w:trPr>
        <w:tc>
          <w:tcPr>
            <w:tcW w:w="1480" w:type="dxa"/>
            <w:vAlign w:val="bottom"/>
            <w:vMerge w:val="restart"/>
          </w:tcPr>
          <w:p>
            <w:pPr>
              <w:ind w:left="460"/>
              <w:spacing w:after="0" w:line="202" w:lineRule="exact"/>
              <w:rPr>
                <w:sz w:val="20"/>
                <w:szCs w:val="20"/>
                <w:color w:val="auto"/>
              </w:rPr>
            </w:pPr>
            <w:r>
              <w:rPr>
                <w:rFonts w:ascii="Arial" w:cs="Arial" w:eastAsia="Arial" w:hAnsi="Arial"/>
                <w:sz w:val="18"/>
                <w:szCs w:val="18"/>
                <w:color w:val="376DB5"/>
              </w:rPr>
              <w:t>Meetings</w:t>
            </w:r>
          </w:p>
        </w:tc>
        <w:tc>
          <w:tcPr>
            <w:tcW w:w="2480" w:type="dxa"/>
            <w:vAlign w:val="bottom"/>
            <w:vMerge w:val="restart"/>
          </w:tcPr>
          <w:p>
            <w:pPr>
              <w:ind w:left="180"/>
              <w:spacing w:after="0" w:line="202" w:lineRule="exact"/>
              <w:rPr>
                <w:sz w:val="20"/>
                <w:szCs w:val="20"/>
                <w:color w:val="auto"/>
              </w:rPr>
            </w:pPr>
            <w:r>
              <w:rPr>
                <w:rFonts w:ascii="Arial" w:cs="Arial" w:eastAsia="Arial" w:hAnsi="Arial"/>
                <w:sz w:val="18"/>
                <w:szCs w:val="18"/>
                <w:color w:val="auto"/>
              </w:rPr>
              <w:t>David A. Rey (Chair)</w:t>
            </w:r>
          </w:p>
        </w:tc>
        <w:tc>
          <w:tcPr>
            <w:tcW w:w="120" w:type="dxa"/>
            <w:vAlign w:val="bottom"/>
            <w:shd w:val="clear" w:color="auto" w:fill="F2F2F2"/>
          </w:tcPr>
          <w:p>
            <w:pPr>
              <w:spacing w:after="0"/>
              <w:rPr>
                <w:sz w:val="10"/>
                <w:szCs w:val="10"/>
                <w:color w:val="auto"/>
              </w:rPr>
            </w:pPr>
          </w:p>
        </w:tc>
        <w:tc>
          <w:tcPr>
            <w:tcW w:w="640" w:type="dxa"/>
            <w:vAlign w:val="bottom"/>
            <w:shd w:val="clear" w:color="auto" w:fill="F2F2F2"/>
          </w:tcPr>
          <w:p>
            <w:pPr>
              <w:spacing w:after="0"/>
              <w:rPr>
                <w:sz w:val="10"/>
                <w:szCs w:val="10"/>
                <w:color w:val="auto"/>
              </w:rPr>
            </w:pPr>
          </w:p>
        </w:tc>
        <w:tc>
          <w:tcPr>
            <w:tcW w:w="120" w:type="dxa"/>
            <w:vAlign w:val="bottom"/>
            <w:shd w:val="clear" w:color="auto" w:fill="E8E8E8"/>
          </w:tcPr>
          <w:p>
            <w:pPr>
              <w:spacing w:after="0"/>
              <w:rPr>
                <w:sz w:val="10"/>
                <w:szCs w:val="10"/>
                <w:color w:val="auto"/>
              </w:rPr>
            </w:pPr>
          </w:p>
        </w:tc>
        <w:tc>
          <w:tcPr>
            <w:tcW w:w="5840" w:type="dxa"/>
            <w:vAlign w:val="bottom"/>
            <w:vMerge w:val="continue"/>
            <w:shd w:val="clear" w:color="auto" w:fill="E8E8E8"/>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480" w:type="dxa"/>
            <w:vAlign w:val="bottom"/>
            <w:vMerge w:val="continue"/>
          </w:tcPr>
          <w:p>
            <w:pPr>
              <w:spacing w:after="0"/>
              <w:rPr>
                <w:sz w:val="7"/>
                <w:szCs w:val="7"/>
                <w:color w:val="auto"/>
              </w:rPr>
            </w:pPr>
          </w:p>
        </w:tc>
        <w:tc>
          <w:tcPr>
            <w:tcW w:w="2480" w:type="dxa"/>
            <w:vAlign w:val="bottom"/>
            <w:vMerge w:val="continue"/>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640" w:type="dxa"/>
            <w:vAlign w:val="bottom"/>
            <w:shd w:val="clear" w:color="auto" w:fill="F2F2F2"/>
          </w:tcPr>
          <w:p>
            <w:pPr>
              <w:spacing w:after="0"/>
              <w:rPr>
                <w:sz w:val="7"/>
                <w:szCs w:val="7"/>
                <w:color w:val="auto"/>
              </w:rPr>
            </w:pPr>
          </w:p>
        </w:tc>
        <w:tc>
          <w:tcPr>
            <w:tcW w:w="120" w:type="dxa"/>
            <w:vAlign w:val="bottom"/>
            <w:shd w:val="clear" w:color="auto" w:fill="E8E8E8"/>
          </w:tcPr>
          <w:p>
            <w:pPr>
              <w:spacing w:after="0"/>
              <w:rPr>
                <w:sz w:val="7"/>
                <w:szCs w:val="7"/>
                <w:color w:val="auto"/>
              </w:rPr>
            </w:pPr>
          </w:p>
        </w:tc>
        <w:tc>
          <w:tcPr>
            <w:tcW w:w="5840" w:type="dxa"/>
            <w:vAlign w:val="bottom"/>
            <w:shd w:val="clear" w:color="auto" w:fill="E8E8E8"/>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200"/>
              <w:spacing w:after="0" w:line="202" w:lineRule="exact"/>
              <w:rPr>
                <w:sz w:val="20"/>
                <w:szCs w:val="20"/>
                <w:color w:val="auto"/>
              </w:rPr>
            </w:pPr>
            <w:r>
              <w:rPr>
                <w:rFonts w:ascii="Arial" w:cs="Arial" w:eastAsia="Arial" w:hAnsi="Arial"/>
                <w:sz w:val="18"/>
                <w:szCs w:val="18"/>
                <w:color w:val="auto"/>
              </w:rPr>
              <w:t>   Fiscal 2025</w:t>
            </w:r>
          </w:p>
        </w:tc>
        <w:tc>
          <w:tcPr>
            <w:tcW w:w="2480" w:type="dxa"/>
            <w:vAlign w:val="bottom"/>
          </w:tcPr>
          <w:p>
            <w:pPr>
              <w:ind w:left="180"/>
              <w:spacing w:after="0" w:line="202" w:lineRule="exact"/>
              <w:rPr>
                <w:sz w:val="20"/>
                <w:szCs w:val="20"/>
                <w:color w:val="auto"/>
              </w:rPr>
            </w:pPr>
            <w:r>
              <w:rPr>
                <w:rFonts w:ascii="Arial" w:cs="Arial" w:eastAsia="Arial" w:hAnsi="Arial"/>
                <w:sz w:val="18"/>
                <w:szCs w:val="18"/>
                <w:color w:val="auto"/>
              </w:rPr>
              <w:t>Marc F. McMorris</w:t>
            </w:r>
          </w:p>
        </w:tc>
        <w:tc>
          <w:tcPr>
            <w:tcW w:w="120" w:type="dxa"/>
            <w:vAlign w:val="bottom"/>
            <w:shd w:val="clear" w:color="auto" w:fill="F2F2F2"/>
          </w:tcPr>
          <w:p>
            <w:pPr>
              <w:spacing w:after="0"/>
              <w:rPr>
                <w:sz w:val="17"/>
                <w:szCs w:val="17"/>
                <w:color w:val="auto"/>
              </w:rPr>
            </w:pPr>
          </w:p>
        </w:tc>
        <w:tc>
          <w:tcPr>
            <w:tcW w:w="640" w:type="dxa"/>
            <w:vAlign w:val="bottom"/>
            <w:shd w:val="clear" w:color="auto" w:fill="F2F2F2"/>
          </w:tcPr>
          <w:p>
            <w:pPr>
              <w:spacing w:after="0"/>
              <w:rPr>
                <w:sz w:val="17"/>
                <w:szCs w:val="17"/>
                <w:color w:val="auto"/>
              </w:rPr>
            </w:pPr>
          </w:p>
        </w:tc>
        <w:tc>
          <w:tcPr>
            <w:tcW w:w="120" w:type="dxa"/>
            <w:vAlign w:val="bottom"/>
            <w:shd w:val="clear" w:color="auto" w:fill="E8E8E8"/>
          </w:tcPr>
          <w:p>
            <w:pPr>
              <w:spacing w:after="0"/>
              <w:rPr>
                <w:sz w:val="17"/>
                <w:szCs w:val="17"/>
                <w:color w:val="auto"/>
              </w:rPr>
            </w:pPr>
          </w:p>
        </w:tc>
        <w:tc>
          <w:tcPr>
            <w:tcW w:w="5840" w:type="dxa"/>
            <w:vAlign w:val="bottom"/>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 Oversees the qualifications and independence of our independent</w:t>
            </w:r>
          </w:p>
        </w:tc>
        <w:tc>
          <w:tcPr>
            <w:tcW w:w="0" w:type="dxa"/>
            <w:vAlign w:val="bottom"/>
          </w:tcPr>
          <w:p>
            <w:pPr>
              <w:spacing w:after="0"/>
              <w:rPr>
                <w:sz w:val="1"/>
                <w:szCs w:val="1"/>
                <w:color w:val="auto"/>
              </w:rPr>
            </w:pPr>
          </w:p>
        </w:tc>
      </w:tr>
      <w:tr>
        <w:trPr>
          <w:trHeight w:val="239"/>
        </w:trPr>
        <w:tc>
          <w:tcPr>
            <w:tcW w:w="1480" w:type="dxa"/>
            <w:vAlign w:val="bottom"/>
          </w:tcPr>
          <w:p>
            <w:pPr>
              <w:spacing w:after="0"/>
              <w:rPr>
                <w:sz w:val="20"/>
                <w:szCs w:val="20"/>
                <w:color w:val="auto"/>
              </w:rPr>
            </w:pPr>
          </w:p>
        </w:tc>
        <w:tc>
          <w:tcPr>
            <w:tcW w:w="2480" w:type="dxa"/>
            <w:vAlign w:val="bottom"/>
          </w:tcPr>
          <w:p>
            <w:pPr>
              <w:ind w:left="180"/>
              <w:spacing w:after="0"/>
              <w:rPr>
                <w:sz w:val="20"/>
                <w:szCs w:val="20"/>
                <w:color w:val="auto"/>
              </w:rPr>
            </w:pPr>
            <w:r>
              <w:rPr>
                <w:rFonts w:ascii="Arial" w:cs="Arial" w:eastAsia="Arial" w:hAnsi="Arial"/>
                <w:sz w:val="18"/>
                <w:szCs w:val="18"/>
                <w:color w:val="auto"/>
              </w:rPr>
              <w:t xml:space="preserve">H. Tayloe Stansbury       </w:t>
            </w:r>
          </w:p>
        </w:tc>
        <w:tc>
          <w:tcPr>
            <w:tcW w:w="120" w:type="dxa"/>
            <w:vAlign w:val="bottom"/>
            <w:shd w:val="clear" w:color="auto" w:fill="F2F2F2"/>
          </w:tcPr>
          <w:p>
            <w:pPr>
              <w:spacing w:after="0"/>
              <w:rPr>
                <w:sz w:val="20"/>
                <w:szCs w:val="20"/>
                <w:color w:val="auto"/>
              </w:rPr>
            </w:pPr>
          </w:p>
        </w:tc>
        <w:tc>
          <w:tcPr>
            <w:tcW w:w="640" w:type="dxa"/>
            <w:vAlign w:val="bottom"/>
            <w:shd w:val="clear" w:color="auto" w:fill="F2F2F2"/>
          </w:tcPr>
          <w:p>
            <w:pPr>
              <w:spacing w:after="0"/>
              <w:rPr>
                <w:sz w:val="20"/>
                <w:szCs w:val="20"/>
                <w:color w:val="auto"/>
              </w:rPr>
            </w:pPr>
          </w:p>
        </w:tc>
        <w:tc>
          <w:tcPr>
            <w:tcW w:w="120" w:type="dxa"/>
            <w:vAlign w:val="bottom"/>
            <w:shd w:val="clear" w:color="auto" w:fill="E8E8E8"/>
          </w:tcPr>
          <w:p>
            <w:pPr>
              <w:spacing w:after="0"/>
              <w:rPr>
                <w:sz w:val="20"/>
                <w:szCs w:val="20"/>
                <w:color w:val="auto"/>
              </w:rPr>
            </w:pPr>
          </w:p>
        </w:tc>
        <w:tc>
          <w:tcPr>
            <w:tcW w:w="5840" w:type="dxa"/>
            <w:vAlign w:val="bottom"/>
            <w:shd w:val="clear" w:color="auto" w:fill="E8E8E8"/>
          </w:tcPr>
          <w:p>
            <w:pPr>
              <w:ind w:left="200"/>
              <w:spacing w:after="0"/>
              <w:rPr>
                <w:sz w:val="20"/>
                <w:szCs w:val="20"/>
                <w:color w:val="auto"/>
              </w:rPr>
            </w:pPr>
            <w:r>
              <w:rPr>
                <w:rFonts w:ascii="Arial" w:cs="Arial" w:eastAsia="Arial" w:hAnsi="Arial"/>
                <w:sz w:val="18"/>
                <w:szCs w:val="18"/>
                <w:color w:val="auto"/>
              </w:rPr>
              <w:t>auditor</w:t>
            </w:r>
          </w:p>
        </w:tc>
        <w:tc>
          <w:tcPr>
            <w:tcW w:w="0" w:type="dxa"/>
            <w:vAlign w:val="bottom"/>
          </w:tcPr>
          <w:p>
            <w:pPr>
              <w:spacing w:after="0"/>
              <w:rPr>
                <w:sz w:val="1"/>
                <w:szCs w:val="1"/>
                <w:color w:val="auto"/>
              </w:rPr>
            </w:pPr>
          </w:p>
        </w:tc>
      </w:tr>
      <w:tr>
        <w:trPr>
          <w:trHeight w:val="259"/>
        </w:trPr>
        <w:tc>
          <w:tcPr>
            <w:tcW w:w="1480" w:type="dxa"/>
            <w:vAlign w:val="bottom"/>
            <w:tcBorders>
              <w:bottom w:val="single" w:sz="8" w:color="F2F2F2"/>
            </w:tcBorders>
          </w:tcPr>
          <w:p>
            <w:pPr>
              <w:spacing w:after="0"/>
              <w:rPr>
                <w:sz w:val="22"/>
                <w:szCs w:val="22"/>
                <w:color w:val="auto"/>
              </w:rPr>
            </w:pPr>
          </w:p>
        </w:tc>
        <w:tc>
          <w:tcPr>
            <w:tcW w:w="2480" w:type="dxa"/>
            <w:vAlign w:val="bottom"/>
            <w:tcBorders>
              <w:bottom w:val="single" w:sz="8" w:color="F2F2F2"/>
            </w:tcBorders>
          </w:tcPr>
          <w:p>
            <w:pPr>
              <w:spacing w:after="0"/>
              <w:rPr>
                <w:sz w:val="22"/>
                <w:szCs w:val="22"/>
                <w:color w:val="auto"/>
              </w:rPr>
            </w:pPr>
          </w:p>
        </w:tc>
        <w:tc>
          <w:tcPr>
            <w:tcW w:w="120" w:type="dxa"/>
            <w:vAlign w:val="bottom"/>
            <w:tcBorders>
              <w:bottom w:val="single" w:sz="8" w:color="F2F2F2"/>
            </w:tcBorders>
            <w:shd w:val="clear" w:color="auto" w:fill="F2F2F2"/>
          </w:tcPr>
          <w:p>
            <w:pPr>
              <w:spacing w:after="0"/>
              <w:rPr>
                <w:sz w:val="22"/>
                <w:szCs w:val="22"/>
                <w:color w:val="auto"/>
              </w:rPr>
            </w:pPr>
          </w:p>
        </w:tc>
        <w:tc>
          <w:tcPr>
            <w:tcW w:w="640" w:type="dxa"/>
            <w:vAlign w:val="bottom"/>
            <w:tcBorders>
              <w:bottom w:val="single" w:sz="8" w:color="F2F2F2"/>
            </w:tcBorders>
            <w:shd w:val="clear" w:color="auto" w:fill="F2F2F2"/>
          </w:tcPr>
          <w:p>
            <w:pPr>
              <w:ind w:left="360"/>
              <w:spacing w:after="0"/>
              <w:rPr>
                <w:sz w:val="20"/>
                <w:szCs w:val="20"/>
                <w:color w:val="auto"/>
              </w:rPr>
            </w:pPr>
            <w:r>
              <w:rPr>
                <w:rFonts w:ascii="Arial" w:cs="Arial" w:eastAsia="Arial" w:hAnsi="Arial"/>
                <w:sz w:val="18"/>
                <w:szCs w:val="18"/>
                <w:color w:val="auto"/>
              </w:rPr>
              <w:t xml:space="preserve">   </w:t>
            </w:r>
          </w:p>
        </w:tc>
        <w:tc>
          <w:tcPr>
            <w:tcW w:w="120" w:type="dxa"/>
            <w:vAlign w:val="bottom"/>
            <w:tcBorders>
              <w:bottom w:val="single" w:sz="8" w:color="E8E8E8"/>
            </w:tcBorders>
            <w:shd w:val="clear" w:color="auto" w:fill="E8E8E8"/>
          </w:tcPr>
          <w:p>
            <w:pPr>
              <w:spacing w:after="0"/>
              <w:rPr>
                <w:sz w:val="22"/>
                <w:szCs w:val="22"/>
                <w:color w:val="auto"/>
              </w:rPr>
            </w:pPr>
          </w:p>
        </w:tc>
        <w:tc>
          <w:tcPr>
            <w:tcW w:w="5840" w:type="dxa"/>
            <w:vAlign w:val="bottom"/>
            <w:tcBorders>
              <w:bottom w:val="single" w:sz="8" w:color="E8E8E8"/>
            </w:tcBorders>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 Oversees performance of our internal audit function and independent</w:t>
            </w:r>
          </w:p>
        </w:tc>
        <w:tc>
          <w:tcPr>
            <w:tcW w:w="0" w:type="dxa"/>
            <w:vAlign w:val="bottom"/>
          </w:tcPr>
          <w:p>
            <w:pPr>
              <w:spacing w:after="0"/>
              <w:rPr>
                <w:sz w:val="1"/>
                <w:szCs w:val="1"/>
                <w:color w:val="auto"/>
              </w:rPr>
            </w:pPr>
          </w:p>
        </w:tc>
      </w:tr>
      <w:tr>
        <w:trPr>
          <w:trHeight w:val="247"/>
        </w:trPr>
        <w:tc>
          <w:tcPr>
            <w:tcW w:w="1480" w:type="dxa"/>
            <w:vAlign w:val="bottom"/>
            <w:vMerge w:val="restart"/>
          </w:tcPr>
          <w:p>
            <w:pPr>
              <w:ind w:left="120"/>
              <w:spacing w:after="0"/>
              <w:rPr>
                <w:sz w:val="20"/>
                <w:szCs w:val="20"/>
                <w:color w:val="auto"/>
              </w:rPr>
            </w:pPr>
            <w:r>
              <w:rPr>
                <w:rFonts w:ascii="Arial" w:cs="Arial" w:eastAsia="Arial" w:hAnsi="Arial"/>
                <w:sz w:val="18"/>
                <w:szCs w:val="18"/>
                <w:b w:val="1"/>
                <w:bCs w:val="1"/>
                <w:color w:val="376DB5"/>
              </w:rPr>
              <w:t>Independence</w:t>
            </w:r>
          </w:p>
        </w:tc>
        <w:tc>
          <w:tcPr>
            <w:tcW w:w="2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shd w:val="clear" w:color="auto" w:fill="E8E8E8"/>
          </w:tcPr>
          <w:p>
            <w:pPr>
              <w:spacing w:after="0"/>
              <w:rPr>
                <w:sz w:val="21"/>
                <w:szCs w:val="21"/>
                <w:color w:val="auto"/>
              </w:rPr>
            </w:pPr>
          </w:p>
        </w:tc>
        <w:tc>
          <w:tcPr>
            <w:tcW w:w="5840" w:type="dxa"/>
            <w:vAlign w:val="bottom"/>
            <w:shd w:val="clear" w:color="auto" w:fill="E8E8E8"/>
          </w:tcPr>
          <w:p>
            <w:pPr>
              <w:ind w:left="200"/>
              <w:spacing w:after="0"/>
              <w:rPr>
                <w:sz w:val="20"/>
                <w:szCs w:val="20"/>
                <w:color w:val="auto"/>
              </w:rPr>
            </w:pPr>
            <w:r>
              <w:rPr>
                <w:rFonts w:ascii="Arial" w:cs="Arial" w:eastAsia="Arial" w:hAnsi="Arial"/>
                <w:sz w:val="18"/>
                <w:szCs w:val="18"/>
                <w:color w:val="auto"/>
              </w:rPr>
              <w:t>auditor</w:t>
            </w:r>
          </w:p>
        </w:tc>
        <w:tc>
          <w:tcPr>
            <w:tcW w:w="0" w:type="dxa"/>
            <w:vAlign w:val="bottom"/>
          </w:tcPr>
          <w:p>
            <w:pPr>
              <w:spacing w:after="0"/>
              <w:rPr>
                <w:sz w:val="1"/>
                <w:szCs w:val="1"/>
                <w:color w:val="auto"/>
              </w:rPr>
            </w:pPr>
          </w:p>
        </w:tc>
      </w:tr>
      <w:tr>
        <w:trPr>
          <w:trHeight w:val="58"/>
        </w:trPr>
        <w:tc>
          <w:tcPr>
            <w:tcW w:w="1480" w:type="dxa"/>
            <w:vAlign w:val="bottom"/>
            <w:vMerge w:val="continue"/>
          </w:tcPr>
          <w:p>
            <w:pPr>
              <w:spacing w:after="0"/>
              <w:rPr>
                <w:sz w:val="5"/>
                <w:szCs w:val="5"/>
                <w:color w:val="auto"/>
              </w:rPr>
            </w:pPr>
          </w:p>
        </w:tc>
        <w:tc>
          <w:tcPr>
            <w:tcW w:w="2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shd w:val="clear" w:color="auto" w:fill="E8E8E8"/>
          </w:tcPr>
          <w:p>
            <w:pPr>
              <w:spacing w:after="0"/>
              <w:rPr>
                <w:sz w:val="5"/>
                <w:szCs w:val="5"/>
                <w:color w:val="auto"/>
              </w:rPr>
            </w:pPr>
          </w:p>
        </w:tc>
        <w:tc>
          <w:tcPr>
            <w:tcW w:w="5840" w:type="dxa"/>
            <w:vAlign w:val="bottom"/>
            <w:shd w:val="clear" w:color="auto" w:fill="E8E8E8"/>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20" w:type="dxa"/>
            <w:vAlign w:val="bottom"/>
            <w:gridSpan w:val="4"/>
          </w:tcPr>
          <w:p>
            <w:pPr>
              <w:ind w:left="120"/>
              <w:spacing w:after="0"/>
              <w:rPr>
                <w:sz w:val="20"/>
                <w:szCs w:val="20"/>
                <w:color w:val="auto"/>
              </w:rPr>
            </w:pPr>
            <w:r>
              <w:rPr>
                <w:rFonts w:ascii="Arial" w:cs="Arial" w:eastAsia="Arial" w:hAnsi="Arial"/>
                <w:sz w:val="18"/>
                <w:szCs w:val="18"/>
                <w:color w:val="auto"/>
              </w:rPr>
              <w:t>Each  member  of  the  Audit  Committee  is</w:t>
            </w:r>
          </w:p>
        </w:tc>
        <w:tc>
          <w:tcPr>
            <w:tcW w:w="120" w:type="dxa"/>
            <w:vAlign w:val="bottom"/>
            <w:shd w:val="clear" w:color="auto" w:fill="E8E8E8"/>
          </w:tcPr>
          <w:p>
            <w:pPr>
              <w:spacing w:after="0"/>
              <w:rPr>
                <w:sz w:val="18"/>
                <w:szCs w:val="18"/>
                <w:color w:val="auto"/>
              </w:rPr>
            </w:pPr>
          </w:p>
        </w:tc>
        <w:tc>
          <w:tcPr>
            <w:tcW w:w="5840" w:type="dxa"/>
            <w:vAlign w:val="bottom"/>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 Oversees our Company’s compliance program, including codes of</w:t>
            </w:r>
          </w:p>
        </w:tc>
        <w:tc>
          <w:tcPr>
            <w:tcW w:w="0" w:type="dxa"/>
            <w:vAlign w:val="bottom"/>
          </w:tcPr>
          <w:p>
            <w:pPr>
              <w:spacing w:after="0"/>
              <w:rPr>
                <w:sz w:val="1"/>
                <w:szCs w:val="1"/>
                <w:color w:val="auto"/>
              </w:rPr>
            </w:pPr>
          </w:p>
        </w:tc>
      </w:tr>
      <w:tr>
        <w:trPr>
          <w:trHeight w:val="203"/>
        </w:trPr>
        <w:tc>
          <w:tcPr>
            <w:tcW w:w="472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independent  as  defined  in  Rule  10A-3  adopted</w:t>
            </w:r>
          </w:p>
        </w:tc>
        <w:tc>
          <w:tcPr>
            <w:tcW w:w="120" w:type="dxa"/>
            <w:vAlign w:val="bottom"/>
            <w:shd w:val="clear" w:color="auto" w:fill="E8E8E8"/>
          </w:tcPr>
          <w:p>
            <w:pPr>
              <w:spacing w:after="0"/>
              <w:rPr>
                <w:sz w:val="17"/>
                <w:szCs w:val="17"/>
                <w:color w:val="auto"/>
              </w:rPr>
            </w:pPr>
          </w:p>
        </w:tc>
        <w:tc>
          <w:tcPr>
            <w:tcW w:w="5840" w:type="dxa"/>
            <w:vAlign w:val="bottom"/>
            <w:shd w:val="clear" w:color="auto" w:fill="E8E8E8"/>
          </w:tcPr>
          <w:p>
            <w:pPr>
              <w:ind w:left="200"/>
              <w:spacing w:after="0" w:line="202" w:lineRule="exact"/>
              <w:rPr>
                <w:sz w:val="20"/>
                <w:szCs w:val="20"/>
                <w:color w:val="auto"/>
              </w:rPr>
            </w:pPr>
            <w:r>
              <w:rPr>
                <w:rFonts w:ascii="Arial" w:cs="Arial" w:eastAsia="Arial" w:hAnsi="Arial"/>
                <w:sz w:val="18"/>
                <w:szCs w:val="18"/>
                <w:color w:val="auto"/>
              </w:rPr>
              <w:t>conduct, as well as compliance with legal and regulatory</w:t>
            </w:r>
          </w:p>
        </w:tc>
        <w:tc>
          <w:tcPr>
            <w:tcW w:w="0" w:type="dxa"/>
            <w:vAlign w:val="bottom"/>
          </w:tcPr>
          <w:p>
            <w:pPr>
              <w:spacing w:after="0"/>
              <w:rPr>
                <w:sz w:val="1"/>
                <w:szCs w:val="1"/>
                <w:color w:val="auto"/>
              </w:rPr>
            </w:pPr>
          </w:p>
        </w:tc>
      </w:tr>
      <w:tr>
        <w:trPr>
          <w:trHeight w:val="203"/>
        </w:trPr>
        <w:tc>
          <w:tcPr>
            <w:tcW w:w="472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pursuant to the Sarbanes-Oxley Act of 2002 and in</w:t>
            </w:r>
          </w:p>
        </w:tc>
        <w:tc>
          <w:tcPr>
            <w:tcW w:w="120" w:type="dxa"/>
            <w:vAlign w:val="bottom"/>
            <w:shd w:val="clear" w:color="auto" w:fill="E8E8E8"/>
          </w:tcPr>
          <w:p>
            <w:pPr>
              <w:spacing w:after="0"/>
              <w:rPr>
                <w:sz w:val="17"/>
                <w:szCs w:val="17"/>
                <w:color w:val="auto"/>
              </w:rPr>
            </w:pPr>
          </w:p>
        </w:tc>
        <w:tc>
          <w:tcPr>
            <w:tcW w:w="5840" w:type="dxa"/>
            <w:vAlign w:val="bottom"/>
            <w:shd w:val="clear" w:color="auto" w:fill="E8E8E8"/>
          </w:tcPr>
          <w:p>
            <w:pPr>
              <w:ind w:left="200"/>
              <w:spacing w:after="0" w:line="202" w:lineRule="exact"/>
              <w:rPr>
                <w:sz w:val="20"/>
                <w:szCs w:val="20"/>
                <w:color w:val="auto"/>
              </w:rPr>
            </w:pPr>
            <w:r>
              <w:rPr>
                <w:rFonts w:ascii="Arial" w:cs="Arial" w:eastAsia="Arial" w:hAnsi="Arial"/>
                <w:sz w:val="18"/>
                <w:szCs w:val="18"/>
                <w:color w:val="auto"/>
              </w:rPr>
              <w:t>requirements related to financial affairs and reporting</w:t>
            </w:r>
          </w:p>
        </w:tc>
        <w:tc>
          <w:tcPr>
            <w:tcW w:w="0" w:type="dxa"/>
            <w:vAlign w:val="bottom"/>
          </w:tcPr>
          <w:p>
            <w:pPr>
              <w:spacing w:after="0"/>
              <w:rPr>
                <w:sz w:val="1"/>
                <w:szCs w:val="1"/>
                <w:color w:val="auto"/>
              </w:rPr>
            </w:pPr>
          </w:p>
        </w:tc>
      </w:tr>
      <w:tr>
        <w:trPr>
          <w:trHeight w:val="239"/>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the NYSE listing rules.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shd w:val="clear" w:color="auto" w:fill="E8E8E8"/>
          </w:tcPr>
          <w:p>
            <w:pPr>
              <w:spacing w:after="0"/>
              <w:rPr>
                <w:sz w:val="20"/>
                <w:szCs w:val="20"/>
                <w:color w:val="auto"/>
              </w:rPr>
            </w:pPr>
          </w:p>
        </w:tc>
        <w:tc>
          <w:tcPr>
            <w:tcW w:w="5840" w:type="dxa"/>
            <w:vAlign w:val="bottom"/>
            <w:vMerge w:val="restart"/>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 Appoints, retains, compensates, and replaces the independent</w:t>
            </w:r>
          </w:p>
        </w:tc>
        <w:tc>
          <w:tcPr>
            <w:tcW w:w="0" w:type="dxa"/>
            <w:vAlign w:val="bottom"/>
          </w:tcPr>
          <w:p>
            <w:pPr>
              <w:spacing w:after="0"/>
              <w:rPr>
                <w:sz w:val="1"/>
                <w:szCs w:val="1"/>
                <w:color w:val="auto"/>
              </w:rPr>
            </w:pPr>
          </w:p>
        </w:tc>
      </w:tr>
      <w:tr>
        <w:trPr>
          <w:trHeight w:val="107"/>
        </w:trPr>
        <w:tc>
          <w:tcPr>
            <w:tcW w:w="4720" w:type="dxa"/>
            <w:vAlign w:val="bottom"/>
            <w:gridSpan w:val="4"/>
            <w:vMerge w:val="restart"/>
          </w:tcPr>
          <w:p>
            <w:pPr>
              <w:ind w:left="120"/>
              <w:spacing w:after="0"/>
              <w:rPr>
                <w:sz w:val="20"/>
                <w:szCs w:val="20"/>
                <w:color w:val="auto"/>
              </w:rPr>
            </w:pPr>
            <w:r>
              <w:rPr>
                <w:rFonts w:ascii="Arial" w:cs="Arial" w:eastAsia="Arial" w:hAnsi="Arial"/>
                <w:sz w:val="18"/>
                <w:szCs w:val="18"/>
                <w:color w:val="auto"/>
              </w:rPr>
              <w:t>The Board determined that all members of the Audit</w:t>
            </w:r>
          </w:p>
        </w:tc>
        <w:tc>
          <w:tcPr>
            <w:tcW w:w="120" w:type="dxa"/>
            <w:vAlign w:val="bottom"/>
            <w:shd w:val="clear" w:color="auto" w:fill="E8E8E8"/>
          </w:tcPr>
          <w:p>
            <w:pPr>
              <w:spacing w:after="0"/>
              <w:rPr>
                <w:sz w:val="9"/>
                <w:szCs w:val="9"/>
                <w:color w:val="auto"/>
              </w:rPr>
            </w:pPr>
          </w:p>
        </w:tc>
        <w:tc>
          <w:tcPr>
            <w:tcW w:w="5840" w:type="dxa"/>
            <w:vAlign w:val="bottom"/>
            <w:vMerge w:val="continue"/>
            <w:shd w:val="clear" w:color="auto" w:fill="E8E8E8"/>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4720" w:type="dxa"/>
            <w:vAlign w:val="bottom"/>
            <w:gridSpan w:val="4"/>
            <w:vMerge w:val="continue"/>
          </w:tcPr>
          <w:p>
            <w:pPr>
              <w:spacing w:after="0"/>
              <w:rPr>
                <w:sz w:val="15"/>
                <w:szCs w:val="15"/>
                <w:color w:val="auto"/>
              </w:rPr>
            </w:pPr>
          </w:p>
        </w:tc>
        <w:tc>
          <w:tcPr>
            <w:tcW w:w="120" w:type="dxa"/>
            <w:vAlign w:val="bottom"/>
            <w:shd w:val="clear" w:color="auto" w:fill="E8E8E8"/>
          </w:tcPr>
          <w:p>
            <w:pPr>
              <w:spacing w:after="0"/>
              <w:rPr>
                <w:sz w:val="15"/>
                <w:szCs w:val="15"/>
                <w:color w:val="auto"/>
              </w:rPr>
            </w:pPr>
          </w:p>
        </w:tc>
        <w:tc>
          <w:tcPr>
            <w:tcW w:w="5840" w:type="dxa"/>
            <w:vAlign w:val="bottom"/>
            <w:shd w:val="clear" w:color="auto" w:fill="E8E8E8"/>
          </w:tcPr>
          <w:p>
            <w:pPr>
              <w:ind w:left="200"/>
              <w:spacing w:after="0" w:line="181" w:lineRule="exact"/>
              <w:rPr>
                <w:sz w:val="20"/>
                <w:szCs w:val="20"/>
                <w:color w:val="auto"/>
              </w:rPr>
            </w:pPr>
            <w:r>
              <w:rPr>
                <w:rFonts w:ascii="Arial" w:cs="Arial" w:eastAsia="Arial" w:hAnsi="Arial"/>
                <w:sz w:val="18"/>
                <w:szCs w:val="18"/>
                <w:color w:val="auto"/>
              </w:rPr>
              <w:t>auditor</w:t>
            </w:r>
          </w:p>
        </w:tc>
        <w:tc>
          <w:tcPr>
            <w:tcW w:w="0" w:type="dxa"/>
            <w:vAlign w:val="bottom"/>
          </w:tcPr>
          <w:p>
            <w:pPr>
              <w:spacing w:after="0"/>
              <w:rPr>
                <w:sz w:val="1"/>
                <w:szCs w:val="1"/>
                <w:color w:val="auto"/>
              </w:rPr>
            </w:pPr>
          </w:p>
        </w:tc>
      </w:tr>
      <w:tr>
        <w:trPr>
          <w:trHeight w:val="197"/>
        </w:trPr>
        <w:tc>
          <w:tcPr>
            <w:tcW w:w="4720" w:type="dxa"/>
            <w:vAlign w:val="bottom"/>
            <w:gridSpan w:val="4"/>
          </w:tcPr>
          <w:p>
            <w:pPr>
              <w:ind w:left="120"/>
              <w:spacing w:after="0" w:line="197" w:lineRule="exact"/>
              <w:rPr>
                <w:sz w:val="20"/>
                <w:szCs w:val="20"/>
                <w:color w:val="auto"/>
              </w:rPr>
            </w:pPr>
            <w:r>
              <w:rPr>
                <w:rFonts w:ascii="Arial" w:cs="Arial" w:eastAsia="Arial" w:hAnsi="Arial"/>
                <w:sz w:val="18"/>
                <w:szCs w:val="18"/>
                <w:color w:val="auto"/>
              </w:rPr>
              <w:t>Committee are financially literate under NYSE listing</w:t>
            </w:r>
          </w:p>
        </w:tc>
        <w:tc>
          <w:tcPr>
            <w:tcW w:w="120" w:type="dxa"/>
            <w:vAlign w:val="bottom"/>
            <w:shd w:val="clear" w:color="auto" w:fill="E8E8E8"/>
          </w:tcPr>
          <w:p>
            <w:pPr>
              <w:spacing w:after="0"/>
              <w:rPr>
                <w:sz w:val="17"/>
                <w:szCs w:val="17"/>
                <w:color w:val="auto"/>
              </w:rPr>
            </w:pPr>
          </w:p>
        </w:tc>
        <w:tc>
          <w:tcPr>
            <w:tcW w:w="5840" w:type="dxa"/>
            <w:vAlign w:val="bottom"/>
            <w:vMerge w:val="restart"/>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 Reviews the audited financial statements with management and the</w:t>
            </w:r>
          </w:p>
        </w:tc>
        <w:tc>
          <w:tcPr>
            <w:tcW w:w="0" w:type="dxa"/>
            <w:vAlign w:val="bottom"/>
          </w:tcPr>
          <w:p>
            <w:pPr>
              <w:spacing w:after="0"/>
              <w:rPr>
                <w:sz w:val="1"/>
                <w:szCs w:val="1"/>
                <w:color w:val="auto"/>
              </w:rPr>
            </w:pPr>
          </w:p>
        </w:tc>
      </w:tr>
      <w:tr>
        <w:trPr>
          <w:trHeight w:val="181"/>
        </w:trPr>
        <w:tc>
          <w:tcPr>
            <w:tcW w:w="4720" w:type="dxa"/>
            <w:vAlign w:val="bottom"/>
            <w:gridSpan w:val="4"/>
          </w:tcPr>
          <w:p>
            <w:pPr>
              <w:ind w:left="120"/>
              <w:spacing w:after="0" w:line="181" w:lineRule="exact"/>
              <w:rPr>
                <w:sz w:val="20"/>
                <w:szCs w:val="20"/>
                <w:color w:val="auto"/>
              </w:rPr>
            </w:pPr>
            <w:r>
              <w:rPr>
                <w:rFonts w:ascii="Arial" w:cs="Arial" w:eastAsia="Arial" w:hAnsi="Arial"/>
                <w:sz w:val="18"/>
                <w:szCs w:val="18"/>
                <w:color w:val="auto"/>
              </w:rPr>
              <w:t>rules, and that each of Messrs. McMorris, Rey and</w:t>
            </w:r>
          </w:p>
        </w:tc>
        <w:tc>
          <w:tcPr>
            <w:tcW w:w="120" w:type="dxa"/>
            <w:vAlign w:val="bottom"/>
            <w:shd w:val="clear" w:color="auto" w:fill="E8E8E8"/>
          </w:tcPr>
          <w:p>
            <w:pPr>
              <w:spacing w:after="0"/>
              <w:rPr>
                <w:sz w:val="15"/>
                <w:szCs w:val="15"/>
                <w:color w:val="auto"/>
              </w:rPr>
            </w:pPr>
          </w:p>
        </w:tc>
        <w:tc>
          <w:tcPr>
            <w:tcW w:w="5840" w:type="dxa"/>
            <w:vAlign w:val="bottom"/>
            <w:vMerge w:val="continue"/>
            <w:shd w:val="clear" w:color="auto" w:fill="E8E8E8"/>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Stansbury is an “audit committee financial expert”</w:t>
            </w:r>
          </w:p>
        </w:tc>
        <w:tc>
          <w:tcPr>
            <w:tcW w:w="120" w:type="dxa"/>
            <w:vAlign w:val="bottom"/>
            <w:shd w:val="clear" w:color="auto" w:fill="E8E8E8"/>
          </w:tcPr>
          <w:p>
            <w:pPr>
              <w:spacing w:after="0"/>
              <w:rPr>
                <w:sz w:val="17"/>
                <w:szCs w:val="17"/>
                <w:color w:val="auto"/>
              </w:rPr>
            </w:pPr>
          </w:p>
        </w:tc>
        <w:tc>
          <w:tcPr>
            <w:tcW w:w="5840" w:type="dxa"/>
            <w:vAlign w:val="bottom"/>
            <w:shd w:val="clear" w:color="auto" w:fill="E8E8E8"/>
          </w:tcPr>
          <w:p>
            <w:pPr>
              <w:ind w:left="200"/>
              <w:spacing w:after="0" w:line="202" w:lineRule="exact"/>
              <w:rPr>
                <w:sz w:val="20"/>
                <w:szCs w:val="20"/>
                <w:color w:val="auto"/>
              </w:rPr>
            </w:pPr>
            <w:r>
              <w:rPr>
                <w:rFonts w:ascii="Arial" w:cs="Arial" w:eastAsia="Arial" w:hAnsi="Arial"/>
                <w:sz w:val="18"/>
                <w:szCs w:val="18"/>
                <w:color w:val="auto"/>
              </w:rPr>
              <w:t>independent auditor, and on an annual basis provides an Audit</w:t>
            </w:r>
          </w:p>
        </w:tc>
        <w:tc>
          <w:tcPr>
            <w:tcW w:w="0" w:type="dxa"/>
            <w:vAlign w:val="bottom"/>
          </w:tcPr>
          <w:p>
            <w:pPr>
              <w:spacing w:after="0"/>
              <w:rPr>
                <w:sz w:val="1"/>
                <w:szCs w:val="1"/>
                <w:color w:val="auto"/>
              </w:rPr>
            </w:pPr>
          </w:p>
        </w:tc>
      </w:tr>
      <w:tr>
        <w:trPr>
          <w:trHeight w:val="203"/>
        </w:trPr>
        <w:tc>
          <w:tcPr>
            <w:tcW w:w="39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under the SEC regulations.</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shd w:val="clear" w:color="auto" w:fill="E8E8E8"/>
          </w:tcPr>
          <w:p>
            <w:pPr>
              <w:spacing w:after="0"/>
              <w:rPr>
                <w:sz w:val="17"/>
                <w:szCs w:val="17"/>
                <w:color w:val="auto"/>
              </w:rPr>
            </w:pPr>
          </w:p>
        </w:tc>
        <w:tc>
          <w:tcPr>
            <w:tcW w:w="5840" w:type="dxa"/>
            <w:vAlign w:val="bottom"/>
            <w:shd w:val="clear" w:color="auto" w:fill="E8E8E8"/>
          </w:tcPr>
          <w:p>
            <w:pPr>
              <w:ind w:left="200"/>
              <w:spacing w:after="0" w:line="202" w:lineRule="exact"/>
              <w:rPr>
                <w:sz w:val="20"/>
                <w:szCs w:val="20"/>
                <w:color w:val="auto"/>
              </w:rPr>
            </w:pPr>
            <w:r>
              <w:rPr>
                <w:rFonts w:ascii="Arial" w:cs="Arial" w:eastAsia="Arial" w:hAnsi="Arial"/>
                <w:sz w:val="18"/>
                <w:szCs w:val="18"/>
                <w:color w:val="auto"/>
              </w:rPr>
              <w:t>Committee Report wherein it states that it recommends to the Board</w:t>
            </w:r>
          </w:p>
        </w:tc>
        <w:tc>
          <w:tcPr>
            <w:tcW w:w="0" w:type="dxa"/>
            <w:vAlign w:val="bottom"/>
          </w:tcPr>
          <w:p>
            <w:pPr>
              <w:spacing w:after="0"/>
              <w:rPr>
                <w:sz w:val="1"/>
                <w:szCs w:val="1"/>
                <w:color w:val="auto"/>
              </w:rPr>
            </w:pPr>
          </w:p>
        </w:tc>
      </w:tr>
      <w:tr>
        <w:trPr>
          <w:trHeight w:val="170"/>
        </w:trPr>
        <w:tc>
          <w:tcPr>
            <w:tcW w:w="14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shd w:val="clear" w:color="auto" w:fill="E8E8E8"/>
          </w:tcPr>
          <w:p>
            <w:pPr>
              <w:spacing w:after="0"/>
              <w:rPr>
                <w:sz w:val="14"/>
                <w:szCs w:val="14"/>
                <w:color w:val="auto"/>
              </w:rPr>
            </w:pPr>
          </w:p>
        </w:tc>
        <w:tc>
          <w:tcPr>
            <w:tcW w:w="5840" w:type="dxa"/>
            <w:vAlign w:val="bottom"/>
            <w:shd w:val="clear" w:color="auto" w:fill="E8E8E8"/>
          </w:tcPr>
          <w:p>
            <w:pPr>
              <w:ind w:left="200"/>
              <w:spacing w:after="0" w:line="170" w:lineRule="exact"/>
              <w:rPr>
                <w:sz w:val="20"/>
                <w:szCs w:val="20"/>
                <w:color w:val="auto"/>
              </w:rPr>
            </w:pPr>
            <w:r>
              <w:rPr>
                <w:rFonts w:ascii="Arial" w:cs="Arial" w:eastAsia="Arial" w:hAnsi="Arial"/>
                <w:sz w:val="18"/>
                <w:szCs w:val="18"/>
                <w:color w:val="auto"/>
              </w:rPr>
              <w:t>that the audited financial statements be included in our Annual</w:t>
            </w:r>
          </w:p>
        </w:tc>
        <w:tc>
          <w:tcPr>
            <w:tcW w:w="0" w:type="dxa"/>
            <w:vAlign w:val="bottom"/>
          </w:tcPr>
          <w:p>
            <w:pPr>
              <w:spacing w:after="0"/>
              <w:rPr>
                <w:sz w:val="1"/>
                <w:szCs w:val="1"/>
                <w:color w:val="auto"/>
              </w:rPr>
            </w:pPr>
          </w:p>
        </w:tc>
      </w:tr>
      <w:tr>
        <w:trPr>
          <w:trHeight w:val="239"/>
        </w:trPr>
        <w:tc>
          <w:tcPr>
            <w:tcW w:w="1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shd w:val="clear" w:color="auto" w:fill="E8E8E8"/>
          </w:tcPr>
          <w:p>
            <w:pPr>
              <w:spacing w:after="0"/>
              <w:rPr>
                <w:sz w:val="20"/>
                <w:szCs w:val="20"/>
                <w:color w:val="auto"/>
              </w:rPr>
            </w:pPr>
          </w:p>
        </w:tc>
        <w:tc>
          <w:tcPr>
            <w:tcW w:w="5840" w:type="dxa"/>
            <w:vAlign w:val="bottom"/>
            <w:shd w:val="clear" w:color="auto" w:fill="E8E8E8"/>
          </w:tcPr>
          <w:p>
            <w:pPr>
              <w:ind w:left="200"/>
              <w:spacing w:after="0"/>
              <w:rPr>
                <w:sz w:val="20"/>
                <w:szCs w:val="20"/>
                <w:color w:val="auto"/>
              </w:rPr>
            </w:pPr>
            <w:r>
              <w:rPr>
                <w:rFonts w:ascii="Arial" w:cs="Arial" w:eastAsia="Arial" w:hAnsi="Arial"/>
                <w:sz w:val="18"/>
                <w:szCs w:val="18"/>
                <w:color w:val="auto"/>
              </w:rPr>
              <w:t>Report on Form 10-K</w:t>
            </w:r>
          </w:p>
        </w:tc>
        <w:tc>
          <w:tcPr>
            <w:tcW w:w="0" w:type="dxa"/>
            <w:vAlign w:val="bottom"/>
          </w:tcPr>
          <w:p>
            <w:pPr>
              <w:spacing w:after="0"/>
              <w:rPr>
                <w:sz w:val="1"/>
                <w:szCs w:val="1"/>
                <w:color w:val="auto"/>
              </w:rPr>
            </w:pPr>
          </w:p>
        </w:tc>
      </w:tr>
      <w:tr>
        <w:trPr>
          <w:trHeight w:val="288"/>
        </w:trPr>
        <w:tc>
          <w:tcPr>
            <w:tcW w:w="14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shd w:val="clear" w:color="auto" w:fill="E8E8E8"/>
          </w:tcPr>
          <w:p>
            <w:pPr>
              <w:spacing w:after="0"/>
              <w:rPr>
                <w:sz w:val="24"/>
                <w:szCs w:val="24"/>
                <w:color w:val="auto"/>
              </w:rPr>
            </w:pPr>
          </w:p>
        </w:tc>
        <w:tc>
          <w:tcPr>
            <w:tcW w:w="5840" w:type="dxa"/>
            <w:vAlign w:val="bottom"/>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 Oversees, reviews and discusses with management the Company’s</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shd w:val="clear" w:color="auto" w:fill="E8E8E8"/>
          </w:tcPr>
          <w:p>
            <w:pPr>
              <w:spacing w:after="0"/>
              <w:rPr>
                <w:sz w:val="17"/>
                <w:szCs w:val="17"/>
                <w:color w:val="auto"/>
              </w:rPr>
            </w:pPr>
          </w:p>
        </w:tc>
        <w:tc>
          <w:tcPr>
            <w:tcW w:w="5840" w:type="dxa"/>
            <w:vAlign w:val="bottom"/>
            <w:shd w:val="clear" w:color="auto" w:fill="E8E8E8"/>
          </w:tcPr>
          <w:p>
            <w:pPr>
              <w:ind w:left="200"/>
              <w:spacing w:after="0" w:line="202" w:lineRule="exact"/>
              <w:rPr>
                <w:sz w:val="20"/>
                <w:szCs w:val="20"/>
                <w:color w:val="auto"/>
              </w:rPr>
            </w:pPr>
            <w:r>
              <w:rPr>
                <w:rFonts w:ascii="Arial" w:cs="Arial" w:eastAsia="Arial" w:hAnsi="Arial"/>
                <w:sz w:val="18"/>
                <w:szCs w:val="18"/>
                <w:color w:val="auto"/>
              </w:rPr>
              <w:t>risks from cybersecurity threats and management’s role in assessing</w:t>
            </w:r>
          </w:p>
        </w:tc>
        <w:tc>
          <w:tcPr>
            <w:tcW w:w="0" w:type="dxa"/>
            <w:vAlign w:val="bottom"/>
          </w:tcPr>
          <w:p>
            <w:pPr>
              <w:spacing w:after="0"/>
              <w:rPr>
                <w:sz w:val="1"/>
                <w:szCs w:val="1"/>
                <w:color w:val="auto"/>
              </w:rPr>
            </w:pPr>
          </w:p>
        </w:tc>
      </w:tr>
      <w:tr>
        <w:trPr>
          <w:trHeight w:val="239"/>
        </w:trPr>
        <w:tc>
          <w:tcPr>
            <w:tcW w:w="1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shd w:val="clear" w:color="auto" w:fill="E8E8E8"/>
          </w:tcPr>
          <w:p>
            <w:pPr>
              <w:spacing w:after="0"/>
              <w:rPr>
                <w:sz w:val="20"/>
                <w:szCs w:val="20"/>
                <w:color w:val="auto"/>
              </w:rPr>
            </w:pPr>
          </w:p>
        </w:tc>
        <w:tc>
          <w:tcPr>
            <w:tcW w:w="5840" w:type="dxa"/>
            <w:vAlign w:val="bottom"/>
            <w:shd w:val="clear" w:color="auto" w:fill="E8E8E8"/>
          </w:tcPr>
          <w:p>
            <w:pPr>
              <w:ind w:left="200"/>
              <w:spacing w:after="0"/>
              <w:rPr>
                <w:sz w:val="20"/>
                <w:szCs w:val="20"/>
                <w:color w:val="auto"/>
              </w:rPr>
            </w:pPr>
            <w:r>
              <w:rPr>
                <w:rFonts w:ascii="Arial" w:cs="Arial" w:eastAsia="Arial" w:hAnsi="Arial"/>
                <w:sz w:val="18"/>
                <w:szCs w:val="18"/>
                <w:color w:val="auto"/>
              </w:rPr>
              <w:t>and managing such risks</w:t>
            </w:r>
          </w:p>
        </w:tc>
        <w:tc>
          <w:tcPr>
            <w:tcW w:w="0" w:type="dxa"/>
            <w:vAlign w:val="bottom"/>
          </w:tcPr>
          <w:p>
            <w:pPr>
              <w:spacing w:after="0"/>
              <w:rPr>
                <w:sz w:val="1"/>
                <w:szCs w:val="1"/>
                <w:color w:val="auto"/>
              </w:rPr>
            </w:pPr>
          </w:p>
        </w:tc>
      </w:tr>
      <w:tr>
        <w:trPr>
          <w:trHeight w:val="158"/>
        </w:trPr>
        <w:tc>
          <w:tcPr>
            <w:tcW w:w="14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shd w:val="clear" w:color="auto" w:fill="E8E8E8"/>
          </w:tcPr>
          <w:p>
            <w:pPr>
              <w:spacing w:after="0"/>
              <w:rPr>
                <w:sz w:val="13"/>
                <w:szCs w:val="13"/>
                <w:color w:val="auto"/>
              </w:rPr>
            </w:pPr>
          </w:p>
        </w:tc>
        <w:tc>
          <w:tcPr>
            <w:tcW w:w="5840" w:type="dxa"/>
            <w:vAlign w:val="bottom"/>
            <w:shd w:val="clear" w:color="auto" w:fill="E8E8E8"/>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-3016885</wp:posOffset>
            </wp:positionV>
            <wp:extent cx="3214370" cy="30175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14370" cy="3017520"/>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-3016885</wp:posOffset>
            </wp:positionV>
            <wp:extent cx="3214370" cy="30175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14370" cy="3017520"/>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340" w:space="120"/>
            <w:col w:w="10680"/>
          </w:cols>
          <w:pgMar w:left="320" w:top="482" w:right="439" w:bottom="1440" w:gutter="0" w:footer="0" w:header="0"/>
          <w:type w:val="continuous"/>
        </w:sect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20</w:t>
      </w:r>
    </w:p>
    <w:p>
      <w:pPr>
        <w:sectPr>
          <w:pgSz w:w="11900" w:h="16838" w:orient="portrait"/>
          <w:cols w:equalWidth="0" w:num="1">
            <w:col w:w="11140"/>
          </w:cols>
          <w:pgMar w:left="320" w:top="482" w:right="4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20" w:type="dxa"/>
            <w:vAlign w:val="bottom"/>
            <w:shd w:val="clear" w:color="auto" w:fill="F2F2F2"/>
          </w:tcPr>
          <w:p>
            <w:pPr>
              <w:spacing w:after="0"/>
              <w:rPr>
                <w:sz w:val="24"/>
                <w:szCs w:val="24"/>
                <w:color w:val="auto"/>
              </w:rPr>
            </w:pPr>
          </w:p>
        </w:tc>
        <w:tc>
          <w:tcPr>
            <w:tcW w:w="210" w:type="dxa"/>
            <w:vAlign w:val="bottom"/>
            <w:shd w:val="clear" w:color="auto" w:fill="F2F2F2"/>
          </w:tcPr>
          <w:p>
            <w:pPr>
              <w:spacing w:after="0"/>
              <w:rPr>
                <w:sz w:val="24"/>
                <w:szCs w:val="24"/>
                <w:color w:val="auto"/>
              </w:rPr>
            </w:pPr>
          </w:p>
        </w:tc>
        <w:tc>
          <w:tcPr>
            <w:tcW w:w="17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780" w:type="dxa"/>
            <w:vAlign w:val="bottom"/>
            <w:shd w:val="clear" w:color="auto" w:fill="F2F2F2"/>
          </w:tcPr>
          <w:p>
            <w:pPr>
              <w:spacing w:after="0"/>
              <w:rPr>
                <w:sz w:val="20"/>
                <w:szCs w:val="20"/>
                <w:color w:val="auto"/>
              </w:rPr>
            </w:pPr>
            <w:r>
              <w:rPr>
                <w:rFonts w:ascii="Arial" w:cs="Arial" w:eastAsia="Arial" w:hAnsi="Arial"/>
                <w:sz w:val="18"/>
                <w:szCs w:val="18"/>
                <w:color w:val="auto"/>
              </w:rPr>
              <w:t>Proxy</w:t>
            </w:r>
          </w:p>
        </w:tc>
        <w:tc>
          <w:tcPr>
            <w:tcW w:w="1180" w:type="dxa"/>
            <w:vAlign w:val="bottom"/>
            <w:gridSpan w:val="2"/>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26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Corporate</w:t>
            </w:r>
          </w:p>
        </w:tc>
        <w:tc>
          <w:tcPr>
            <w:tcW w:w="1340" w:type="dxa"/>
            <w:vAlign w:val="bottom"/>
            <w:gridSpan w:val="3"/>
            <w:shd w:val="clear" w:color="auto" w:fill="F2F2F2"/>
          </w:tcPr>
          <w:p>
            <w:pPr>
              <w:ind w:left="140"/>
              <w:spacing w:after="0"/>
              <w:rPr>
                <w:sz w:val="20"/>
                <w:szCs w:val="20"/>
                <w:color w:val="auto"/>
              </w:rPr>
            </w:pPr>
            <w:r>
              <w:rPr>
                <w:rFonts w:ascii="Arial" w:cs="Arial" w:eastAsia="Arial" w:hAnsi="Arial"/>
                <w:sz w:val="18"/>
                <w:szCs w:val="18"/>
                <w:color w:val="auto"/>
              </w:rPr>
              <w:t>Executive</w:t>
            </w:r>
          </w:p>
        </w:tc>
        <w:tc>
          <w:tcPr>
            <w:tcW w:w="1800" w:type="dxa"/>
            <w:vAlign w:val="bottom"/>
            <w:shd w:val="clear" w:color="auto" w:fill="F2F2F2"/>
          </w:tcPr>
          <w:p>
            <w:pPr>
              <w:ind w:left="320"/>
              <w:spacing w:after="0"/>
              <w:rPr>
                <w:sz w:val="20"/>
                <w:szCs w:val="20"/>
                <w:color w:val="auto"/>
              </w:rPr>
            </w:pPr>
            <w:r>
              <w:rPr>
                <w:rFonts w:ascii="Arial" w:cs="Arial" w:eastAsia="Arial" w:hAnsi="Arial"/>
                <w:sz w:val="18"/>
                <w:szCs w:val="18"/>
                <w:color w:val="auto"/>
              </w:rPr>
              <w:t>Audit Committee</w:t>
            </w:r>
          </w:p>
        </w:tc>
        <w:tc>
          <w:tcPr>
            <w:tcW w:w="140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40"/>
              <w:spacing w:after="0"/>
              <w:rPr>
                <w:sz w:val="20"/>
                <w:szCs w:val="20"/>
                <w:color w:val="auto"/>
              </w:rPr>
            </w:pPr>
            <w:r>
              <w:rPr>
                <w:rFonts w:ascii="Arial" w:cs="Arial" w:eastAsia="Arial" w:hAnsi="Arial"/>
                <w:sz w:val="18"/>
                <w:szCs w:val="18"/>
                <w:color w:val="auto"/>
              </w:rPr>
              <w:t>Stock</w:t>
            </w:r>
          </w:p>
        </w:tc>
        <w:tc>
          <w:tcPr>
            <w:tcW w:w="1440" w:type="dxa"/>
            <w:vAlign w:val="bottom"/>
            <w:shd w:val="clear" w:color="auto" w:fill="F2F2F2"/>
          </w:tcPr>
          <w:p>
            <w:pPr>
              <w:ind w:left="10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10" w:type="dxa"/>
            <w:vAlign w:val="bottom"/>
            <w:shd w:val="clear" w:color="auto" w:fill="F2F2F2"/>
          </w:tcPr>
          <w:p>
            <w:pPr>
              <w:spacing w:after="0"/>
              <w:rPr>
                <w:sz w:val="17"/>
                <w:szCs w:val="17"/>
                <w:color w:val="auto"/>
              </w:rPr>
            </w:pPr>
          </w:p>
        </w:tc>
        <w:tc>
          <w:tcPr>
            <w:tcW w:w="17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780" w:type="dxa"/>
            <w:vAlign w:val="bottom"/>
            <w:shd w:val="clear" w:color="auto" w:fill="F2F2F2"/>
          </w:tcPr>
          <w:p>
            <w:pPr>
              <w:spacing w:after="0" w:line="202" w:lineRule="exact"/>
              <w:rPr>
                <w:sz w:val="20"/>
                <w:szCs w:val="20"/>
                <w:color w:val="auto"/>
              </w:rPr>
            </w:pPr>
            <w:r>
              <w:rPr>
                <w:rFonts w:ascii="Arial" w:cs="Arial" w:eastAsia="Arial" w:hAnsi="Arial"/>
                <w:sz w:val="18"/>
                <w:szCs w:val="18"/>
                <w:color w:val="auto"/>
                <w:w w:val="98"/>
              </w:rPr>
              <w:t>Summary</w:t>
            </w:r>
          </w:p>
        </w:tc>
        <w:tc>
          <w:tcPr>
            <w:tcW w:w="1180" w:type="dxa"/>
            <w:vAlign w:val="bottom"/>
            <w:gridSpan w:val="2"/>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26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Governance</w:t>
            </w:r>
          </w:p>
        </w:tc>
        <w:tc>
          <w:tcPr>
            <w:tcW w:w="1340" w:type="dxa"/>
            <w:vAlign w:val="bottom"/>
            <w:gridSpan w:val="3"/>
            <w:shd w:val="clear" w:color="auto" w:fill="F2F2F2"/>
          </w:tcPr>
          <w:p>
            <w:pPr>
              <w:ind w:left="140"/>
              <w:spacing w:after="0" w:line="202" w:lineRule="exact"/>
              <w:rPr>
                <w:sz w:val="20"/>
                <w:szCs w:val="20"/>
                <w:color w:val="auto"/>
              </w:rPr>
            </w:pPr>
            <w:r>
              <w:rPr>
                <w:rFonts w:ascii="Arial" w:cs="Arial" w:eastAsia="Arial" w:hAnsi="Arial"/>
                <w:sz w:val="18"/>
                <w:szCs w:val="18"/>
                <w:color w:val="auto"/>
              </w:rPr>
              <w:t>Compensation</w:t>
            </w:r>
          </w:p>
        </w:tc>
        <w:tc>
          <w:tcPr>
            <w:tcW w:w="1800" w:type="dxa"/>
            <w:vAlign w:val="bottom"/>
            <w:shd w:val="clear" w:color="auto" w:fill="F2F2F2"/>
          </w:tcPr>
          <w:p>
            <w:pPr>
              <w:ind w:left="320"/>
              <w:spacing w:after="0" w:line="202" w:lineRule="exact"/>
              <w:rPr>
                <w:sz w:val="20"/>
                <w:szCs w:val="20"/>
                <w:color w:val="auto"/>
              </w:rPr>
            </w:pPr>
            <w:r>
              <w:rPr>
                <w:rFonts w:ascii="Arial" w:cs="Arial" w:eastAsia="Arial" w:hAnsi="Arial"/>
                <w:sz w:val="18"/>
                <w:szCs w:val="18"/>
                <w:color w:val="auto"/>
              </w:rPr>
              <w:t>Matters</w:t>
            </w:r>
          </w:p>
        </w:tc>
        <w:tc>
          <w:tcPr>
            <w:tcW w:w="140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Ownership</w:t>
            </w:r>
          </w:p>
        </w:tc>
        <w:tc>
          <w:tcPr>
            <w:tcW w:w="1440" w:type="dxa"/>
            <w:vAlign w:val="bottom"/>
            <w:shd w:val="clear" w:color="auto" w:fill="F2F2F2"/>
          </w:tcPr>
          <w:p>
            <w:pPr>
              <w:ind w:left="100"/>
              <w:spacing w:after="0" w:line="202" w:lineRule="exact"/>
              <w:rPr>
                <w:sz w:val="20"/>
                <w:szCs w:val="20"/>
                <w:color w:val="auto"/>
              </w:rPr>
            </w:pPr>
            <w:r>
              <w:rPr>
                <w:rFonts w:ascii="Arial" w:cs="Arial" w:eastAsia="Arial" w:hAnsi="Arial"/>
                <w:sz w:val="18"/>
                <w:szCs w:val="18"/>
                <w:color w:val="auto"/>
              </w:rPr>
              <w:t>Matters</w:t>
            </w:r>
          </w:p>
        </w:tc>
        <w:tc>
          <w:tcPr>
            <w:tcW w:w="0" w:type="dxa"/>
            <w:vAlign w:val="bottom"/>
          </w:tcPr>
          <w:p>
            <w:pPr>
              <w:spacing w:after="0"/>
              <w:rPr>
                <w:sz w:val="1"/>
                <w:szCs w:val="1"/>
                <w:color w:val="auto"/>
              </w:rPr>
            </w:pPr>
          </w:p>
        </w:tc>
      </w:tr>
      <w:tr>
        <w:trPr>
          <w:trHeight w:val="228"/>
        </w:trPr>
        <w:tc>
          <w:tcPr>
            <w:tcW w:w="120" w:type="dxa"/>
            <w:vAlign w:val="bottom"/>
            <w:shd w:val="clear" w:color="auto" w:fill="F2F2F2"/>
          </w:tcPr>
          <w:p>
            <w:pPr>
              <w:spacing w:after="0"/>
              <w:rPr>
                <w:sz w:val="19"/>
                <w:szCs w:val="19"/>
                <w:color w:val="auto"/>
              </w:rPr>
            </w:pPr>
          </w:p>
        </w:tc>
        <w:tc>
          <w:tcPr>
            <w:tcW w:w="210" w:type="dxa"/>
            <w:vAlign w:val="bottom"/>
            <w:shd w:val="clear" w:color="auto" w:fill="F2F2F2"/>
          </w:tcPr>
          <w:p>
            <w:pPr>
              <w:spacing w:after="0"/>
              <w:rPr>
                <w:sz w:val="19"/>
                <w:szCs w:val="19"/>
                <w:color w:val="auto"/>
              </w:rPr>
            </w:pPr>
          </w:p>
        </w:tc>
        <w:tc>
          <w:tcPr>
            <w:tcW w:w="17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780" w:type="dxa"/>
            <w:vAlign w:val="bottom"/>
            <w:shd w:val="clear" w:color="auto" w:fill="F2F2F2"/>
          </w:tcPr>
          <w:p>
            <w:pPr>
              <w:spacing w:after="0"/>
              <w:rPr>
                <w:sz w:val="19"/>
                <w:szCs w:val="19"/>
                <w:color w:val="auto"/>
              </w:rPr>
            </w:pPr>
          </w:p>
        </w:tc>
        <w:tc>
          <w:tcPr>
            <w:tcW w:w="420" w:type="dxa"/>
            <w:vAlign w:val="bottom"/>
            <w:shd w:val="clear" w:color="auto" w:fill="F2F2F2"/>
          </w:tcPr>
          <w:p>
            <w:pPr>
              <w:spacing w:after="0"/>
              <w:rPr>
                <w:sz w:val="19"/>
                <w:szCs w:val="19"/>
                <w:color w:val="auto"/>
              </w:rPr>
            </w:pPr>
          </w:p>
        </w:tc>
        <w:tc>
          <w:tcPr>
            <w:tcW w:w="760" w:type="dxa"/>
            <w:vAlign w:val="bottom"/>
            <w:shd w:val="clear" w:color="auto" w:fill="F2F2F2"/>
          </w:tcPr>
          <w:p>
            <w:pPr>
              <w:spacing w:after="0"/>
              <w:rPr>
                <w:sz w:val="19"/>
                <w:szCs w:val="19"/>
                <w:color w:val="auto"/>
              </w:rPr>
            </w:pPr>
          </w:p>
        </w:tc>
        <w:tc>
          <w:tcPr>
            <w:tcW w:w="126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460" w:type="dxa"/>
            <w:vAlign w:val="bottom"/>
            <w:shd w:val="clear" w:color="auto" w:fill="F2F2F2"/>
          </w:tcPr>
          <w:p>
            <w:pPr>
              <w:spacing w:after="0"/>
              <w:rPr>
                <w:sz w:val="19"/>
                <w:szCs w:val="19"/>
                <w:color w:val="auto"/>
              </w:rPr>
            </w:pPr>
          </w:p>
        </w:tc>
        <w:tc>
          <w:tcPr>
            <w:tcW w:w="7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800" w:type="dxa"/>
            <w:vAlign w:val="bottom"/>
            <w:shd w:val="clear" w:color="auto" w:fill="F2F2F2"/>
          </w:tcPr>
          <w:p>
            <w:pPr>
              <w:spacing w:after="0"/>
              <w:rPr>
                <w:sz w:val="19"/>
                <w:szCs w:val="19"/>
                <w:color w:val="auto"/>
              </w:rPr>
            </w:pPr>
          </w:p>
        </w:tc>
        <w:tc>
          <w:tcPr>
            <w:tcW w:w="1400" w:type="dxa"/>
            <w:vAlign w:val="bottom"/>
            <w:shd w:val="clear" w:color="auto" w:fill="F2F2F2"/>
          </w:tcPr>
          <w:p>
            <w:pPr>
              <w:spacing w:after="0"/>
              <w:rPr>
                <w:sz w:val="19"/>
                <w:szCs w:val="19"/>
                <w:color w:val="auto"/>
              </w:rPr>
            </w:pPr>
          </w:p>
        </w:tc>
        <w:tc>
          <w:tcPr>
            <w:tcW w:w="1200" w:type="dxa"/>
            <w:vAlign w:val="bottom"/>
            <w:shd w:val="clear" w:color="auto" w:fill="F2F2F2"/>
          </w:tcPr>
          <w:p>
            <w:pPr>
              <w:spacing w:after="0"/>
              <w:rPr>
                <w:sz w:val="19"/>
                <w:szCs w:val="19"/>
                <w:color w:val="auto"/>
              </w:rPr>
            </w:pPr>
          </w:p>
        </w:tc>
        <w:tc>
          <w:tcPr>
            <w:tcW w:w="144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20" w:type="dxa"/>
            <w:vAlign w:val="bottom"/>
            <w:tcBorders>
              <w:top w:val="single" w:sz="8" w:color="F2F2F2"/>
            </w:tcBorders>
          </w:tcPr>
          <w:p>
            <w:pPr>
              <w:spacing w:after="0"/>
              <w:rPr>
                <w:sz w:val="12"/>
                <w:szCs w:val="12"/>
                <w:color w:val="auto"/>
              </w:rPr>
            </w:pPr>
          </w:p>
        </w:tc>
        <w:tc>
          <w:tcPr>
            <w:tcW w:w="210" w:type="dxa"/>
            <w:vAlign w:val="bottom"/>
            <w:tcBorders>
              <w:top w:val="single" w:sz="8" w:color="F2F2F2"/>
            </w:tcBorders>
          </w:tcPr>
          <w:p>
            <w:pPr>
              <w:spacing w:after="0"/>
              <w:rPr>
                <w:sz w:val="12"/>
                <w:szCs w:val="12"/>
                <w:color w:val="auto"/>
              </w:rPr>
            </w:pPr>
          </w:p>
        </w:tc>
        <w:tc>
          <w:tcPr>
            <w:tcW w:w="170" w:type="dxa"/>
            <w:vAlign w:val="bottom"/>
            <w:tcBorders>
              <w:top w:val="single" w:sz="8" w:color="F2F2F2"/>
            </w:tcBorders>
          </w:tcPr>
          <w:p>
            <w:pPr>
              <w:spacing w:after="0"/>
              <w:rPr>
                <w:sz w:val="12"/>
                <w:szCs w:val="12"/>
                <w:color w:val="auto"/>
              </w:rPr>
            </w:pPr>
          </w:p>
        </w:tc>
        <w:tc>
          <w:tcPr>
            <w:tcW w:w="120" w:type="dxa"/>
            <w:vAlign w:val="bottom"/>
            <w:tcBorders>
              <w:top w:val="single" w:sz="8" w:color="F2F2F2"/>
            </w:tcBorders>
          </w:tcPr>
          <w:p>
            <w:pPr>
              <w:spacing w:after="0"/>
              <w:rPr>
                <w:sz w:val="12"/>
                <w:szCs w:val="12"/>
                <w:color w:val="auto"/>
              </w:rPr>
            </w:pPr>
          </w:p>
        </w:tc>
        <w:tc>
          <w:tcPr>
            <w:tcW w:w="780" w:type="dxa"/>
            <w:vAlign w:val="bottom"/>
            <w:tcBorders>
              <w:top w:val="single" w:sz="8" w:color="F2F2F2"/>
            </w:tcBorders>
          </w:tcPr>
          <w:p>
            <w:pPr>
              <w:spacing w:after="0"/>
              <w:rPr>
                <w:sz w:val="12"/>
                <w:szCs w:val="12"/>
                <w:color w:val="auto"/>
              </w:rPr>
            </w:pPr>
          </w:p>
        </w:tc>
        <w:tc>
          <w:tcPr>
            <w:tcW w:w="420" w:type="dxa"/>
            <w:vAlign w:val="bottom"/>
            <w:tcBorders>
              <w:top w:val="single" w:sz="8" w:color="F2F2F2"/>
            </w:tcBorders>
          </w:tcPr>
          <w:p>
            <w:pPr>
              <w:spacing w:after="0"/>
              <w:rPr>
                <w:sz w:val="12"/>
                <w:szCs w:val="12"/>
                <w:color w:val="auto"/>
              </w:rPr>
            </w:pPr>
          </w:p>
        </w:tc>
        <w:tc>
          <w:tcPr>
            <w:tcW w:w="760" w:type="dxa"/>
            <w:vAlign w:val="bottom"/>
            <w:tcBorders>
              <w:top w:val="single" w:sz="8" w:color="F2F2F2"/>
            </w:tcBorders>
          </w:tcPr>
          <w:p>
            <w:pPr>
              <w:spacing w:after="0"/>
              <w:rPr>
                <w:sz w:val="12"/>
                <w:szCs w:val="12"/>
                <w:color w:val="auto"/>
              </w:rPr>
            </w:pPr>
          </w:p>
        </w:tc>
        <w:tc>
          <w:tcPr>
            <w:tcW w:w="820" w:type="dxa"/>
            <w:vAlign w:val="bottom"/>
            <w:tcBorders>
              <w:top w:val="single" w:sz="8" w:color="376DB5"/>
            </w:tcBorders>
          </w:tcPr>
          <w:p>
            <w:pPr>
              <w:spacing w:after="0"/>
              <w:rPr>
                <w:sz w:val="12"/>
                <w:szCs w:val="12"/>
                <w:color w:val="auto"/>
              </w:rPr>
            </w:pPr>
          </w:p>
        </w:tc>
        <w:tc>
          <w:tcPr>
            <w:tcW w:w="440" w:type="dxa"/>
            <w:vAlign w:val="bottom"/>
            <w:tcBorders>
              <w:top w:val="single" w:sz="8" w:color="F2F2F2"/>
            </w:tcBorders>
          </w:tcPr>
          <w:p>
            <w:pPr>
              <w:spacing w:after="0"/>
              <w:rPr>
                <w:sz w:val="12"/>
                <w:szCs w:val="12"/>
                <w:color w:val="auto"/>
              </w:rPr>
            </w:pPr>
          </w:p>
        </w:tc>
        <w:tc>
          <w:tcPr>
            <w:tcW w:w="460" w:type="dxa"/>
            <w:vAlign w:val="bottom"/>
            <w:tcBorders>
              <w:top w:val="single" w:sz="8" w:color="F2F2F2"/>
            </w:tcBorders>
          </w:tcPr>
          <w:p>
            <w:pPr>
              <w:spacing w:after="0"/>
              <w:rPr>
                <w:sz w:val="12"/>
                <w:szCs w:val="12"/>
                <w:color w:val="auto"/>
              </w:rPr>
            </w:pPr>
          </w:p>
        </w:tc>
        <w:tc>
          <w:tcPr>
            <w:tcW w:w="760" w:type="dxa"/>
            <w:vAlign w:val="bottom"/>
            <w:tcBorders>
              <w:top w:val="single" w:sz="8" w:color="F2F2F2"/>
            </w:tcBorders>
          </w:tcPr>
          <w:p>
            <w:pPr>
              <w:spacing w:after="0"/>
              <w:rPr>
                <w:sz w:val="12"/>
                <w:szCs w:val="12"/>
                <w:color w:val="auto"/>
              </w:rPr>
            </w:pPr>
          </w:p>
        </w:tc>
        <w:tc>
          <w:tcPr>
            <w:tcW w:w="120" w:type="dxa"/>
            <w:vAlign w:val="bottom"/>
            <w:tcBorders>
              <w:top w:val="single" w:sz="8" w:color="F2F2F2"/>
            </w:tcBorders>
          </w:tcPr>
          <w:p>
            <w:pPr>
              <w:spacing w:after="0"/>
              <w:rPr>
                <w:sz w:val="12"/>
                <w:szCs w:val="12"/>
                <w:color w:val="auto"/>
              </w:rPr>
            </w:pPr>
          </w:p>
        </w:tc>
        <w:tc>
          <w:tcPr>
            <w:tcW w:w="1800" w:type="dxa"/>
            <w:vAlign w:val="bottom"/>
            <w:tcBorders>
              <w:top w:val="single" w:sz="8" w:color="F2F2F2"/>
            </w:tcBorders>
          </w:tcPr>
          <w:p>
            <w:pPr>
              <w:spacing w:after="0"/>
              <w:rPr>
                <w:sz w:val="12"/>
                <w:szCs w:val="12"/>
                <w:color w:val="auto"/>
              </w:rPr>
            </w:pPr>
          </w:p>
        </w:tc>
        <w:tc>
          <w:tcPr>
            <w:tcW w:w="1400" w:type="dxa"/>
            <w:vAlign w:val="bottom"/>
            <w:tcBorders>
              <w:top w:val="single" w:sz="8" w:color="F2F2F2"/>
            </w:tcBorders>
          </w:tcPr>
          <w:p>
            <w:pPr>
              <w:spacing w:after="0"/>
              <w:rPr>
                <w:sz w:val="12"/>
                <w:szCs w:val="12"/>
                <w:color w:val="auto"/>
              </w:rPr>
            </w:pPr>
          </w:p>
        </w:tc>
        <w:tc>
          <w:tcPr>
            <w:tcW w:w="1200" w:type="dxa"/>
            <w:vAlign w:val="bottom"/>
            <w:tcBorders>
              <w:top w:val="single" w:sz="8" w:color="F2F2F2"/>
            </w:tcBorders>
          </w:tcPr>
          <w:p>
            <w:pPr>
              <w:spacing w:after="0"/>
              <w:rPr>
                <w:sz w:val="12"/>
                <w:szCs w:val="12"/>
                <w:color w:val="auto"/>
              </w:rPr>
            </w:pPr>
          </w:p>
        </w:tc>
        <w:tc>
          <w:tcPr>
            <w:tcW w:w="1440" w:type="dxa"/>
            <w:vAlign w:val="bottom"/>
            <w:tcBorders>
              <w:top w:val="single" w:sz="8" w:color="F2F2F2"/>
            </w:tcBorders>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120" w:type="dxa"/>
            <w:vAlign w:val="bottom"/>
            <w:shd w:val="clear" w:color="auto" w:fill="376DB5"/>
          </w:tcPr>
          <w:p>
            <w:pPr>
              <w:spacing w:after="0"/>
              <w:rPr>
                <w:sz w:val="20"/>
                <w:szCs w:val="20"/>
                <w:color w:val="auto"/>
              </w:rPr>
            </w:pPr>
            <w:r>
              <w:rPr>
                <w:rFonts w:ascii="Arial" w:cs="Arial" w:eastAsia="Arial" w:hAnsi="Arial"/>
                <w:sz w:val="13"/>
                <w:szCs w:val="13"/>
                <w:color w:val="auto"/>
                <w:w w:val="76"/>
              </w:rPr>
              <w:t> </w:t>
            </w:r>
          </w:p>
        </w:tc>
        <w:tc>
          <w:tcPr>
            <w:tcW w:w="210" w:type="dxa"/>
            <w:vAlign w:val="bottom"/>
            <w:shd w:val="clear" w:color="auto" w:fill="376DB5"/>
          </w:tcPr>
          <w:p>
            <w:pPr>
              <w:ind w:left="60"/>
              <w:spacing w:after="0"/>
              <w:rPr>
                <w:sz w:val="20"/>
                <w:szCs w:val="20"/>
                <w:color w:val="auto"/>
              </w:rPr>
            </w:pPr>
            <w:r>
              <w:rPr>
                <w:rFonts w:ascii="Arial" w:cs="Arial" w:eastAsia="Arial" w:hAnsi="Arial"/>
                <w:sz w:val="18"/>
                <w:szCs w:val="18"/>
                <w:color w:val="auto"/>
              </w:rPr>
              <w:t> </w:t>
            </w:r>
          </w:p>
        </w:tc>
        <w:tc>
          <w:tcPr>
            <w:tcW w:w="170" w:type="dxa"/>
            <w:vAlign w:val="bottom"/>
            <w:shd w:val="clear" w:color="auto" w:fill="376DB5"/>
          </w:tcPr>
          <w:p>
            <w:pPr>
              <w:spacing w:after="0"/>
              <w:rPr>
                <w:sz w:val="21"/>
                <w:szCs w:val="21"/>
                <w:color w:val="auto"/>
              </w:rPr>
            </w:pPr>
          </w:p>
        </w:tc>
        <w:tc>
          <w:tcPr>
            <w:tcW w:w="120" w:type="dxa"/>
            <w:vAlign w:val="bottom"/>
            <w:shd w:val="clear" w:color="auto" w:fill="376DB5"/>
          </w:tcPr>
          <w:p>
            <w:pPr>
              <w:spacing w:after="0"/>
              <w:rPr>
                <w:sz w:val="21"/>
                <w:szCs w:val="21"/>
                <w:color w:val="auto"/>
              </w:rPr>
            </w:pPr>
          </w:p>
        </w:tc>
        <w:tc>
          <w:tcPr>
            <w:tcW w:w="6360" w:type="dxa"/>
            <w:vAlign w:val="bottom"/>
            <w:gridSpan w:val="9"/>
            <w:vMerge w:val="restart"/>
            <w:shd w:val="clear" w:color="auto" w:fill="376DB5"/>
          </w:tcPr>
          <w:p>
            <w:pPr>
              <w:ind w:left="600"/>
              <w:spacing w:after="0"/>
              <w:rPr>
                <w:sz w:val="20"/>
                <w:szCs w:val="20"/>
                <w:color w:val="auto"/>
              </w:rPr>
            </w:pPr>
            <w:r>
              <w:rPr>
                <w:rFonts w:ascii="Arial" w:cs="Arial" w:eastAsia="Arial" w:hAnsi="Arial"/>
                <w:sz w:val="18"/>
                <w:szCs w:val="18"/>
                <w:b w:val="1"/>
                <w:bCs w:val="1"/>
                <w:color w:val="FFFFFF"/>
              </w:rPr>
              <w:t>Leadership Development and Compensation Committee</w:t>
            </w:r>
          </w:p>
        </w:tc>
        <w:tc>
          <w:tcPr>
            <w:tcW w:w="1400" w:type="dxa"/>
            <w:vAlign w:val="bottom"/>
            <w:shd w:val="clear" w:color="auto" w:fill="376DB5"/>
          </w:tcPr>
          <w:p>
            <w:pPr>
              <w:spacing w:after="0"/>
              <w:rPr>
                <w:sz w:val="21"/>
                <w:szCs w:val="21"/>
                <w:color w:val="auto"/>
              </w:rPr>
            </w:pPr>
          </w:p>
        </w:tc>
        <w:tc>
          <w:tcPr>
            <w:tcW w:w="1200" w:type="dxa"/>
            <w:vAlign w:val="bottom"/>
            <w:shd w:val="clear" w:color="auto" w:fill="376DB5"/>
          </w:tcPr>
          <w:p>
            <w:pPr>
              <w:spacing w:after="0"/>
              <w:rPr>
                <w:sz w:val="21"/>
                <w:szCs w:val="21"/>
                <w:color w:val="auto"/>
              </w:rPr>
            </w:pPr>
          </w:p>
        </w:tc>
        <w:tc>
          <w:tcPr>
            <w:tcW w:w="1440" w:type="dxa"/>
            <w:vAlign w:val="bottom"/>
            <w:shd w:val="clear" w:color="auto" w:fill="376DB5"/>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376DB5"/>
          </w:tcPr>
          <w:p>
            <w:pPr>
              <w:spacing w:after="0"/>
              <w:rPr>
                <w:sz w:val="15"/>
                <w:szCs w:val="15"/>
                <w:color w:val="auto"/>
              </w:rPr>
            </w:pPr>
          </w:p>
        </w:tc>
        <w:tc>
          <w:tcPr>
            <w:tcW w:w="210" w:type="dxa"/>
            <w:vAlign w:val="bottom"/>
            <w:shd w:val="clear" w:color="auto" w:fill="376DB5"/>
          </w:tcPr>
          <w:p>
            <w:pPr>
              <w:spacing w:after="0"/>
              <w:rPr>
                <w:sz w:val="15"/>
                <w:szCs w:val="15"/>
                <w:color w:val="auto"/>
              </w:rPr>
            </w:pPr>
          </w:p>
        </w:tc>
        <w:tc>
          <w:tcPr>
            <w:tcW w:w="170" w:type="dxa"/>
            <w:vAlign w:val="bottom"/>
            <w:shd w:val="clear" w:color="auto" w:fill="376DB5"/>
          </w:tcPr>
          <w:p>
            <w:pPr>
              <w:spacing w:after="0"/>
              <w:rPr>
                <w:sz w:val="15"/>
                <w:szCs w:val="15"/>
                <w:color w:val="auto"/>
              </w:rPr>
            </w:pPr>
          </w:p>
        </w:tc>
        <w:tc>
          <w:tcPr>
            <w:tcW w:w="120" w:type="dxa"/>
            <w:vAlign w:val="bottom"/>
            <w:shd w:val="clear" w:color="auto" w:fill="376DB5"/>
          </w:tcPr>
          <w:p>
            <w:pPr>
              <w:spacing w:after="0"/>
              <w:rPr>
                <w:sz w:val="15"/>
                <w:szCs w:val="15"/>
                <w:color w:val="auto"/>
              </w:rPr>
            </w:pPr>
          </w:p>
        </w:tc>
        <w:tc>
          <w:tcPr>
            <w:tcW w:w="6360" w:type="dxa"/>
            <w:vAlign w:val="bottom"/>
            <w:gridSpan w:val="9"/>
            <w:vMerge w:val="continue"/>
            <w:shd w:val="clear" w:color="auto" w:fill="376DB5"/>
          </w:tcPr>
          <w:p>
            <w:pPr>
              <w:spacing w:after="0"/>
              <w:rPr>
                <w:sz w:val="15"/>
                <w:szCs w:val="15"/>
                <w:color w:val="auto"/>
              </w:rPr>
            </w:pPr>
          </w:p>
        </w:tc>
        <w:tc>
          <w:tcPr>
            <w:tcW w:w="1400" w:type="dxa"/>
            <w:vAlign w:val="bottom"/>
            <w:shd w:val="clear" w:color="auto" w:fill="376DB5"/>
          </w:tcPr>
          <w:p>
            <w:pPr>
              <w:spacing w:after="0"/>
              <w:rPr>
                <w:sz w:val="15"/>
                <w:szCs w:val="15"/>
                <w:color w:val="auto"/>
              </w:rPr>
            </w:pPr>
          </w:p>
        </w:tc>
        <w:tc>
          <w:tcPr>
            <w:tcW w:w="1200" w:type="dxa"/>
            <w:vAlign w:val="bottom"/>
            <w:shd w:val="clear" w:color="auto" w:fill="376DB5"/>
          </w:tcPr>
          <w:p>
            <w:pPr>
              <w:spacing w:after="0"/>
              <w:rPr>
                <w:sz w:val="15"/>
                <w:szCs w:val="15"/>
                <w:color w:val="auto"/>
              </w:rPr>
            </w:pPr>
          </w:p>
        </w:tc>
        <w:tc>
          <w:tcPr>
            <w:tcW w:w="1440" w:type="dxa"/>
            <w:vAlign w:val="bottom"/>
            <w:shd w:val="clear" w:color="auto" w:fill="376DB5"/>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20" w:type="dxa"/>
            <w:vAlign w:val="bottom"/>
            <w:shd w:val="clear" w:color="auto" w:fill="376DB5"/>
          </w:tcPr>
          <w:p>
            <w:pPr>
              <w:spacing w:after="0"/>
              <w:rPr>
                <w:sz w:val="16"/>
                <w:szCs w:val="16"/>
                <w:color w:val="auto"/>
              </w:rPr>
            </w:pPr>
          </w:p>
        </w:tc>
        <w:tc>
          <w:tcPr>
            <w:tcW w:w="210" w:type="dxa"/>
            <w:vAlign w:val="bottom"/>
            <w:shd w:val="clear" w:color="auto" w:fill="376DB5"/>
          </w:tcPr>
          <w:p>
            <w:pPr>
              <w:spacing w:after="0"/>
              <w:rPr>
                <w:sz w:val="16"/>
                <w:szCs w:val="16"/>
                <w:color w:val="auto"/>
              </w:rPr>
            </w:pPr>
          </w:p>
        </w:tc>
        <w:tc>
          <w:tcPr>
            <w:tcW w:w="2250" w:type="dxa"/>
            <w:vAlign w:val="bottom"/>
            <w:gridSpan w:val="5"/>
            <w:shd w:val="clear" w:color="auto" w:fill="376DB5"/>
          </w:tcPr>
          <w:p>
            <w:pPr>
              <w:spacing w:after="0"/>
              <w:rPr>
                <w:sz w:val="16"/>
                <w:szCs w:val="16"/>
                <w:color w:val="auto"/>
              </w:rPr>
            </w:pPr>
          </w:p>
        </w:tc>
        <w:tc>
          <w:tcPr>
            <w:tcW w:w="820" w:type="dxa"/>
            <w:vAlign w:val="bottom"/>
            <w:shd w:val="clear" w:color="auto" w:fill="376DB5"/>
          </w:tcPr>
          <w:p>
            <w:pPr>
              <w:spacing w:after="0"/>
              <w:rPr>
                <w:sz w:val="16"/>
                <w:szCs w:val="16"/>
                <w:color w:val="auto"/>
              </w:rPr>
            </w:pPr>
          </w:p>
        </w:tc>
        <w:tc>
          <w:tcPr>
            <w:tcW w:w="440" w:type="dxa"/>
            <w:vAlign w:val="bottom"/>
            <w:shd w:val="clear" w:color="auto" w:fill="376DB5"/>
          </w:tcPr>
          <w:p>
            <w:pPr>
              <w:spacing w:after="0"/>
              <w:rPr>
                <w:sz w:val="16"/>
                <w:szCs w:val="16"/>
                <w:color w:val="auto"/>
              </w:rPr>
            </w:pPr>
          </w:p>
        </w:tc>
        <w:tc>
          <w:tcPr>
            <w:tcW w:w="460" w:type="dxa"/>
            <w:vAlign w:val="bottom"/>
            <w:shd w:val="clear" w:color="auto" w:fill="376DB5"/>
          </w:tcPr>
          <w:p>
            <w:pPr>
              <w:spacing w:after="0"/>
              <w:rPr>
                <w:sz w:val="16"/>
                <w:szCs w:val="16"/>
                <w:color w:val="auto"/>
              </w:rPr>
            </w:pPr>
          </w:p>
        </w:tc>
        <w:tc>
          <w:tcPr>
            <w:tcW w:w="760" w:type="dxa"/>
            <w:vAlign w:val="bottom"/>
            <w:shd w:val="clear" w:color="auto" w:fill="376DB5"/>
          </w:tcPr>
          <w:p>
            <w:pPr>
              <w:spacing w:after="0"/>
              <w:rPr>
                <w:sz w:val="16"/>
                <w:szCs w:val="16"/>
                <w:color w:val="auto"/>
              </w:rPr>
            </w:pPr>
          </w:p>
        </w:tc>
        <w:tc>
          <w:tcPr>
            <w:tcW w:w="120" w:type="dxa"/>
            <w:vAlign w:val="bottom"/>
            <w:shd w:val="clear" w:color="auto" w:fill="376DB5"/>
          </w:tcPr>
          <w:p>
            <w:pPr>
              <w:spacing w:after="0"/>
              <w:rPr>
                <w:sz w:val="16"/>
                <w:szCs w:val="16"/>
                <w:color w:val="auto"/>
              </w:rPr>
            </w:pPr>
          </w:p>
        </w:tc>
        <w:tc>
          <w:tcPr>
            <w:tcW w:w="1800" w:type="dxa"/>
            <w:vAlign w:val="bottom"/>
            <w:shd w:val="clear" w:color="auto" w:fill="376DB5"/>
          </w:tcPr>
          <w:p>
            <w:pPr>
              <w:spacing w:after="0"/>
              <w:rPr>
                <w:sz w:val="16"/>
                <w:szCs w:val="16"/>
                <w:color w:val="auto"/>
              </w:rPr>
            </w:pPr>
          </w:p>
        </w:tc>
        <w:tc>
          <w:tcPr>
            <w:tcW w:w="1400" w:type="dxa"/>
            <w:vAlign w:val="bottom"/>
            <w:shd w:val="clear" w:color="auto" w:fill="376DB5"/>
          </w:tcPr>
          <w:p>
            <w:pPr>
              <w:spacing w:after="0"/>
              <w:rPr>
                <w:sz w:val="16"/>
                <w:szCs w:val="16"/>
                <w:color w:val="auto"/>
              </w:rPr>
            </w:pPr>
          </w:p>
        </w:tc>
        <w:tc>
          <w:tcPr>
            <w:tcW w:w="1200" w:type="dxa"/>
            <w:vAlign w:val="bottom"/>
            <w:shd w:val="clear" w:color="auto" w:fill="376DB5"/>
          </w:tcPr>
          <w:p>
            <w:pPr>
              <w:spacing w:after="0"/>
              <w:rPr>
                <w:sz w:val="16"/>
                <w:szCs w:val="16"/>
                <w:color w:val="auto"/>
              </w:rPr>
            </w:pPr>
          </w:p>
        </w:tc>
        <w:tc>
          <w:tcPr>
            <w:tcW w:w="1440" w:type="dxa"/>
            <w:vAlign w:val="bottom"/>
            <w:shd w:val="clear" w:color="auto" w:fill="376DB5"/>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120" w:type="dxa"/>
            <w:vAlign w:val="bottom"/>
          </w:tcPr>
          <w:p>
            <w:pPr>
              <w:spacing w:after="0"/>
              <w:rPr>
                <w:sz w:val="3"/>
                <w:szCs w:val="3"/>
                <w:color w:val="auto"/>
              </w:rPr>
            </w:pPr>
          </w:p>
        </w:tc>
        <w:tc>
          <w:tcPr>
            <w:tcW w:w="210" w:type="dxa"/>
            <w:vAlign w:val="bottom"/>
          </w:tcPr>
          <w:p>
            <w:pPr>
              <w:spacing w:after="0"/>
              <w:rPr>
                <w:sz w:val="3"/>
                <w:szCs w:val="3"/>
                <w:color w:val="auto"/>
              </w:rPr>
            </w:pPr>
          </w:p>
        </w:tc>
        <w:tc>
          <w:tcPr>
            <w:tcW w:w="2250" w:type="dxa"/>
            <w:vAlign w:val="bottom"/>
            <w:gridSpan w:val="5"/>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6"/>
        </w:trPr>
        <w:tc>
          <w:tcPr>
            <w:tcW w:w="120" w:type="dxa"/>
            <w:vAlign w:val="bottom"/>
            <w:shd w:val="clear" w:color="auto" w:fill="F2F2F2"/>
          </w:tcPr>
          <w:p>
            <w:pPr>
              <w:spacing w:after="0"/>
              <w:rPr>
                <w:sz w:val="24"/>
                <w:szCs w:val="24"/>
                <w:color w:val="auto"/>
              </w:rPr>
            </w:pPr>
          </w:p>
        </w:tc>
        <w:tc>
          <w:tcPr>
            <w:tcW w:w="210" w:type="dxa"/>
            <w:vAlign w:val="bottom"/>
            <w:shd w:val="clear" w:color="auto" w:fill="F2F2F2"/>
          </w:tcPr>
          <w:p>
            <w:pPr>
              <w:spacing w:after="0"/>
              <w:rPr>
                <w:sz w:val="24"/>
                <w:szCs w:val="24"/>
                <w:color w:val="auto"/>
              </w:rPr>
            </w:pPr>
          </w:p>
        </w:tc>
        <w:tc>
          <w:tcPr>
            <w:tcW w:w="2250" w:type="dxa"/>
            <w:vAlign w:val="bottom"/>
            <w:gridSpan w:val="5"/>
            <w:shd w:val="clear" w:color="auto" w:fill="F2F2F2"/>
          </w:tcPr>
          <w:p>
            <w:pPr>
              <w:ind w:left="130"/>
              <w:spacing w:after="0"/>
              <w:rPr>
                <w:sz w:val="20"/>
                <w:szCs w:val="20"/>
                <w:color w:val="auto"/>
              </w:rPr>
            </w:pPr>
            <w:r>
              <w:rPr>
                <w:rFonts w:ascii="Arial" w:cs="Arial" w:eastAsia="Arial" w:hAnsi="Arial"/>
                <w:sz w:val="18"/>
                <w:szCs w:val="18"/>
                <w:b w:val="1"/>
                <w:bCs w:val="1"/>
                <w:color w:val="376DB5"/>
              </w:rPr>
              <w:t>Committee Highlights</w:t>
            </w:r>
          </w:p>
        </w:tc>
        <w:tc>
          <w:tcPr>
            <w:tcW w:w="820" w:type="dxa"/>
            <w:vAlign w:val="bottom"/>
            <w:shd w:val="clear" w:color="auto" w:fill="F2F2F2"/>
          </w:tcPr>
          <w:p>
            <w:pPr>
              <w:spacing w:after="0"/>
              <w:rPr>
                <w:sz w:val="24"/>
                <w:szCs w:val="24"/>
                <w:color w:val="auto"/>
              </w:rPr>
            </w:pPr>
          </w:p>
        </w:tc>
        <w:tc>
          <w:tcPr>
            <w:tcW w:w="440" w:type="dxa"/>
            <w:vAlign w:val="bottom"/>
            <w:shd w:val="clear" w:color="auto" w:fill="F2F2F2"/>
          </w:tcPr>
          <w:p>
            <w:pPr>
              <w:spacing w:after="0"/>
              <w:rPr>
                <w:sz w:val="24"/>
                <w:szCs w:val="24"/>
                <w:color w:val="auto"/>
              </w:rPr>
            </w:pPr>
          </w:p>
        </w:tc>
        <w:tc>
          <w:tcPr>
            <w:tcW w:w="460" w:type="dxa"/>
            <w:vAlign w:val="bottom"/>
            <w:shd w:val="clear" w:color="auto" w:fill="F2F2F2"/>
          </w:tcPr>
          <w:p>
            <w:pPr>
              <w:spacing w:after="0"/>
              <w:rPr>
                <w:sz w:val="24"/>
                <w:szCs w:val="24"/>
                <w:color w:val="auto"/>
              </w:rPr>
            </w:pPr>
          </w:p>
        </w:tc>
        <w:tc>
          <w:tcPr>
            <w:tcW w:w="760" w:type="dxa"/>
            <w:vAlign w:val="bottom"/>
            <w:shd w:val="clear" w:color="auto" w:fill="F2F2F2"/>
          </w:tcPr>
          <w:p>
            <w:pPr>
              <w:spacing w:after="0"/>
              <w:rPr>
                <w:sz w:val="24"/>
                <w:szCs w:val="24"/>
                <w:color w:val="auto"/>
              </w:rPr>
            </w:pPr>
          </w:p>
        </w:tc>
        <w:tc>
          <w:tcPr>
            <w:tcW w:w="120" w:type="dxa"/>
            <w:vAlign w:val="bottom"/>
            <w:shd w:val="clear" w:color="auto" w:fill="E8E8E8"/>
          </w:tcPr>
          <w:p>
            <w:pPr>
              <w:spacing w:after="0"/>
              <w:rPr>
                <w:sz w:val="24"/>
                <w:szCs w:val="24"/>
                <w:color w:val="auto"/>
              </w:rPr>
            </w:pPr>
          </w:p>
        </w:tc>
        <w:tc>
          <w:tcPr>
            <w:tcW w:w="3200" w:type="dxa"/>
            <w:vAlign w:val="bottom"/>
            <w:gridSpan w:val="2"/>
            <w:vMerge w:val="restart"/>
            <w:shd w:val="clear" w:color="auto" w:fill="E8E8E8"/>
          </w:tcPr>
          <w:p>
            <w:pPr>
              <w:spacing w:after="0"/>
              <w:rPr>
                <w:sz w:val="20"/>
                <w:szCs w:val="20"/>
                <w:color w:val="auto"/>
              </w:rPr>
            </w:pPr>
            <w:r>
              <w:rPr>
                <w:rFonts w:ascii="Arial" w:cs="Arial" w:eastAsia="Arial" w:hAnsi="Arial"/>
                <w:sz w:val="18"/>
                <w:szCs w:val="18"/>
                <w:b w:val="1"/>
                <w:bCs w:val="1"/>
                <w:color w:val="376DB5"/>
              </w:rPr>
              <w:t>Primary Responsibilities</w:t>
            </w:r>
          </w:p>
        </w:tc>
        <w:tc>
          <w:tcPr>
            <w:tcW w:w="1200" w:type="dxa"/>
            <w:vAlign w:val="bottom"/>
            <w:shd w:val="clear" w:color="auto" w:fill="E8E8E8"/>
          </w:tcPr>
          <w:p>
            <w:pPr>
              <w:spacing w:after="0"/>
              <w:rPr>
                <w:sz w:val="24"/>
                <w:szCs w:val="24"/>
                <w:color w:val="auto"/>
              </w:rPr>
            </w:pPr>
          </w:p>
        </w:tc>
        <w:tc>
          <w:tcPr>
            <w:tcW w:w="1440" w:type="dxa"/>
            <w:vAlign w:val="bottom"/>
            <w:shd w:val="clear" w:color="auto" w:fill="E8E8E8"/>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20" w:type="dxa"/>
            <w:vAlign w:val="bottom"/>
            <w:shd w:val="clear" w:color="auto" w:fill="F2F2F2"/>
          </w:tcPr>
          <w:p>
            <w:pPr>
              <w:spacing w:after="0"/>
              <w:rPr>
                <w:sz w:val="8"/>
                <w:szCs w:val="8"/>
                <w:color w:val="auto"/>
              </w:rPr>
            </w:pPr>
          </w:p>
        </w:tc>
        <w:tc>
          <w:tcPr>
            <w:tcW w:w="210" w:type="dxa"/>
            <w:vAlign w:val="bottom"/>
            <w:shd w:val="clear" w:color="auto" w:fill="F2F2F2"/>
          </w:tcPr>
          <w:p>
            <w:pPr>
              <w:spacing w:after="0"/>
              <w:rPr>
                <w:sz w:val="8"/>
                <w:szCs w:val="8"/>
                <w:color w:val="auto"/>
              </w:rPr>
            </w:pPr>
          </w:p>
        </w:tc>
        <w:tc>
          <w:tcPr>
            <w:tcW w:w="170" w:type="dxa"/>
            <w:vAlign w:val="bottom"/>
            <w:shd w:val="clear" w:color="auto" w:fill="F2F2F2"/>
          </w:tcPr>
          <w:p>
            <w:pPr>
              <w:spacing w:after="0"/>
              <w:rPr>
                <w:sz w:val="8"/>
                <w:szCs w:val="8"/>
                <w:color w:val="auto"/>
              </w:rPr>
            </w:pPr>
          </w:p>
        </w:tc>
        <w:tc>
          <w:tcPr>
            <w:tcW w:w="120" w:type="dxa"/>
            <w:vAlign w:val="bottom"/>
            <w:shd w:val="clear" w:color="auto" w:fill="F2F2F2"/>
          </w:tcPr>
          <w:p>
            <w:pPr>
              <w:spacing w:after="0"/>
              <w:rPr>
                <w:sz w:val="8"/>
                <w:szCs w:val="8"/>
                <w:color w:val="auto"/>
              </w:rPr>
            </w:pPr>
          </w:p>
        </w:tc>
        <w:tc>
          <w:tcPr>
            <w:tcW w:w="780" w:type="dxa"/>
            <w:vAlign w:val="bottom"/>
            <w:shd w:val="clear" w:color="auto" w:fill="F2F2F2"/>
          </w:tcPr>
          <w:p>
            <w:pPr>
              <w:spacing w:after="0"/>
              <w:rPr>
                <w:sz w:val="8"/>
                <w:szCs w:val="8"/>
                <w:color w:val="auto"/>
              </w:rPr>
            </w:pPr>
          </w:p>
        </w:tc>
        <w:tc>
          <w:tcPr>
            <w:tcW w:w="420" w:type="dxa"/>
            <w:vAlign w:val="bottom"/>
            <w:shd w:val="clear" w:color="auto" w:fill="F2F2F2"/>
          </w:tcPr>
          <w:p>
            <w:pPr>
              <w:spacing w:after="0"/>
              <w:rPr>
                <w:sz w:val="8"/>
                <w:szCs w:val="8"/>
                <w:color w:val="auto"/>
              </w:rPr>
            </w:pPr>
          </w:p>
        </w:tc>
        <w:tc>
          <w:tcPr>
            <w:tcW w:w="760" w:type="dxa"/>
            <w:vAlign w:val="bottom"/>
            <w:shd w:val="clear" w:color="auto" w:fill="F2F2F2"/>
          </w:tcPr>
          <w:p>
            <w:pPr>
              <w:spacing w:after="0"/>
              <w:rPr>
                <w:sz w:val="8"/>
                <w:szCs w:val="8"/>
                <w:color w:val="auto"/>
              </w:rPr>
            </w:pPr>
          </w:p>
        </w:tc>
        <w:tc>
          <w:tcPr>
            <w:tcW w:w="820" w:type="dxa"/>
            <w:vAlign w:val="bottom"/>
            <w:shd w:val="clear" w:color="auto" w:fill="F2F2F2"/>
          </w:tcPr>
          <w:p>
            <w:pPr>
              <w:spacing w:after="0"/>
              <w:rPr>
                <w:sz w:val="8"/>
                <w:szCs w:val="8"/>
                <w:color w:val="auto"/>
              </w:rPr>
            </w:pPr>
          </w:p>
        </w:tc>
        <w:tc>
          <w:tcPr>
            <w:tcW w:w="440" w:type="dxa"/>
            <w:vAlign w:val="bottom"/>
            <w:shd w:val="clear" w:color="auto" w:fill="F2F2F2"/>
          </w:tcPr>
          <w:p>
            <w:pPr>
              <w:spacing w:after="0"/>
              <w:rPr>
                <w:sz w:val="8"/>
                <w:szCs w:val="8"/>
                <w:color w:val="auto"/>
              </w:rPr>
            </w:pPr>
          </w:p>
        </w:tc>
        <w:tc>
          <w:tcPr>
            <w:tcW w:w="460" w:type="dxa"/>
            <w:vAlign w:val="bottom"/>
            <w:shd w:val="clear" w:color="auto" w:fill="F2F2F2"/>
          </w:tcPr>
          <w:p>
            <w:pPr>
              <w:spacing w:after="0"/>
              <w:rPr>
                <w:sz w:val="8"/>
                <w:szCs w:val="8"/>
                <w:color w:val="auto"/>
              </w:rPr>
            </w:pPr>
          </w:p>
        </w:tc>
        <w:tc>
          <w:tcPr>
            <w:tcW w:w="760" w:type="dxa"/>
            <w:vAlign w:val="bottom"/>
            <w:shd w:val="clear" w:color="auto" w:fill="F2F2F2"/>
          </w:tcPr>
          <w:p>
            <w:pPr>
              <w:spacing w:after="0"/>
              <w:rPr>
                <w:sz w:val="8"/>
                <w:szCs w:val="8"/>
                <w:color w:val="auto"/>
              </w:rPr>
            </w:pPr>
          </w:p>
        </w:tc>
        <w:tc>
          <w:tcPr>
            <w:tcW w:w="120" w:type="dxa"/>
            <w:vAlign w:val="bottom"/>
            <w:shd w:val="clear" w:color="auto" w:fill="E8E8E8"/>
          </w:tcPr>
          <w:p>
            <w:pPr>
              <w:spacing w:after="0"/>
              <w:rPr>
                <w:sz w:val="8"/>
                <w:szCs w:val="8"/>
                <w:color w:val="auto"/>
              </w:rPr>
            </w:pPr>
          </w:p>
        </w:tc>
        <w:tc>
          <w:tcPr>
            <w:tcW w:w="3200" w:type="dxa"/>
            <w:vAlign w:val="bottom"/>
            <w:gridSpan w:val="2"/>
            <w:vMerge w:val="continue"/>
            <w:shd w:val="clear" w:color="auto" w:fill="E8E8E8"/>
          </w:tcPr>
          <w:p>
            <w:pPr>
              <w:spacing w:after="0"/>
              <w:rPr>
                <w:sz w:val="8"/>
                <w:szCs w:val="8"/>
                <w:color w:val="auto"/>
              </w:rPr>
            </w:pPr>
          </w:p>
        </w:tc>
        <w:tc>
          <w:tcPr>
            <w:tcW w:w="1200" w:type="dxa"/>
            <w:vAlign w:val="bottom"/>
            <w:shd w:val="clear" w:color="auto" w:fill="E8E8E8"/>
          </w:tcPr>
          <w:p>
            <w:pPr>
              <w:spacing w:after="0"/>
              <w:rPr>
                <w:sz w:val="8"/>
                <w:szCs w:val="8"/>
                <w:color w:val="auto"/>
              </w:rPr>
            </w:pPr>
          </w:p>
        </w:tc>
        <w:tc>
          <w:tcPr>
            <w:tcW w:w="1440" w:type="dxa"/>
            <w:vAlign w:val="bottom"/>
            <w:shd w:val="clear" w:color="auto" w:fill="E8E8E8"/>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120" w:type="dxa"/>
            <w:vAlign w:val="bottom"/>
            <w:shd w:val="clear" w:color="auto" w:fill="F2F2F2"/>
          </w:tcPr>
          <w:p>
            <w:pPr>
              <w:spacing w:after="0"/>
              <w:rPr>
                <w:sz w:val="20"/>
                <w:szCs w:val="20"/>
                <w:color w:val="auto"/>
              </w:rPr>
            </w:pPr>
            <w:r>
              <w:rPr>
                <w:rFonts w:ascii="Arial" w:cs="Arial" w:eastAsia="Arial" w:hAnsi="Arial"/>
                <w:sz w:val="13"/>
                <w:szCs w:val="13"/>
                <w:color w:val="auto"/>
                <w:w w:val="76"/>
              </w:rPr>
              <w:t> </w:t>
            </w:r>
          </w:p>
        </w:tc>
        <w:tc>
          <w:tcPr>
            <w:tcW w:w="210" w:type="dxa"/>
            <w:vAlign w:val="bottom"/>
            <w:shd w:val="clear" w:color="auto" w:fill="F2F2F2"/>
          </w:tcPr>
          <w:p>
            <w:pPr>
              <w:ind w:left="60"/>
              <w:spacing w:after="0"/>
              <w:rPr>
                <w:sz w:val="20"/>
                <w:szCs w:val="20"/>
                <w:color w:val="auto"/>
              </w:rPr>
            </w:pPr>
            <w:r>
              <w:rPr>
                <w:rFonts w:ascii="Arial" w:cs="Arial" w:eastAsia="Arial" w:hAnsi="Arial"/>
                <w:sz w:val="18"/>
                <w:szCs w:val="18"/>
                <w:color w:val="auto"/>
              </w:rPr>
              <w:t> </w:t>
            </w:r>
          </w:p>
        </w:tc>
        <w:tc>
          <w:tcPr>
            <w:tcW w:w="1070" w:type="dxa"/>
            <w:vAlign w:val="bottom"/>
            <w:gridSpan w:val="3"/>
            <w:vMerge w:val="restart"/>
            <w:shd w:val="clear" w:color="auto" w:fill="F2F2F2"/>
          </w:tcPr>
          <w:p>
            <w:pPr>
              <w:ind w:left="790"/>
              <w:spacing w:after="0"/>
              <w:rPr>
                <w:sz w:val="20"/>
                <w:szCs w:val="20"/>
                <w:color w:val="auto"/>
              </w:rPr>
            </w:pPr>
            <w:r>
              <w:rPr>
                <w:rFonts w:ascii="Arial" w:cs="Arial" w:eastAsia="Arial" w:hAnsi="Arial"/>
                <w:sz w:val="18"/>
                <w:szCs w:val="18"/>
                <w:color w:val="376DB5"/>
              </w:rPr>
              <w:t>7</w:t>
            </w:r>
          </w:p>
        </w:tc>
        <w:tc>
          <w:tcPr>
            <w:tcW w:w="420" w:type="dxa"/>
            <w:vAlign w:val="bottom"/>
            <w:shd w:val="clear" w:color="auto" w:fill="F2F2F2"/>
          </w:tcPr>
          <w:p>
            <w:pPr>
              <w:spacing w:after="0"/>
              <w:rPr>
                <w:sz w:val="24"/>
                <w:szCs w:val="24"/>
                <w:color w:val="auto"/>
              </w:rPr>
            </w:pPr>
          </w:p>
        </w:tc>
        <w:tc>
          <w:tcPr>
            <w:tcW w:w="2020" w:type="dxa"/>
            <w:vAlign w:val="bottom"/>
            <w:gridSpan w:val="3"/>
            <w:vMerge w:val="restart"/>
            <w:shd w:val="clear" w:color="auto" w:fill="F2F2F2"/>
          </w:tcPr>
          <w:p>
            <w:pPr>
              <w:ind w:left="180"/>
              <w:spacing w:after="0"/>
              <w:rPr>
                <w:sz w:val="20"/>
                <w:szCs w:val="20"/>
                <w:color w:val="auto"/>
              </w:rPr>
            </w:pPr>
            <w:r>
              <w:rPr>
                <w:rFonts w:ascii="Arial" w:cs="Arial" w:eastAsia="Arial" w:hAnsi="Arial"/>
                <w:sz w:val="18"/>
                <w:szCs w:val="18"/>
                <w:color w:val="376DB5"/>
              </w:rPr>
              <w:t>Members</w:t>
            </w:r>
          </w:p>
        </w:tc>
        <w:tc>
          <w:tcPr>
            <w:tcW w:w="460" w:type="dxa"/>
            <w:vAlign w:val="bottom"/>
            <w:shd w:val="clear" w:color="auto" w:fill="F2F2F2"/>
          </w:tcPr>
          <w:p>
            <w:pPr>
              <w:spacing w:after="0"/>
              <w:rPr>
                <w:sz w:val="24"/>
                <w:szCs w:val="24"/>
                <w:color w:val="auto"/>
              </w:rPr>
            </w:pPr>
          </w:p>
        </w:tc>
        <w:tc>
          <w:tcPr>
            <w:tcW w:w="760" w:type="dxa"/>
            <w:vAlign w:val="bottom"/>
            <w:shd w:val="clear" w:color="auto" w:fill="F2F2F2"/>
          </w:tcPr>
          <w:p>
            <w:pPr>
              <w:ind w:left="120"/>
              <w:spacing w:after="0"/>
              <w:rPr>
                <w:sz w:val="20"/>
                <w:szCs w:val="20"/>
                <w:color w:val="auto"/>
              </w:rPr>
            </w:pPr>
            <w:r>
              <w:rPr>
                <w:rFonts w:ascii="Arial" w:cs="Arial" w:eastAsia="Arial" w:hAnsi="Arial"/>
                <w:sz w:val="18"/>
                <w:szCs w:val="18"/>
                <w:color w:val="376DB5"/>
              </w:rPr>
              <w:t> </w:t>
            </w:r>
          </w:p>
        </w:tc>
        <w:tc>
          <w:tcPr>
            <w:tcW w:w="120" w:type="dxa"/>
            <w:vAlign w:val="bottom"/>
            <w:shd w:val="clear" w:color="auto" w:fill="E8E8E8"/>
          </w:tcPr>
          <w:p>
            <w:pPr>
              <w:spacing w:after="0"/>
              <w:rPr>
                <w:sz w:val="24"/>
                <w:szCs w:val="24"/>
                <w:color w:val="auto"/>
              </w:rPr>
            </w:pPr>
          </w:p>
        </w:tc>
        <w:tc>
          <w:tcPr>
            <w:tcW w:w="5840" w:type="dxa"/>
            <w:vAlign w:val="bottom"/>
            <w:gridSpan w:val="4"/>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 Overall oversight responsibility for the directors’ and executive</w:t>
            </w:r>
          </w:p>
        </w:tc>
        <w:tc>
          <w:tcPr>
            <w:tcW w:w="0" w:type="dxa"/>
            <w:vAlign w:val="bottom"/>
          </w:tcPr>
          <w:p>
            <w:pPr>
              <w:spacing w:after="0"/>
              <w:rPr>
                <w:sz w:val="1"/>
                <w:szCs w:val="1"/>
                <w:color w:val="auto"/>
              </w:rPr>
            </w:pPr>
          </w:p>
        </w:tc>
      </w:tr>
      <w:tr>
        <w:trPr>
          <w:trHeight w:val="122"/>
        </w:trPr>
        <w:tc>
          <w:tcPr>
            <w:tcW w:w="120" w:type="dxa"/>
            <w:vAlign w:val="bottom"/>
            <w:shd w:val="clear" w:color="auto" w:fill="F2F2F2"/>
          </w:tcPr>
          <w:p>
            <w:pPr>
              <w:spacing w:after="0"/>
              <w:rPr>
                <w:sz w:val="10"/>
                <w:szCs w:val="10"/>
                <w:color w:val="auto"/>
              </w:rPr>
            </w:pPr>
          </w:p>
        </w:tc>
        <w:tc>
          <w:tcPr>
            <w:tcW w:w="210" w:type="dxa"/>
            <w:vAlign w:val="bottom"/>
            <w:shd w:val="clear" w:color="auto" w:fill="F2F2F2"/>
          </w:tcPr>
          <w:p>
            <w:pPr>
              <w:spacing w:after="0"/>
              <w:rPr>
                <w:sz w:val="10"/>
                <w:szCs w:val="10"/>
                <w:color w:val="auto"/>
              </w:rPr>
            </w:pPr>
          </w:p>
        </w:tc>
        <w:tc>
          <w:tcPr>
            <w:tcW w:w="1070" w:type="dxa"/>
            <w:vAlign w:val="bottom"/>
            <w:gridSpan w:val="3"/>
            <w:vMerge w:val="continue"/>
            <w:shd w:val="clear" w:color="auto" w:fill="F2F2F2"/>
          </w:tcPr>
          <w:p>
            <w:pPr>
              <w:spacing w:after="0"/>
              <w:rPr>
                <w:sz w:val="10"/>
                <w:szCs w:val="10"/>
                <w:color w:val="auto"/>
              </w:rPr>
            </w:pPr>
          </w:p>
        </w:tc>
        <w:tc>
          <w:tcPr>
            <w:tcW w:w="420" w:type="dxa"/>
            <w:vAlign w:val="bottom"/>
            <w:shd w:val="clear" w:color="auto" w:fill="F2F2F2"/>
          </w:tcPr>
          <w:p>
            <w:pPr>
              <w:spacing w:after="0"/>
              <w:rPr>
                <w:sz w:val="10"/>
                <w:szCs w:val="10"/>
                <w:color w:val="auto"/>
              </w:rPr>
            </w:pPr>
          </w:p>
        </w:tc>
        <w:tc>
          <w:tcPr>
            <w:tcW w:w="2020" w:type="dxa"/>
            <w:vAlign w:val="bottom"/>
            <w:gridSpan w:val="3"/>
            <w:vMerge w:val="continue"/>
            <w:shd w:val="clear" w:color="auto" w:fill="F2F2F2"/>
          </w:tcPr>
          <w:p>
            <w:pPr>
              <w:spacing w:after="0"/>
              <w:rPr>
                <w:sz w:val="10"/>
                <w:szCs w:val="10"/>
                <w:color w:val="auto"/>
              </w:rPr>
            </w:pPr>
          </w:p>
        </w:tc>
        <w:tc>
          <w:tcPr>
            <w:tcW w:w="460" w:type="dxa"/>
            <w:vAlign w:val="bottom"/>
            <w:shd w:val="clear" w:color="auto" w:fill="F2F2F2"/>
          </w:tcPr>
          <w:p>
            <w:pPr>
              <w:spacing w:after="0"/>
              <w:rPr>
                <w:sz w:val="10"/>
                <w:szCs w:val="10"/>
                <w:color w:val="auto"/>
              </w:rPr>
            </w:pPr>
          </w:p>
        </w:tc>
        <w:tc>
          <w:tcPr>
            <w:tcW w:w="760" w:type="dxa"/>
            <w:vAlign w:val="bottom"/>
            <w:shd w:val="clear" w:color="auto" w:fill="F2F2F2"/>
          </w:tcPr>
          <w:p>
            <w:pPr>
              <w:spacing w:after="0"/>
              <w:rPr>
                <w:sz w:val="10"/>
                <w:szCs w:val="10"/>
                <w:color w:val="auto"/>
              </w:rPr>
            </w:pPr>
          </w:p>
        </w:tc>
        <w:tc>
          <w:tcPr>
            <w:tcW w:w="120" w:type="dxa"/>
            <w:vAlign w:val="bottom"/>
            <w:shd w:val="clear" w:color="auto" w:fill="E8E8E8"/>
          </w:tcPr>
          <w:p>
            <w:pPr>
              <w:spacing w:after="0"/>
              <w:rPr>
                <w:sz w:val="10"/>
                <w:szCs w:val="10"/>
                <w:color w:val="auto"/>
              </w:rPr>
            </w:pPr>
          </w:p>
        </w:tc>
        <w:tc>
          <w:tcPr>
            <w:tcW w:w="5840" w:type="dxa"/>
            <w:vAlign w:val="bottom"/>
            <w:gridSpan w:val="4"/>
            <w:vMerge w:val="restart"/>
            <w:shd w:val="clear" w:color="auto" w:fill="E8E8E8"/>
          </w:tcPr>
          <w:p>
            <w:pPr>
              <w:ind w:left="200"/>
              <w:spacing w:after="0" w:line="202" w:lineRule="exact"/>
              <w:rPr>
                <w:sz w:val="20"/>
                <w:szCs w:val="20"/>
                <w:color w:val="auto"/>
              </w:rPr>
            </w:pPr>
            <w:r>
              <w:rPr>
                <w:rFonts w:ascii="Arial" w:cs="Arial" w:eastAsia="Arial" w:hAnsi="Arial"/>
                <w:sz w:val="18"/>
                <w:szCs w:val="18"/>
                <w:color w:val="auto"/>
              </w:rPr>
              <w:t>officers’ compensation plans and the compensation policies and</w:t>
            </w:r>
          </w:p>
        </w:tc>
        <w:tc>
          <w:tcPr>
            <w:tcW w:w="0" w:type="dxa"/>
            <w:vAlign w:val="bottom"/>
          </w:tcPr>
          <w:p>
            <w:pPr>
              <w:spacing w:after="0"/>
              <w:rPr>
                <w:sz w:val="1"/>
                <w:szCs w:val="1"/>
                <w:color w:val="auto"/>
              </w:rPr>
            </w:pPr>
          </w:p>
        </w:tc>
      </w:tr>
      <w:tr>
        <w:trPr>
          <w:trHeight w:val="81"/>
        </w:trPr>
        <w:tc>
          <w:tcPr>
            <w:tcW w:w="120" w:type="dxa"/>
            <w:vAlign w:val="bottom"/>
            <w:shd w:val="clear" w:color="auto" w:fill="F2F2F2"/>
          </w:tcPr>
          <w:p>
            <w:pPr>
              <w:spacing w:after="0"/>
              <w:rPr>
                <w:sz w:val="7"/>
                <w:szCs w:val="7"/>
                <w:color w:val="auto"/>
              </w:rPr>
            </w:pPr>
          </w:p>
        </w:tc>
        <w:tc>
          <w:tcPr>
            <w:tcW w:w="210" w:type="dxa"/>
            <w:vAlign w:val="bottom"/>
            <w:shd w:val="clear" w:color="auto" w:fill="F2F2F2"/>
          </w:tcPr>
          <w:p>
            <w:pPr>
              <w:spacing w:after="0"/>
              <w:rPr>
                <w:sz w:val="7"/>
                <w:szCs w:val="7"/>
                <w:color w:val="auto"/>
              </w:rPr>
            </w:pPr>
          </w:p>
        </w:tc>
        <w:tc>
          <w:tcPr>
            <w:tcW w:w="170" w:type="dxa"/>
            <w:vAlign w:val="bottom"/>
            <w:shd w:val="clear" w:color="auto" w:fill="F2F2F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1200" w:type="dxa"/>
            <w:vAlign w:val="bottom"/>
            <w:gridSpan w:val="2"/>
            <w:vMerge w:val="restart"/>
            <w:shd w:val="clear" w:color="auto" w:fill="F2F2F2"/>
          </w:tcPr>
          <w:p>
            <w:pPr>
              <w:ind w:left="180"/>
              <w:spacing w:after="0" w:line="202" w:lineRule="exact"/>
              <w:rPr>
                <w:sz w:val="20"/>
                <w:szCs w:val="20"/>
                <w:color w:val="auto"/>
              </w:rPr>
            </w:pPr>
            <w:r>
              <w:rPr>
                <w:rFonts w:ascii="Arial" w:cs="Arial" w:eastAsia="Arial" w:hAnsi="Arial"/>
                <w:sz w:val="18"/>
                <w:szCs w:val="18"/>
                <w:color w:val="376DB5"/>
              </w:rPr>
              <w:t>Meetings</w:t>
            </w:r>
          </w:p>
        </w:tc>
        <w:tc>
          <w:tcPr>
            <w:tcW w:w="2020" w:type="dxa"/>
            <w:vAlign w:val="bottom"/>
            <w:gridSpan w:val="3"/>
            <w:vMerge w:val="restart"/>
            <w:shd w:val="clear" w:color="auto" w:fill="F2F2F2"/>
          </w:tcPr>
          <w:p>
            <w:pPr>
              <w:ind w:left="180"/>
              <w:spacing w:after="0" w:line="202" w:lineRule="exact"/>
              <w:rPr>
                <w:sz w:val="20"/>
                <w:szCs w:val="20"/>
                <w:color w:val="auto"/>
              </w:rPr>
            </w:pPr>
            <w:r>
              <w:rPr>
                <w:rFonts w:ascii="Arial" w:cs="Arial" w:eastAsia="Arial" w:hAnsi="Arial"/>
                <w:sz w:val="18"/>
                <w:szCs w:val="18"/>
                <w:color w:val="auto"/>
              </w:rPr>
              <w:t>Joanna Rees (Chair)</w:t>
            </w:r>
          </w:p>
        </w:tc>
        <w:tc>
          <w:tcPr>
            <w:tcW w:w="460" w:type="dxa"/>
            <w:vAlign w:val="bottom"/>
            <w:shd w:val="clear" w:color="auto" w:fill="F2F2F2"/>
          </w:tcPr>
          <w:p>
            <w:pPr>
              <w:spacing w:after="0"/>
              <w:rPr>
                <w:sz w:val="7"/>
                <w:szCs w:val="7"/>
                <w:color w:val="auto"/>
              </w:rPr>
            </w:pPr>
          </w:p>
        </w:tc>
        <w:tc>
          <w:tcPr>
            <w:tcW w:w="760" w:type="dxa"/>
            <w:vAlign w:val="bottom"/>
            <w:shd w:val="clear" w:color="auto" w:fill="F2F2F2"/>
          </w:tcPr>
          <w:p>
            <w:pPr>
              <w:spacing w:after="0"/>
              <w:rPr>
                <w:sz w:val="7"/>
                <w:szCs w:val="7"/>
                <w:color w:val="auto"/>
              </w:rPr>
            </w:pPr>
          </w:p>
        </w:tc>
        <w:tc>
          <w:tcPr>
            <w:tcW w:w="120" w:type="dxa"/>
            <w:vAlign w:val="bottom"/>
            <w:shd w:val="clear" w:color="auto" w:fill="E8E8E8"/>
          </w:tcPr>
          <w:p>
            <w:pPr>
              <w:spacing w:after="0"/>
              <w:rPr>
                <w:sz w:val="7"/>
                <w:szCs w:val="7"/>
                <w:color w:val="auto"/>
              </w:rPr>
            </w:pPr>
          </w:p>
        </w:tc>
        <w:tc>
          <w:tcPr>
            <w:tcW w:w="5840" w:type="dxa"/>
            <w:vAlign w:val="bottom"/>
            <w:gridSpan w:val="4"/>
            <w:vMerge w:val="continue"/>
            <w:shd w:val="clear" w:color="auto" w:fill="E8E8E8"/>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20" w:type="dxa"/>
            <w:vAlign w:val="bottom"/>
            <w:shd w:val="clear" w:color="auto" w:fill="F2F2F2"/>
          </w:tcPr>
          <w:p>
            <w:pPr>
              <w:spacing w:after="0"/>
              <w:rPr>
                <w:sz w:val="10"/>
                <w:szCs w:val="10"/>
                <w:color w:val="auto"/>
              </w:rPr>
            </w:pPr>
          </w:p>
        </w:tc>
        <w:tc>
          <w:tcPr>
            <w:tcW w:w="210" w:type="dxa"/>
            <w:vAlign w:val="bottom"/>
            <w:shd w:val="clear" w:color="auto" w:fill="F2F2F2"/>
          </w:tcPr>
          <w:p>
            <w:pPr>
              <w:spacing w:after="0"/>
              <w:rPr>
                <w:sz w:val="10"/>
                <w:szCs w:val="10"/>
                <w:color w:val="auto"/>
              </w:rPr>
            </w:pPr>
          </w:p>
        </w:tc>
        <w:tc>
          <w:tcPr>
            <w:tcW w:w="170" w:type="dxa"/>
            <w:vAlign w:val="bottom"/>
            <w:shd w:val="clear" w:color="auto" w:fill="F2F2F2"/>
          </w:tcPr>
          <w:p>
            <w:pPr>
              <w:spacing w:after="0"/>
              <w:rPr>
                <w:sz w:val="10"/>
                <w:szCs w:val="10"/>
                <w:color w:val="auto"/>
              </w:rPr>
            </w:pPr>
          </w:p>
        </w:tc>
        <w:tc>
          <w:tcPr>
            <w:tcW w:w="120" w:type="dxa"/>
            <w:vAlign w:val="bottom"/>
            <w:shd w:val="clear" w:color="auto" w:fill="F2F2F2"/>
          </w:tcPr>
          <w:p>
            <w:pPr>
              <w:spacing w:after="0"/>
              <w:rPr>
                <w:sz w:val="10"/>
                <w:szCs w:val="10"/>
                <w:color w:val="auto"/>
              </w:rPr>
            </w:pPr>
          </w:p>
        </w:tc>
        <w:tc>
          <w:tcPr>
            <w:tcW w:w="1200" w:type="dxa"/>
            <w:vAlign w:val="bottom"/>
            <w:gridSpan w:val="2"/>
            <w:vMerge w:val="continue"/>
            <w:shd w:val="clear" w:color="auto" w:fill="F2F2F2"/>
          </w:tcPr>
          <w:p>
            <w:pPr>
              <w:spacing w:after="0"/>
              <w:rPr>
                <w:sz w:val="10"/>
                <w:szCs w:val="10"/>
                <w:color w:val="auto"/>
              </w:rPr>
            </w:pPr>
          </w:p>
        </w:tc>
        <w:tc>
          <w:tcPr>
            <w:tcW w:w="2020" w:type="dxa"/>
            <w:vAlign w:val="bottom"/>
            <w:gridSpan w:val="3"/>
            <w:vMerge w:val="continue"/>
            <w:shd w:val="clear" w:color="auto" w:fill="F2F2F2"/>
          </w:tcPr>
          <w:p>
            <w:pPr>
              <w:spacing w:after="0"/>
              <w:rPr>
                <w:sz w:val="10"/>
                <w:szCs w:val="10"/>
                <w:color w:val="auto"/>
              </w:rPr>
            </w:pPr>
          </w:p>
        </w:tc>
        <w:tc>
          <w:tcPr>
            <w:tcW w:w="460" w:type="dxa"/>
            <w:vAlign w:val="bottom"/>
            <w:shd w:val="clear" w:color="auto" w:fill="F2F2F2"/>
          </w:tcPr>
          <w:p>
            <w:pPr>
              <w:spacing w:after="0"/>
              <w:rPr>
                <w:sz w:val="10"/>
                <w:szCs w:val="10"/>
                <w:color w:val="auto"/>
              </w:rPr>
            </w:pPr>
          </w:p>
        </w:tc>
        <w:tc>
          <w:tcPr>
            <w:tcW w:w="760" w:type="dxa"/>
            <w:vAlign w:val="bottom"/>
            <w:shd w:val="clear" w:color="auto" w:fill="F2F2F2"/>
          </w:tcPr>
          <w:p>
            <w:pPr>
              <w:spacing w:after="0"/>
              <w:rPr>
                <w:sz w:val="10"/>
                <w:szCs w:val="10"/>
                <w:color w:val="auto"/>
              </w:rPr>
            </w:pPr>
          </w:p>
        </w:tc>
        <w:tc>
          <w:tcPr>
            <w:tcW w:w="120" w:type="dxa"/>
            <w:vAlign w:val="bottom"/>
            <w:shd w:val="clear" w:color="auto" w:fill="E8E8E8"/>
          </w:tcPr>
          <w:p>
            <w:pPr>
              <w:spacing w:after="0"/>
              <w:rPr>
                <w:sz w:val="10"/>
                <w:szCs w:val="10"/>
                <w:color w:val="auto"/>
              </w:rPr>
            </w:pPr>
          </w:p>
        </w:tc>
        <w:tc>
          <w:tcPr>
            <w:tcW w:w="3200" w:type="dxa"/>
            <w:vAlign w:val="bottom"/>
            <w:gridSpan w:val="2"/>
            <w:vMerge w:val="restart"/>
            <w:shd w:val="clear" w:color="auto" w:fill="E8E8E8"/>
          </w:tcPr>
          <w:p>
            <w:pPr>
              <w:ind w:left="200"/>
              <w:spacing w:after="0"/>
              <w:rPr>
                <w:sz w:val="20"/>
                <w:szCs w:val="20"/>
                <w:color w:val="auto"/>
              </w:rPr>
            </w:pPr>
            <w:r>
              <w:rPr>
                <w:rFonts w:ascii="Arial" w:cs="Arial" w:eastAsia="Arial" w:hAnsi="Arial"/>
                <w:sz w:val="18"/>
                <w:szCs w:val="18"/>
                <w:color w:val="auto"/>
              </w:rPr>
              <w:t>programs of the Company</w:t>
            </w:r>
          </w:p>
        </w:tc>
        <w:tc>
          <w:tcPr>
            <w:tcW w:w="1200" w:type="dxa"/>
            <w:vAlign w:val="bottom"/>
            <w:shd w:val="clear" w:color="auto" w:fill="E8E8E8"/>
          </w:tcPr>
          <w:p>
            <w:pPr>
              <w:spacing w:after="0"/>
              <w:rPr>
                <w:sz w:val="10"/>
                <w:szCs w:val="10"/>
                <w:color w:val="auto"/>
              </w:rPr>
            </w:pPr>
          </w:p>
        </w:tc>
        <w:tc>
          <w:tcPr>
            <w:tcW w:w="1440" w:type="dxa"/>
            <w:vAlign w:val="bottom"/>
            <w:shd w:val="clear" w:color="auto" w:fill="E8E8E8"/>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20" w:type="dxa"/>
            <w:vAlign w:val="bottom"/>
            <w:shd w:val="clear" w:color="auto" w:fill="F2F2F2"/>
          </w:tcPr>
          <w:p>
            <w:pPr>
              <w:spacing w:after="0"/>
              <w:rPr>
                <w:sz w:val="10"/>
                <w:szCs w:val="10"/>
                <w:color w:val="auto"/>
              </w:rPr>
            </w:pPr>
          </w:p>
        </w:tc>
        <w:tc>
          <w:tcPr>
            <w:tcW w:w="210" w:type="dxa"/>
            <w:vAlign w:val="bottom"/>
            <w:shd w:val="clear" w:color="auto" w:fill="F2F2F2"/>
          </w:tcPr>
          <w:p>
            <w:pPr>
              <w:spacing w:after="0"/>
              <w:rPr>
                <w:sz w:val="10"/>
                <w:szCs w:val="10"/>
                <w:color w:val="auto"/>
              </w:rPr>
            </w:pPr>
          </w:p>
        </w:tc>
        <w:tc>
          <w:tcPr>
            <w:tcW w:w="170" w:type="dxa"/>
            <w:vAlign w:val="bottom"/>
            <w:shd w:val="clear" w:color="auto" w:fill="F2F2F2"/>
          </w:tcPr>
          <w:p>
            <w:pPr>
              <w:spacing w:after="0"/>
              <w:rPr>
                <w:sz w:val="10"/>
                <w:szCs w:val="10"/>
                <w:color w:val="auto"/>
              </w:rPr>
            </w:pPr>
          </w:p>
        </w:tc>
        <w:tc>
          <w:tcPr>
            <w:tcW w:w="1320" w:type="dxa"/>
            <w:vAlign w:val="bottom"/>
            <w:gridSpan w:val="3"/>
            <w:vMerge w:val="restart"/>
            <w:shd w:val="clear" w:color="auto" w:fill="F2F2F2"/>
          </w:tcPr>
          <w:p>
            <w:pPr>
              <w:ind w:left="40"/>
              <w:spacing w:after="0" w:line="202" w:lineRule="exact"/>
              <w:rPr>
                <w:sz w:val="20"/>
                <w:szCs w:val="20"/>
                <w:color w:val="auto"/>
              </w:rPr>
            </w:pPr>
            <w:r>
              <w:rPr>
                <w:rFonts w:ascii="Arial" w:cs="Arial" w:eastAsia="Arial" w:hAnsi="Arial"/>
                <w:sz w:val="18"/>
                <w:szCs w:val="18"/>
                <w:color w:val="auto"/>
              </w:rPr>
              <w:t>   Fiscal 2025</w:t>
            </w:r>
          </w:p>
        </w:tc>
        <w:tc>
          <w:tcPr>
            <w:tcW w:w="2020" w:type="dxa"/>
            <w:vAlign w:val="bottom"/>
            <w:gridSpan w:val="3"/>
            <w:vMerge w:val="restart"/>
            <w:shd w:val="clear" w:color="auto" w:fill="F2F2F2"/>
          </w:tcPr>
          <w:p>
            <w:pPr>
              <w:ind w:left="180"/>
              <w:spacing w:after="0" w:line="202" w:lineRule="exact"/>
              <w:rPr>
                <w:sz w:val="20"/>
                <w:szCs w:val="20"/>
                <w:color w:val="auto"/>
              </w:rPr>
            </w:pPr>
            <w:r>
              <w:rPr>
                <w:rFonts w:ascii="Arial" w:cs="Arial" w:eastAsia="Arial" w:hAnsi="Arial"/>
                <w:sz w:val="18"/>
                <w:szCs w:val="18"/>
                <w:color w:val="auto"/>
                <w:w w:val="96"/>
              </w:rPr>
              <w:t>Fabiola R. Arredondo </w:t>
            </w:r>
          </w:p>
        </w:tc>
        <w:tc>
          <w:tcPr>
            <w:tcW w:w="460" w:type="dxa"/>
            <w:vAlign w:val="bottom"/>
            <w:vMerge w:val="restart"/>
            <w:shd w:val="clear" w:color="auto" w:fill="F2F2F2"/>
          </w:tcPr>
          <w:p>
            <w:pPr>
              <w:ind w:left="40"/>
              <w:spacing w:after="0" w:line="202" w:lineRule="exact"/>
              <w:rPr>
                <w:sz w:val="20"/>
                <w:szCs w:val="20"/>
                <w:color w:val="auto"/>
              </w:rPr>
            </w:pPr>
            <w:r>
              <w:rPr>
                <w:rFonts w:ascii="Arial" w:cs="Arial" w:eastAsia="Arial" w:hAnsi="Arial"/>
                <w:sz w:val="18"/>
                <w:szCs w:val="18"/>
                <w:color w:val="auto"/>
              </w:rPr>
              <w:t xml:space="preserve">   </w:t>
            </w:r>
          </w:p>
        </w:tc>
        <w:tc>
          <w:tcPr>
            <w:tcW w:w="760" w:type="dxa"/>
            <w:vAlign w:val="bottom"/>
            <w:shd w:val="clear" w:color="auto" w:fill="F2F2F2"/>
          </w:tcPr>
          <w:p>
            <w:pPr>
              <w:spacing w:after="0"/>
              <w:rPr>
                <w:sz w:val="10"/>
                <w:szCs w:val="10"/>
                <w:color w:val="auto"/>
              </w:rPr>
            </w:pPr>
          </w:p>
        </w:tc>
        <w:tc>
          <w:tcPr>
            <w:tcW w:w="120" w:type="dxa"/>
            <w:vAlign w:val="bottom"/>
            <w:shd w:val="clear" w:color="auto" w:fill="E8E8E8"/>
          </w:tcPr>
          <w:p>
            <w:pPr>
              <w:spacing w:after="0"/>
              <w:rPr>
                <w:sz w:val="10"/>
                <w:szCs w:val="10"/>
                <w:color w:val="auto"/>
              </w:rPr>
            </w:pPr>
          </w:p>
        </w:tc>
        <w:tc>
          <w:tcPr>
            <w:tcW w:w="3200" w:type="dxa"/>
            <w:vAlign w:val="bottom"/>
            <w:gridSpan w:val="2"/>
            <w:vMerge w:val="continue"/>
            <w:shd w:val="clear" w:color="auto" w:fill="E8E8E8"/>
          </w:tcPr>
          <w:p>
            <w:pPr>
              <w:spacing w:after="0"/>
              <w:rPr>
                <w:sz w:val="10"/>
                <w:szCs w:val="10"/>
                <w:color w:val="auto"/>
              </w:rPr>
            </w:pPr>
          </w:p>
        </w:tc>
        <w:tc>
          <w:tcPr>
            <w:tcW w:w="1200" w:type="dxa"/>
            <w:vAlign w:val="bottom"/>
            <w:shd w:val="clear" w:color="auto" w:fill="E8E8E8"/>
          </w:tcPr>
          <w:p>
            <w:pPr>
              <w:spacing w:after="0"/>
              <w:rPr>
                <w:sz w:val="10"/>
                <w:szCs w:val="10"/>
                <w:color w:val="auto"/>
              </w:rPr>
            </w:pPr>
          </w:p>
        </w:tc>
        <w:tc>
          <w:tcPr>
            <w:tcW w:w="1440" w:type="dxa"/>
            <w:vAlign w:val="bottom"/>
            <w:shd w:val="clear" w:color="auto" w:fill="E8E8E8"/>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20" w:type="dxa"/>
            <w:vAlign w:val="bottom"/>
            <w:shd w:val="clear" w:color="auto" w:fill="F2F2F2"/>
          </w:tcPr>
          <w:p>
            <w:pPr>
              <w:spacing w:after="0"/>
              <w:rPr>
                <w:sz w:val="7"/>
                <w:szCs w:val="7"/>
                <w:color w:val="auto"/>
              </w:rPr>
            </w:pPr>
          </w:p>
        </w:tc>
        <w:tc>
          <w:tcPr>
            <w:tcW w:w="210" w:type="dxa"/>
            <w:vAlign w:val="bottom"/>
            <w:shd w:val="clear" w:color="auto" w:fill="F2F2F2"/>
          </w:tcPr>
          <w:p>
            <w:pPr>
              <w:spacing w:after="0"/>
              <w:rPr>
                <w:sz w:val="7"/>
                <w:szCs w:val="7"/>
                <w:color w:val="auto"/>
              </w:rPr>
            </w:pPr>
          </w:p>
        </w:tc>
        <w:tc>
          <w:tcPr>
            <w:tcW w:w="170" w:type="dxa"/>
            <w:vAlign w:val="bottom"/>
            <w:shd w:val="clear" w:color="auto" w:fill="F2F2F2"/>
          </w:tcPr>
          <w:p>
            <w:pPr>
              <w:spacing w:after="0"/>
              <w:rPr>
                <w:sz w:val="7"/>
                <w:szCs w:val="7"/>
                <w:color w:val="auto"/>
              </w:rPr>
            </w:pPr>
          </w:p>
        </w:tc>
        <w:tc>
          <w:tcPr>
            <w:tcW w:w="1320" w:type="dxa"/>
            <w:vAlign w:val="bottom"/>
            <w:gridSpan w:val="3"/>
            <w:vMerge w:val="continue"/>
            <w:shd w:val="clear" w:color="auto" w:fill="F2F2F2"/>
          </w:tcPr>
          <w:p>
            <w:pPr>
              <w:spacing w:after="0"/>
              <w:rPr>
                <w:sz w:val="7"/>
                <w:szCs w:val="7"/>
                <w:color w:val="auto"/>
              </w:rPr>
            </w:pPr>
          </w:p>
        </w:tc>
        <w:tc>
          <w:tcPr>
            <w:tcW w:w="2020" w:type="dxa"/>
            <w:vAlign w:val="bottom"/>
            <w:gridSpan w:val="3"/>
            <w:vMerge w:val="continue"/>
            <w:shd w:val="clear" w:color="auto" w:fill="F2F2F2"/>
          </w:tcPr>
          <w:p>
            <w:pPr>
              <w:spacing w:after="0"/>
              <w:rPr>
                <w:sz w:val="7"/>
                <w:szCs w:val="7"/>
                <w:color w:val="auto"/>
              </w:rPr>
            </w:pPr>
          </w:p>
        </w:tc>
        <w:tc>
          <w:tcPr>
            <w:tcW w:w="460" w:type="dxa"/>
            <w:vAlign w:val="bottom"/>
            <w:vMerge w:val="continue"/>
            <w:shd w:val="clear" w:color="auto" w:fill="F2F2F2"/>
          </w:tcPr>
          <w:p>
            <w:pPr>
              <w:spacing w:after="0"/>
              <w:rPr>
                <w:sz w:val="7"/>
                <w:szCs w:val="7"/>
                <w:color w:val="auto"/>
              </w:rPr>
            </w:pPr>
          </w:p>
        </w:tc>
        <w:tc>
          <w:tcPr>
            <w:tcW w:w="760" w:type="dxa"/>
            <w:vAlign w:val="bottom"/>
            <w:shd w:val="clear" w:color="auto" w:fill="F2F2F2"/>
          </w:tcPr>
          <w:p>
            <w:pPr>
              <w:spacing w:after="0"/>
              <w:rPr>
                <w:sz w:val="7"/>
                <w:szCs w:val="7"/>
                <w:color w:val="auto"/>
              </w:rPr>
            </w:pPr>
          </w:p>
        </w:tc>
        <w:tc>
          <w:tcPr>
            <w:tcW w:w="120" w:type="dxa"/>
            <w:vAlign w:val="bottom"/>
            <w:shd w:val="clear" w:color="auto" w:fill="E8E8E8"/>
          </w:tcPr>
          <w:p>
            <w:pPr>
              <w:spacing w:after="0"/>
              <w:rPr>
                <w:sz w:val="7"/>
                <w:szCs w:val="7"/>
                <w:color w:val="auto"/>
              </w:rPr>
            </w:pPr>
          </w:p>
        </w:tc>
        <w:tc>
          <w:tcPr>
            <w:tcW w:w="1800" w:type="dxa"/>
            <w:vAlign w:val="bottom"/>
            <w:shd w:val="clear" w:color="auto" w:fill="E8E8E8"/>
          </w:tcPr>
          <w:p>
            <w:pPr>
              <w:spacing w:after="0"/>
              <w:rPr>
                <w:sz w:val="7"/>
                <w:szCs w:val="7"/>
                <w:color w:val="auto"/>
              </w:rPr>
            </w:pPr>
          </w:p>
        </w:tc>
        <w:tc>
          <w:tcPr>
            <w:tcW w:w="1400" w:type="dxa"/>
            <w:vAlign w:val="bottom"/>
            <w:shd w:val="clear" w:color="auto" w:fill="E8E8E8"/>
          </w:tcPr>
          <w:p>
            <w:pPr>
              <w:spacing w:after="0"/>
              <w:rPr>
                <w:sz w:val="7"/>
                <w:szCs w:val="7"/>
                <w:color w:val="auto"/>
              </w:rPr>
            </w:pPr>
          </w:p>
        </w:tc>
        <w:tc>
          <w:tcPr>
            <w:tcW w:w="1200" w:type="dxa"/>
            <w:vAlign w:val="bottom"/>
            <w:shd w:val="clear" w:color="auto" w:fill="E8E8E8"/>
          </w:tcPr>
          <w:p>
            <w:pPr>
              <w:spacing w:after="0"/>
              <w:rPr>
                <w:sz w:val="7"/>
                <w:szCs w:val="7"/>
                <w:color w:val="auto"/>
              </w:rPr>
            </w:pPr>
          </w:p>
        </w:tc>
        <w:tc>
          <w:tcPr>
            <w:tcW w:w="1440" w:type="dxa"/>
            <w:vAlign w:val="bottom"/>
            <w:shd w:val="clear" w:color="auto" w:fill="E8E8E8"/>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10" w:type="dxa"/>
            <w:vAlign w:val="bottom"/>
            <w:shd w:val="clear" w:color="auto" w:fill="F2F2F2"/>
          </w:tcPr>
          <w:p>
            <w:pPr>
              <w:spacing w:after="0"/>
              <w:rPr>
                <w:sz w:val="17"/>
                <w:szCs w:val="17"/>
                <w:color w:val="auto"/>
              </w:rPr>
            </w:pPr>
          </w:p>
        </w:tc>
        <w:tc>
          <w:tcPr>
            <w:tcW w:w="17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780" w:type="dxa"/>
            <w:vAlign w:val="bottom"/>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2020" w:type="dxa"/>
            <w:vAlign w:val="bottom"/>
            <w:gridSpan w:val="3"/>
            <w:shd w:val="clear" w:color="auto" w:fill="F2F2F2"/>
          </w:tcPr>
          <w:p>
            <w:pPr>
              <w:ind w:left="180"/>
              <w:spacing w:after="0" w:line="202" w:lineRule="exact"/>
              <w:rPr>
                <w:sz w:val="20"/>
                <w:szCs w:val="20"/>
                <w:color w:val="auto"/>
              </w:rPr>
            </w:pPr>
            <w:r>
              <w:rPr>
                <w:rFonts w:ascii="Arial" w:cs="Arial" w:eastAsia="Arial" w:hAnsi="Arial"/>
                <w:sz w:val="18"/>
                <w:szCs w:val="18"/>
                <w:color w:val="auto"/>
              </w:rPr>
              <w:t>Braden R. Kelly</w:t>
            </w:r>
          </w:p>
        </w:tc>
        <w:tc>
          <w:tcPr>
            <w:tcW w:w="46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120" w:type="dxa"/>
            <w:vAlign w:val="bottom"/>
            <w:shd w:val="clear" w:color="auto" w:fill="E8E8E8"/>
          </w:tcPr>
          <w:p>
            <w:pPr>
              <w:spacing w:after="0"/>
              <w:rPr>
                <w:sz w:val="17"/>
                <w:szCs w:val="17"/>
                <w:color w:val="auto"/>
              </w:rPr>
            </w:pPr>
          </w:p>
        </w:tc>
        <w:tc>
          <w:tcPr>
            <w:tcW w:w="5840" w:type="dxa"/>
            <w:vAlign w:val="bottom"/>
            <w:gridSpan w:val="4"/>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 Reviews and approves the level and terms of the executive officers’</w:t>
            </w:r>
          </w:p>
        </w:tc>
        <w:tc>
          <w:tcPr>
            <w:tcW w:w="0" w:type="dxa"/>
            <w:vAlign w:val="bottom"/>
          </w:tcPr>
          <w:p>
            <w:pPr>
              <w:spacing w:after="0"/>
              <w:rPr>
                <w:sz w:val="1"/>
                <w:szCs w:val="1"/>
                <w:color w:val="auto"/>
              </w:rPr>
            </w:pPr>
          </w:p>
        </w:tc>
      </w:tr>
      <w:tr>
        <w:trPr>
          <w:trHeight w:val="239"/>
        </w:trPr>
        <w:tc>
          <w:tcPr>
            <w:tcW w:w="120" w:type="dxa"/>
            <w:vAlign w:val="bottom"/>
            <w:shd w:val="clear" w:color="auto" w:fill="F2F2F2"/>
          </w:tcPr>
          <w:p>
            <w:pPr>
              <w:spacing w:after="0"/>
              <w:rPr>
                <w:sz w:val="20"/>
                <w:szCs w:val="20"/>
                <w:color w:val="auto"/>
              </w:rPr>
            </w:pPr>
          </w:p>
        </w:tc>
        <w:tc>
          <w:tcPr>
            <w:tcW w:w="210" w:type="dxa"/>
            <w:vAlign w:val="bottom"/>
            <w:shd w:val="clear" w:color="auto" w:fill="F2F2F2"/>
          </w:tcPr>
          <w:p>
            <w:pPr>
              <w:spacing w:after="0"/>
              <w:rPr>
                <w:sz w:val="20"/>
                <w:szCs w:val="20"/>
                <w:color w:val="auto"/>
              </w:rPr>
            </w:pPr>
          </w:p>
        </w:tc>
        <w:tc>
          <w:tcPr>
            <w:tcW w:w="17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780" w:type="dxa"/>
            <w:vAlign w:val="bottom"/>
            <w:shd w:val="clear" w:color="auto" w:fill="F2F2F2"/>
          </w:tcPr>
          <w:p>
            <w:pPr>
              <w:spacing w:after="0"/>
              <w:rPr>
                <w:sz w:val="20"/>
                <w:szCs w:val="20"/>
                <w:color w:val="auto"/>
              </w:rPr>
            </w:pPr>
          </w:p>
        </w:tc>
        <w:tc>
          <w:tcPr>
            <w:tcW w:w="420" w:type="dxa"/>
            <w:vAlign w:val="bottom"/>
            <w:shd w:val="clear" w:color="auto" w:fill="F2F2F2"/>
          </w:tcPr>
          <w:p>
            <w:pPr>
              <w:spacing w:after="0"/>
              <w:rPr>
                <w:sz w:val="20"/>
                <w:szCs w:val="20"/>
                <w:color w:val="auto"/>
              </w:rPr>
            </w:pPr>
          </w:p>
        </w:tc>
        <w:tc>
          <w:tcPr>
            <w:tcW w:w="2020" w:type="dxa"/>
            <w:vAlign w:val="bottom"/>
            <w:gridSpan w:val="3"/>
            <w:shd w:val="clear" w:color="auto" w:fill="F2F2F2"/>
          </w:tcPr>
          <w:p>
            <w:pPr>
              <w:ind w:left="180"/>
              <w:spacing w:after="0"/>
              <w:rPr>
                <w:sz w:val="20"/>
                <w:szCs w:val="20"/>
                <w:color w:val="auto"/>
              </w:rPr>
            </w:pPr>
            <w:r>
              <w:rPr>
                <w:rFonts w:ascii="Arial" w:cs="Arial" w:eastAsia="Arial" w:hAnsi="Arial"/>
                <w:sz w:val="18"/>
                <w:szCs w:val="18"/>
                <w:color w:val="auto"/>
              </w:rPr>
              <w:t>Eva Manolis</w:t>
            </w:r>
          </w:p>
        </w:tc>
        <w:tc>
          <w:tcPr>
            <w:tcW w:w="460" w:type="dxa"/>
            <w:vAlign w:val="bottom"/>
            <w:shd w:val="clear" w:color="auto" w:fill="F2F2F2"/>
          </w:tcPr>
          <w:p>
            <w:pPr>
              <w:spacing w:after="0"/>
              <w:rPr>
                <w:sz w:val="20"/>
                <w:szCs w:val="20"/>
                <w:color w:val="auto"/>
              </w:rPr>
            </w:pPr>
          </w:p>
        </w:tc>
        <w:tc>
          <w:tcPr>
            <w:tcW w:w="760" w:type="dxa"/>
            <w:vAlign w:val="bottom"/>
            <w:shd w:val="clear" w:color="auto" w:fill="F2F2F2"/>
          </w:tcPr>
          <w:p>
            <w:pPr>
              <w:spacing w:after="0"/>
              <w:rPr>
                <w:sz w:val="20"/>
                <w:szCs w:val="20"/>
                <w:color w:val="auto"/>
              </w:rPr>
            </w:pPr>
          </w:p>
        </w:tc>
        <w:tc>
          <w:tcPr>
            <w:tcW w:w="120" w:type="dxa"/>
            <w:vAlign w:val="bottom"/>
            <w:shd w:val="clear" w:color="auto" w:fill="E8E8E8"/>
          </w:tcPr>
          <w:p>
            <w:pPr>
              <w:spacing w:after="0"/>
              <w:rPr>
                <w:sz w:val="20"/>
                <w:szCs w:val="20"/>
                <w:color w:val="auto"/>
              </w:rPr>
            </w:pPr>
          </w:p>
        </w:tc>
        <w:tc>
          <w:tcPr>
            <w:tcW w:w="3200" w:type="dxa"/>
            <w:vAlign w:val="bottom"/>
            <w:gridSpan w:val="2"/>
            <w:shd w:val="clear" w:color="auto" w:fill="E8E8E8"/>
          </w:tcPr>
          <w:p>
            <w:pPr>
              <w:ind w:left="200"/>
              <w:spacing w:after="0"/>
              <w:rPr>
                <w:sz w:val="20"/>
                <w:szCs w:val="20"/>
                <w:color w:val="auto"/>
              </w:rPr>
            </w:pPr>
            <w:r>
              <w:rPr>
                <w:rFonts w:ascii="Arial" w:cs="Arial" w:eastAsia="Arial" w:hAnsi="Arial"/>
                <w:sz w:val="18"/>
                <w:szCs w:val="18"/>
                <w:color w:val="auto"/>
              </w:rPr>
              <w:t>annual and long-term compensation</w:t>
            </w:r>
          </w:p>
        </w:tc>
        <w:tc>
          <w:tcPr>
            <w:tcW w:w="1200" w:type="dxa"/>
            <w:vAlign w:val="bottom"/>
            <w:shd w:val="clear" w:color="auto" w:fill="E8E8E8"/>
          </w:tcPr>
          <w:p>
            <w:pPr>
              <w:spacing w:after="0"/>
              <w:rPr>
                <w:sz w:val="20"/>
                <w:szCs w:val="20"/>
                <w:color w:val="auto"/>
              </w:rPr>
            </w:pPr>
          </w:p>
        </w:tc>
        <w:tc>
          <w:tcPr>
            <w:tcW w:w="1440" w:type="dxa"/>
            <w:vAlign w:val="bottom"/>
            <w:shd w:val="clear" w:color="auto" w:fill="E8E8E8"/>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20" w:type="dxa"/>
            <w:vAlign w:val="bottom"/>
            <w:shd w:val="clear" w:color="auto" w:fill="F2F2F2"/>
          </w:tcPr>
          <w:p>
            <w:pPr>
              <w:spacing w:after="0"/>
              <w:rPr>
                <w:sz w:val="23"/>
                <w:szCs w:val="23"/>
                <w:color w:val="auto"/>
              </w:rPr>
            </w:pPr>
          </w:p>
        </w:tc>
        <w:tc>
          <w:tcPr>
            <w:tcW w:w="210" w:type="dxa"/>
            <w:vAlign w:val="bottom"/>
            <w:shd w:val="clear" w:color="auto" w:fill="F2F2F2"/>
          </w:tcPr>
          <w:p>
            <w:pPr>
              <w:spacing w:after="0"/>
              <w:rPr>
                <w:sz w:val="23"/>
                <w:szCs w:val="23"/>
                <w:color w:val="auto"/>
              </w:rPr>
            </w:pPr>
          </w:p>
        </w:tc>
        <w:tc>
          <w:tcPr>
            <w:tcW w:w="170" w:type="dxa"/>
            <w:vAlign w:val="bottom"/>
            <w:shd w:val="clear" w:color="auto" w:fill="F2F2F2"/>
          </w:tcPr>
          <w:p>
            <w:pPr>
              <w:spacing w:after="0"/>
              <w:rPr>
                <w:sz w:val="23"/>
                <w:szCs w:val="23"/>
                <w:color w:val="auto"/>
              </w:rPr>
            </w:pPr>
          </w:p>
        </w:tc>
        <w:tc>
          <w:tcPr>
            <w:tcW w:w="120" w:type="dxa"/>
            <w:vAlign w:val="bottom"/>
            <w:shd w:val="clear" w:color="auto" w:fill="F2F2F2"/>
          </w:tcPr>
          <w:p>
            <w:pPr>
              <w:spacing w:after="0"/>
              <w:rPr>
                <w:sz w:val="23"/>
                <w:szCs w:val="23"/>
                <w:color w:val="auto"/>
              </w:rPr>
            </w:pPr>
          </w:p>
        </w:tc>
        <w:tc>
          <w:tcPr>
            <w:tcW w:w="780" w:type="dxa"/>
            <w:vAlign w:val="bottom"/>
            <w:shd w:val="clear" w:color="auto" w:fill="F2F2F2"/>
          </w:tcPr>
          <w:p>
            <w:pPr>
              <w:spacing w:after="0"/>
              <w:rPr>
                <w:sz w:val="23"/>
                <w:szCs w:val="23"/>
                <w:color w:val="auto"/>
              </w:rPr>
            </w:pPr>
          </w:p>
        </w:tc>
        <w:tc>
          <w:tcPr>
            <w:tcW w:w="420" w:type="dxa"/>
            <w:vAlign w:val="bottom"/>
            <w:shd w:val="clear" w:color="auto" w:fill="F2F2F2"/>
          </w:tcPr>
          <w:p>
            <w:pPr>
              <w:spacing w:after="0"/>
              <w:rPr>
                <w:sz w:val="23"/>
                <w:szCs w:val="23"/>
                <w:color w:val="auto"/>
              </w:rPr>
            </w:pPr>
          </w:p>
        </w:tc>
        <w:tc>
          <w:tcPr>
            <w:tcW w:w="760" w:type="dxa"/>
            <w:vAlign w:val="bottom"/>
            <w:shd w:val="clear" w:color="auto" w:fill="F2F2F2"/>
          </w:tcPr>
          <w:p>
            <w:pPr>
              <w:spacing w:after="0"/>
              <w:rPr>
                <w:sz w:val="23"/>
                <w:szCs w:val="23"/>
                <w:color w:val="auto"/>
              </w:rPr>
            </w:pPr>
          </w:p>
        </w:tc>
        <w:tc>
          <w:tcPr>
            <w:tcW w:w="820" w:type="dxa"/>
            <w:vAlign w:val="bottom"/>
            <w:shd w:val="clear" w:color="auto" w:fill="F2F2F2"/>
          </w:tcPr>
          <w:p>
            <w:pPr>
              <w:spacing w:after="0"/>
              <w:rPr>
                <w:sz w:val="23"/>
                <w:szCs w:val="23"/>
                <w:color w:val="auto"/>
              </w:rPr>
            </w:pPr>
          </w:p>
        </w:tc>
        <w:tc>
          <w:tcPr>
            <w:tcW w:w="440" w:type="dxa"/>
            <w:vAlign w:val="bottom"/>
            <w:shd w:val="clear" w:color="auto" w:fill="F2F2F2"/>
          </w:tcPr>
          <w:p>
            <w:pPr>
              <w:spacing w:after="0"/>
              <w:rPr>
                <w:sz w:val="23"/>
                <w:szCs w:val="23"/>
                <w:color w:val="auto"/>
              </w:rPr>
            </w:pPr>
          </w:p>
        </w:tc>
        <w:tc>
          <w:tcPr>
            <w:tcW w:w="460" w:type="dxa"/>
            <w:vAlign w:val="bottom"/>
            <w:shd w:val="clear" w:color="auto" w:fill="F2F2F2"/>
          </w:tcPr>
          <w:p>
            <w:pPr>
              <w:spacing w:after="0"/>
              <w:rPr>
                <w:sz w:val="23"/>
                <w:szCs w:val="23"/>
                <w:color w:val="auto"/>
              </w:rPr>
            </w:pPr>
          </w:p>
        </w:tc>
        <w:tc>
          <w:tcPr>
            <w:tcW w:w="760" w:type="dxa"/>
            <w:vAlign w:val="bottom"/>
            <w:shd w:val="clear" w:color="auto" w:fill="F2F2F2"/>
          </w:tcPr>
          <w:p>
            <w:pPr>
              <w:ind w:left="480"/>
              <w:spacing w:after="0"/>
              <w:rPr>
                <w:sz w:val="20"/>
                <w:szCs w:val="20"/>
                <w:color w:val="auto"/>
              </w:rPr>
            </w:pPr>
            <w:r>
              <w:rPr>
                <w:rFonts w:ascii="Arial" w:cs="Arial" w:eastAsia="Arial" w:hAnsi="Arial"/>
                <w:sz w:val="18"/>
                <w:szCs w:val="18"/>
                <w:color w:val="auto"/>
              </w:rPr>
              <w:t xml:space="preserve">   </w:t>
            </w:r>
          </w:p>
        </w:tc>
        <w:tc>
          <w:tcPr>
            <w:tcW w:w="120" w:type="dxa"/>
            <w:vAlign w:val="bottom"/>
            <w:shd w:val="clear" w:color="auto" w:fill="E8E8E8"/>
          </w:tcPr>
          <w:p>
            <w:pPr>
              <w:spacing w:after="0"/>
              <w:rPr>
                <w:sz w:val="23"/>
                <w:szCs w:val="23"/>
                <w:color w:val="auto"/>
              </w:rPr>
            </w:pPr>
          </w:p>
        </w:tc>
        <w:tc>
          <w:tcPr>
            <w:tcW w:w="5840" w:type="dxa"/>
            <w:vAlign w:val="bottom"/>
            <w:gridSpan w:val="4"/>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 Evaluates the performance of the CEO and other executive officers of</w:t>
            </w:r>
          </w:p>
        </w:tc>
        <w:tc>
          <w:tcPr>
            <w:tcW w:w="0" w:type="dxa"/>
            <w:vAlign w:val="bottom"/>
          </w:tcPr>
          <w:p>
            <w:pPr>
              <w:spacing w:after="0"/>
              <w:rPr>
                <w:sz w:val="1"/>
                <w:szCs w:val="1"/>
                <w:color w:val="auto"/>
              </w:rPr>
            </w:pPr>
          </w:p>
        </w:tc>
      </w:tr>
      <w:tr>
        <w:trPr>
          <w:trHeight w:val="261"/>
        </w:trPr>
        <w:tc>
          <w:tcPr>
            <w:tcW w:w="120" w:type="dxa"/>
            <w:vAlign w:val="bottom"/>
            <w:shd w:val="clear" w:color="auto" w:fill="F2F2F2"/>
          </w:tcPr>
          <w:p>
            <w:pPr>
              <w:spacing w:after="0"/>
              <w:rPr>
                <w:sz w:val="22"/>
                <w:szCs w:val="22"/>
                <w:color w:val="auto"/>
              </w:rPr>
            </w:pPr>
          </w:p>
        </w:tc>
        <w:tc>
          <w:tcPr>
            <w:tcW w:w="210" w:type="dxa"/>
            <w:vAlign w:val="bottom"/>
            <w:shd w:val="clear" w:color="auto" w:fill="F2F2F2"/>
          </w:tcPr>
          <w:p>
            <w:pPr>
              <w:spacing w:after="0"/>
              <w:rPr>
                <w:sz w:val="22"/>
                <w:szCs w:val="22"/>
                <w:color w:val="auto"/>
              </w:rPr>
            </w:pPr>
          </w:p>
        </w:tc>
        <w:tc>
          <w:tcPr>
            <w:tcW w:w="1490" w:type="dxa"/>
            <w:vAlign w:val="bottom"/>
            <w:gridSpan w:val="4"/>
            <w:vMerge w:val="restart"/>
            <w:shd w:val="clear" w:color="auto" w:fill="F2F2F2"/>
          </w:tcPr>
          <w:p>
            <w:pPr>
              <w:ind w:left="130"/>
              <w:spacing w:after="0"/>
              <w:rPr>
                <w:sz w:val="20"/>
                <w:szCs w:val="20"/>
                <w:color w:val="auto"/>
              </w:rPr>
            </w:pPr>
            <w:r>
              <w:rPr>
                <w:rFonts w:ascii="Arial" w:cs="Arial" w:eastAsia="Arial" w:hAnsi="Arial"/>
                <w:sz w:val="18"/>
                <w:szCs w:val="18"/>
                <w:b w:val="1"/>
                <w:bCs w:val="1"/>
                <w:color w:val="376DB5"/>
              </w:rPr>
              <w:t>Independence</w:t>
            </w:r>
          </w:p>
        </w:tc>
        <w:tc>
          <w:tcPr>
            <w:tcW w:w="760" w:type="dxa"/>
            <w:vAlign w:val="bottom"/>
            <w:shd w:val="clear" w:color="auto" w:fill="F2F2F2"/>
          </w:tcPr>
          <w:p>
            <w:pPr>
              <w:spacing w:after="0"/>
              <w:rPr>
                <w:sz w:val="22"/>
                <w:szCs w:val="22"/>
                <w:color w:val="auto"/>
              </w:rPr>
            </w:pPr>
          </w:p>
        </w:tc>
        <w:tc>
          <w:tcPr>
            <w:tcW w:w="820" w:type="dxa"/>
            <w:vAlign w:val="bottom"/>
            <w:shd w:val="clear" w:color="auto" w:fill="F2F2F2"/>
          </w:tcPr>
          <w:p>
            <w:pPr>
              <w:spacing w:after="0"/>
              <w:rPr>
                <w:sz w:val="22"/>
                <w:szCs w:val="22"/>
                <w:color w:val="auto"/>
              </w:rPr>
            </w:pPr>
          </w:p>
        </w:tc>
        <w:tc>
          <w:tcPr>
            <w:tcW w:w="440" w:type="dxa"/>
            <w:vAlign w:val="bottom"/>
            <w:shd w:val="clear" w:color="auto" w:fill="F2F2F2"/>
          </w:tcPr>
          <w:p>
            <w:pPr>
              <w:spacing w:after="0"/>
              <w:rPr>
                <w:sz w:val="22"/>
                <w:szCs w:val="22"/>
                <w:color w:val="auto"/>
              </w:rPr>
            </w:pPr>
          </w:p>
        </w:tc>
        <w:tc>
          <w:tcPr>
            <w:tcW w:w="460" w:type="dxa"/>
            <w:vAlign w:val="bottom"/>
            <w:shd w:val="clear" w:color="auto" w:fill="F2F2F2"/>
          </w:tcPr>
          <w:p>
            <w:pPr>
              <w:spacing w:after="0"/>
              <w:rPr>
                <w:sz w:val="22"/>
                <w:szCs w:val="22"/>
                <w:color w:val="auto"/>
              </w:rPr>
            </w:pPr>
          </w:p>
        </w:tc>
        <w:tc>
          <w:tcPr>
            <w:tcW w:w="760" w:type="dxa"/>
            <w:vAlign w:val="bottom"/>
            <w:shd w:val="clear" w:color="auto" w:fill="F2F2F2"/>
          </w:tcPr>
          <w:p>
            <w:pPr>
              <w:spacing w:after="0"/>
              <w:rPr>
                <w:sz w:val="22"/>
                <w:szCs w:val="22"/>
                <w:color w:val="auto"/>
              </w:rPr>
            </w:pPr>
          </w:p>
        </w:tc>
        <w:tc>
          <w:tcPr>
            <w:tcW w:w="120" w:type="dxa"/>
            <w:vAlign w:val="bottom"/>
            <w:shd w:val="clear" w:color="auto" w:fill="E8E8E8"/>
          </w:tcPr>
          <w:p>
            <w:pPr>
              <w:spacing w:after="0"/>
              <w:rPr>
                <w:sz w:val="22"/>
                <w:szCs w:val="22"/>
                <w:color w:val="auto"/>
              </w:rPr>
            </w:pPr>
          </w:p>
        </w:tc>
        <w:tc>
          <w:tcPr>
            <w:tcW w:w="1800" w:type="dxa"/>
            <w:vAlign w:val="bottom"/>
            <w:shd w:val="clear" w:color="auto" w:fill="E8E8E8"/>
          </w:tcPr>
          <w:p>
            <w:pPr>
              <w:ind w:left="200"/>
              <w:spacing w:after="0"/>
              <w:rPr>
                <w:sz w:val="20"/>
                <w:szCs w:val="20"/>
                <w:color w:val="auto"/>
              </w:rPr>
            </w:pPr>
            <w:r>
              <w:rPr>
                <w:rFonts w:ascii="Arial" w:cs="Arial" w:eastAsia="Arial" w:hAnsi="Arial"/>
                <w:sz w:val="18"/>
                <w:szCs w:val="18"/>
                <w:color w:val="auto"/>
              </w:rPr>
              <w:t>the Company</w:t>
            </w:r>
          </w:p>
        </w:tc>
        <w:tc>
          <w:tcPr>
            <w:tcW w:w="1400" w:type="dxa"/>
            <w:vAlign w:val="bottom"/>
            <w:shd w:val="clear" w:color="auto" w:fill="E8E8E8"/>
          </w:tcPr>
          <w:p>
            <w:pPr>
              <w:spacing w:after="0"/>
              <w:rPr>
                <w:sz w:val="22"/>
                <w:szCs w:val="22"/>
                <w:color w:val="auto"/>
              </w:rPr>
            </w:pPr>
          </w:p>
        </w:tc>
        <w:tc>
          <w:tcPr>
            <w:tcW w:w="1200" w:type="dxa"/>
            <w:vAlign w:val="bottom"/>
            <w:shd w:val="clear" w:color="auto" w:fill="E8E8E8"/>
          </w:tcPr>
          <w:p>
            <w:pPr>
              <w:spacing w:after="0"/>
              <w:rPr>
                <w:sz w:val="22"/>
                <w:szCs w:val="22"/>
                <w:color w:val="auto"/>
              </w:rPr>
            </w:pPr>
          </w:p>
        </w:tc>
        <w:tc>
          <w:tcPr>
            <w:tcW w:w="1440" w:type="dxa"/>
            <w:vAlign w:val="bottom"/>
            <w:shd w:val="clear" w:color="auto" w:fill="E8E8E8"/>
          </w:tcPr>
          <w:p>
            <w:pPr>
              <w:spacing w:after="0"/>
              <w:rPr>
                <w:sz w:val="22"/>
                <w:szCs w:val="22"/>
                <w:color w:val="auto"/>
              </w:rPr>
            </w:pPr>
          </w:p>
        </w:tc>
        <w:tc>
          <w:tcPr>
            <w:tcW w:w="0" w:type="dxa"/>
            <w:vAlign w:val="bottom"/>
          </w:tcPr>
          <w:p>
            <w:pPr>
              <w:spacing w:after="0"/>
              <w:rPr>
                <w:sz w:val="1"/>
                <w:szCs w:val="1"/>
                <w:color w:val="auto"/>
              </w:rPr>
            </w:pPr>
          </w:p>
        </w:tc>
      </w:tr>
      <w:tr>
        <w:trPr>
          <w:trHeight w:val="85"/>
        </w:trPr>
        <w:tc>
          <w:tcPr>
            <w:tcW w:w="120" w:type="dxa"/>
            <w:vAlign w:val="bottom"/>
            <w:shd w:val="clear" w:color="auto" w:fill="F2F2F2"/>
          </w:tcPr>
          <w:p>
            <w:pPr>
              <w:spacing w:after="0"/>
              <w:rPr>
                <w:sz w:val="7"/>
                <w:szCs w:val="7"/>
                <w:color w:val="auto"/>
              </w:rPr>
            </w:pPr>
          </w:p>
        </w:tc>
        <w:tc>
          <w:tcPr>
            <w:tcW w:w="210" w:type="dxa"/>
            <w:vAlign w:val="bottom"/>
            <w:shd w:val="clear" w:color="auto" w:fill="F2F2F2"/>
          </w:tcPr>
          <w:p>
            <w:pPr>
              <w:spacing w:after="0"/>
              <w:rPr>
                <w:sz w:val="7"/>
                <w:szCs w:val="7"/>
                <w:color w:val="auto"/>
              </w:rPr>
            </w:pPr>
          </w:p>
        </w:tc>
        <w:tc>
          <w:tcPr>
            <w:tcW w:w="1490" w:type="dxa"/>
            <w:vAlign w:val="bottom"/>
            <w:gridSpan w:val="4"/>
            <w:vMerge w:val="continue"/>
            <w:shd w:val="clear" w:color="auto" w:fill="F2F2F2"/>
          </w:tcPr>
          <w:p>
            <w:pPr>
              <w:spacing w:after="0"/>
              <w:rPr>
                <w:sz w:val="7"/>
                <w:szCs w:val="7"/>
                <w:color w:val="auto"/>
              </w:rPr>
            </w:pPr>
          </w:p>
        </w:tc>
        <w:tc>
          <w:tcPr>
            <w:tcW w:w="760" w:type="dxa"/>
            <w:vAlign w:val="bottom"/>
            <w:shd w:val="clear" w:color="auto" w:fill="F2F2F2"/>
          </w:tcPr>
          <w:p>
            <w:pPr>
              <w:spacing w:after="0"/>
              <w:rPr>
                <w:sz w:val="7"/>
                <w:szCs w:val="7"/>
                <w:color w:val="auto"/>
              </w:rPr>
            </w:pPr>
          </w:p>
        </w:tc>
        <w:tc>
          <w:tcPr>
            <w:tcW w:w="820" w:type="dxa"/>
            <w:vAlign w:val="bottom"/>
            <w:shd w:val="clear" w:color="auto" w:fill="F2F2F2"/>
          </w:tcPr>
          <w:p>
            <w:pPr>
              <w:spacing w:after="0"/>
              <w:rPr>
                <w:sz w:val="7"/>
                <w:szCs w:val="7"/>
                <w:color w:val="auto"/>
              </w:rPr>
            </w:pPr>
          </w:p>
        </w:tc>
        <w:tc>
          <w:tcPr>
            <w:tcW w:w="440" w:type="dxa"/>
            <w:vAlign w:val="bottom"/>
            <w:shd w:val="clear" w:color="auto" w:fill="F2F2F2"/>
          </w:tcPr>
          <w:p>
            <w:pPr>
              <w:spacing w:after="0"/>
              <w:rPr>
                <w:sz w:val="7"/>
                <w:szCs w:val="7"/>
                <w:color w:val="auto"/>
              </w:rPr>
            </w:pPr>
          </w:p>
        </w:tc>
        <w:tc>
          <w:tcPr>
            <w:tcW w:w="460" w:type="dxa"/>
            <w:vAlign w:val="bottom"/>
            <w:shd w:val="clear" w:color="auto" w:fill="F2F2F2"/>
          </w:tcPr>
          <w:p>
            <w:pPr>
              <w:spacing w:after="0"/>
              <w:rPr>
                <w:sz w:val="7"/>
                <w:szCs w:val="7"/>
                <w:color w:val="auto"/>
              </w:rPr>
            </w:pPr>
          </w:p>
        </w:tc>
        <w:tc>
          <w:tcPr>
            <w:tcW w:w="760" w:type="dxa"/>
            <w:vAlign w:val="bottom"/>
            <w:shd w:val="clear" w:color="auto" w:fill="F2F2F2"/>
          </w:tcPr>
          <w:p>
            <w:pPr>
              <w:spacing w:after="0"/>
              <w:rPr>
                <w:sz w:val="7"/>
                <w:szCs w:val="7"/>
                <w:color w:val="auto"/>
              </w:rPr>
            </w:pPr>
          </w:p>
        </w:tc>
        <w:tc>
          <w:tcPr>
            <w:tcW w:w="120" w:type="dxa"/>
            <w:vAlign w:val="bottom"/>
            <w:shd w:val="clear" w:color="auto" w:fill="E8E8E8"/>
          </w:tcPr>
          <w:p>
            <w:pPr>
              <w:spacing w:after="0"/>
              <w:rPr>
                <w:sz w:val="7"/>
                <w:szCs w:val="7"/>
                <w:color w:val="auto"/>
              </w:rPr>
            </w:pPr>
          </w:p>
        </w:tc>
        <w:tc>
          <w:tcPr>
            <w:tcW w:w="1800" w:type="dxa"/>
            <w:vAlign w:val="bottom"/>
            <w:shd w:val="clear" w:color="auto" w:fill="E8E8E8"/>
          </w:tcPr>
          <w:p>
            <w:pPr>
              <w:spacing w:after="0"/>
              <w:rPr>
                <w:sz w:val="7"/>
                <w:szCs w:val="7"/>
                <w:color w:val="auto"/>
              </w:rPr>
            </w:pPr>
          </w:p>
        </w:tc>
        <w:tc>
          <w:tcPr>
            <w:tcW w:w="1400" w:type="dxa"/>
            <w:vAlign w:val="bottom"/>
            <w:shd w:val="clear" w:color="auto" w:fill="E8E8E8"/>
          </w:tcPr>
          <w:p>
            <w:pPr>
              <w:spacing w:after="0"/>
              <w:rPr>
                <w:sz w:val="7"/>
                <w:szCs w:val="7"/>
                <w:color w:val="auto"/>
              </w:rPr>
            </w:pPr>
          </w:p>
        </w:tc>
        <w:tc>
          <w:tcPr>
            <w:tcW w:w="1200" w:type="dxa"/>
            <w:vAlign w:val="bottom"/>
            <w:shd w:val="clear" w:color="auto" w:fill="E8E8E8"/>
          </w:tcPr>
          <w:p>
            <w:pPr>
              <w:spacing w:after="0"/>
              <w:rPr>
                <w:sz w:val="7"/>
                <w:szCs w:val="7"/>
                <w:color w:val="auto"/>
              </w:rPr>
            </w:pPr>
          </w:p>
        </w:tc>
        <w:tc>
          <w:tcPr>
            <w:tcW w:w="1440" w:type="dxa"/>
            <w:vAlign w:val="bottom"/>
            <w:shd w:val="clear" w:color="auto" w:fill="E8E8E8"/>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10" w:type="dxa"/>
            <w:vAlign w:val="bottom"/>
            <w:shd w:val="clear" w:color="auto" w:fill="F2F2F2"/>
          </w:tcPr>
          <w:p>
            <w:pPr>
              <w:spacing w:after="0"/>
              <w:rPr>
                <w:sz w:val="17"/>
                <w:szCs w:val="17"/>
                <w:color w:val="auto"/>
              </w:rPr>
            </w:pPr>
          </w:p>
        </w:tc>
        <w:tc>
          <w:tcPr>
            <w:tcW w:w="4730" w:type="dxa"/>
            <w:vAlign w:val="bottom"/>
            <w:gridSpan w:val="9"/>
            <w:shd w:val="clear" w:color="auto" w:fill="F2F2F2"/>
          </w:tcPr>
          <w:p>
            <w:pPr>
              <w:ind w:left="130"/>
              <w:spacing w:after="0" w:line="202" w:lineRule="exact"/>
              <w:rPr>
                <w:sz w:val="20"/>
                <w:szCs w:val="20"/>
                <w:color w:val="auto"/>
              </w:rPr>
            </w:pPr>
            <w:r>
              <w:rPr>
                <w:rFonts w:ascii="Arial" w:cs="Arial" w:eastAsia="Arial" w:hAnsi="Arial"/>
                <w:sz w:val="18"/>
                <w:szCs w:val="18"/>
                <w:color w:val="auto"/>
              </w:rPr>
              <w:t>Each member of the Leadership Development and</w:t>
            </w:r>
          </w:p>
        </w:tc>
        <w:tc>
          <w:tcPr>
            <w:tcW w:w="120" w:type="dxa"/>
            <w:vAlign w:val="bottom"/>
            <w:shd w:val="clear" w:color="auto" w:fill="E8E8E8"/>
          </w:tcPr>
          <w:p>
            <w:pPr>
              <w:spacing w:after="0"/>
              <w:rPr>
                <w:sz w:val="17"/>
                <w:szCs w:val="17"/>
                <w:color w:val="auto"/>
              </w:rPr>
            </w:pPr>
          </w:p>
        </w:tc>
        <w:tc>
          <w:tcPr>
            <w:tcW w:w="5840" w:type="dxa"/>
            <w:vAlign w:val="bottom"/>
            <w:gridSpan w:val="4"/>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 Administers the Company’s long-term incentive plans, as well as</w:t>
            </w: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10" w:type="dxa"/>
            <w:vAlign w:val="bottom"/>
            <w:shd w:val="clear" w:color="auto" w:fill="F2F2F2"/>
          </w:tcPr>
          <w:p>
            <w:pPr>
              <w:spacing w:after="0"/>
              <w:rPr>
                <w:sz w:val="17"/>
                <w:szCs w:val="17"/>
                <w:color w:val="auto"/>
              </w:rPr>
            </w:pPr>
          </w:p>
        </w:tc>
        <w:tc>
          <w:tcPr>
            <w:tcW w:w="4730" w:type="dxa"/>
            <w:vAlign w:val="bottom"/>
            <w:gridSpan w:val="9"/>
            <w:shd w:val="clear" w:color="auto" w:fill="F2F2F2"/>
          </w:tcPr>
          <w:p>
            <w:pPr>
              <w:ind w:left="130"/>
              <w:spacing w:after="0" w:line="202" w:lineRule="exact"/>
              <w:rPr>
                <w:sz w:val="20"/>
                <w:szCs w:val="20"/>
                <w:color w:val="auto"/>
              </w:rPr>
            </w:pPr>
            <w:r>
              <w:rPr>
                <w:rFonts w:ascii="Arial" w:cs="Arial" w:eastAsia="Arial" w:hAnsi="Arial"/>
                <w:sz w:val="18"/>
                <w:szCs w:val="18"/>
                <w:color w:val="auto"/>
              </w:rPr>
              <w:t>Compensation  Committee  is  independent  as</w:t>
            </w:r>
          </w:p>
        </w:tc>
        <w:tc>
          <w:tcPr>
            <w:tcW w:w="120" w:type="dxa"/>
            <w:vAlign w:val="bottom"/>
            <w:shd w:val="clear" w:color="auto" w:fill="E8E8E8"/>
          </w:tcPr>
          <w:p>
            <w:pPr>
              <w:spacing w:after="0"/>
              <w:rPr>
                <w:sz w:val="17"/>
                <w:szCs w:val="17"/>
                <w:color w:val="auto"/>
              </w:rPr>
            </w:pPr>
          </w:p>
        </w:tc>
        <w:tc>
          <w:tcPr>
            <w:tcW w:w="5840" w:type="dxa"/>
            <w:vAlign w:val="bottom"/>
            <w:gridSpan w:val="4"/>
            <w:shd w:val="clear" w:color="auto" w:fill="E8E8E8"/>
          </w:tcPr>
          <w:p>
            <w:pPr>
              <w:ind w:left="200"/>
              <w:spacing w:after="0" w:line="202" w:lineRule="exact"/>
              <w:rPr>
                <w:sz w:val="20"/>
                <w:szCs w:val="20"/>
                <w:color w:val="auto"/>
              </w:rPr>
            </w:pPr>
            <w:r>
              <w:rPr>
                <w:rFonts w:ascii="Arial" w:cs="Arial" w:eastAsia="Arial" w:hAnsi="Arial"/>
                <w:sz w:val="18"/>
                <w:szCs w:val="18"/>
                <w:color w:val="auto"/>
              </w:rPr>
              <w:t>makes recommendations to the Board of Directors regarding the</w:t>
            </w:r>
          </w:p>
        </w:tc>
        <w:tc>
          <w:tcPr>
            <w:tcW w:w="0" w:type="dxa"/>
            <w:vAlign w:val="bottom"/>
          </w:tcPr>
          <w:p>
            <w:pPr>
              <w:spacing w:after="0"/>
              <w:rPr>
                <w:sz w:val="1"/>
                <w:szCs w:val="1"/>
                <w:color w:val="auto"/>
              </w:rPr>
            </w:pPr>
          </w:p>
        </w:tc>
      </w:tr>
      <w:tr>
        <w:trPr>
          <w:trHeight w:val="239"/>
        </w:trPr>
        <w:tc>
          <w:tcPr>
            <w:tcW w:w="120" w:type="dxa"/>
            <w:vAlign w:val="bottom"/>
            <w:shd w:val="clear" w:color="auto" w:fill="F2F2F2"/>
          </w:tcPr>
          <w:p>
            <w:pPr>
              <w:spacing w:after="0"/>
              <w:rPr>
                <w:sz w:val="20"/>
                <w:szCs w:val="20"/>
                <w:color w:val="auto"/>
              </w:rPr>
            </w:pPr>
          </w:p>
        </w:tc>
        <w:tc>
          <w:tcPr>
            <w:tcW w:w="210" w:type="dxa"/>
            <w:vAlign w:val="bottom"/>
            <w:shd w:val="clear" w:color="auto" w:fill="F2F2F2"/>
          </w:tcPr>
          <w:p>
            <w:pPr>
              <w:spacing w:after="0"/>
              <w:rPr>
                <w:sz w:val="20"/>
                <w:szCs w:val="20"/>
                <w:color w:val="auto"/>
              </w:rPr>
            </w:pPr>
          </w:p>
        </w:tc>
        <w:tc>
          <w:tcPr>
            <w:tcW w:w="3510" w:type="dxa"/>
            <w:vAlign w:val="bottom"/>
            <w:gridSpan w:val="7"/>
            <w:shd w:val="clear" w:color="auto" w:fill="F2F2F2"/>
          </w:tcPr>
          <w:p>
            <w:pPr>
              <w:ind w:left="130"/>
              <w:spacing w:after="0"/>
              <w:rPr>
                <w:sz w:val="20"/>
                <w:szCs w:val="20"/>
                <w:color w:val="auto"/>
              </w:rPr>
            </w:pPr>
            <w:r>
              <w:rPr>
                <w:rFonts w:ascii="Arial" w:cs="Arial" w:eastAsia="Arial" w:hAnsi="Arial"/>
                <w:sz w:val="18"/>
                <w:szCs w:val="18"/>
                <w:color w:val="auto"/>
              </w:rPr>
              <w:t>required by the NYSE listing rules.</w:t>
            </w:r>
          </w:p>
        </w:tc>
        <w:tc>
          <w:tcPr>
            <w:tcW w:w="460" w:type="dxa"/>
            <w:vAlign w:val="bottom"/>
            <w:shd w:val="clear" w:color="auto" w:fill="F2F2F2"/>
          </w:tcPr>
          <w:p>
            <w:pPr>
              <w:spacing w:after="0"/>
              <w:rPr>
                <w:sz w:val="20"/>
                <w:szCs w:val="20"/>
                <w:color w:val="auto"/>
              </w:rPr>
            </w:pPr>
          </w:p>
        </w:tc>
        <w:tc>
          <w:tcPr>
            <w:tcW w:w="760" w:type="dxa"/>
            <w:vAlign w:val="bottom"/>
            <w:shd w:val="clear" w:color="auto" w:fill="F2F2F2"/>
          </w:tcPr>
          <w:p>
            <w:pPr>
              <w:spacing w:after="0"/>
              <w:rPr>
                <w:sz w:val="20"/>
                <w:szCs w:val="20"/>
                <w:color w:val="auto"/>
              </w:rPr>
            </w:pPr>
          </w:p>
        </w:tc>
        <w:tc>
          <w:tcPr>
            <w:tcW w:w="120" w:type="dxa"/>
            <w:vAlign w:val="bottom"/>
            <w:shd w:val="clear" w:color="auto" w:fill="E8E8E8"/>
          </w:tcPr>
          <w:p>
            <w:pPr>
              <w:spacing w:after="0"/>
              <w:rPr>
                <w:sz w:val="20"/>
                <w:szCs w:val="20"/>
                <w:color w:val="auto"/>
              </w:rPr>
            </w:pPr>
          </w:p>
        </w:tc>
        <w:tc>
          <w:tcPr>
            <w:tcW w:w="3200" w:type="dxa"/>
            <w:vAlign w:val="bottom"/>
            <w:gridSpan w:val="2"/>
            <w:shd w:val="clear" w:color="auto" w:fill="E8E8E8"/>
          </w:tcPr>
          <w:p>
            <w:pPr>
              <w:ind w:left="200"/>
              <w:spacing w:after="0"/>
              <w:rPr>
                <w:sz w:val="20"/>
                <w:szCs w:val="20"/>
                <w:color w:val="auto"/>
              </w:rPr>
            </w:pPr>
            <w:r>
              <w:rPr>
                <w:rFonts w:ascii="Arial" w:cs="Arial" w:eastAsia="Arial" w:hAnsi="Arial"/>
                <w:sz w:val="18"/>
                <w:szCs w:val="18"/>
                <w:color w:val="auto"/>
              </w:rPr>
              <w:t>adoption of other incentive plans</w:t>
            </w:r>
          </w:p>
        </w:tc>
        <w:tc>
          <w:tcPr>
            <w:tcW w:w="1200" w:type="dxa"/>
            <w:vAlign w:val="bottom"/>
            <w:shd w:val="clear" w:color="auto" w:fill="E8E8E8"/>
          </w:tcPr>
          <w:p>
            <w:pPr>
              <w:spacing w:after="0"/>
              <w:rPr>
                <w:sz w:val="20"/>
                <w:szCs w:val="20"/>
                <w:color w:val="auto"/>
              </w:rPr>
            </w:pPr>
          </w:p>
        </w:tc>
        <w:tc>
          <w:tcPr>
            <w:tcW w:w="1440" w:type="dxa"/>
            <w:vAlign w:val="bottom"/>
            <w:shd w:val="clear" w:color="auto" w:fill="E8E8E8"/>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20" w:type="dxa"/>
            <w:vAlign w:val="bottom"/>
            <w:shd w:val="clear" w:color="auto" w:fill="F2F2F2"/>
          </w:tcPr>
          <w:p>
            <w:pPr>
              <w:spacing w:after="0"/>
              <w:rPr>
                <w:sz w:val="24"/>
                <w:szCs w:val="24"/>
                <w:color w:val="auto"/>
              </w:rPr>
            </w:pPr>
          </w:p>
        </w:tc>
        <w:tc>
          <w:tcPr>
            <w:tcW w:w="210" w:type="dxa"/>
            <w:vAlign w:val="bottom"/>
            <w:shd w:val="clear" w:color="auto" w:fill="F2F2F2"/>
          </w:tcPr>
          <w:p>
            <w:pPr>
              <w:spacing w:after="0"/>
              <w:rPr>
                <w:sz w:val="24"/>
                <w:szCs w:val="24"/>
                <w:color w:val="auto"/>
              </w:rPr>
            </w:pPr>
          </w:p>
        </w:tc>
        <w:tc>
          <w:tcPr>
            <w:tcW w:w="17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780" w:type="dxa"/>
            <w:vAlign w:val="bottom"/>
            <w:shd w:val="clear" w:color="auto" w:fill="F2F2F2"/>
          </w:tcPr>
          <w:p>
            <w:pPr>
              <w:spacing w:after="0"/>
              <w:rPr>
                <w:sz w:val="24"/>
                <w:szCs w:val="24"/>
                <w:color w:val="auto"/>
              </w:rPr>
            </w:pPr>
          </w:p>
        </w:tc>
        <w:tc>
          <w:tcPr>
            <w:tcW w:w="420" w:type="dxa"/>
            <w:vAlign w:val="bottom"/>
            <w:shd w:val="clear" w:color="auto" w:fill="F2F2F2"/>
          </w:tcPr>
          <w:p>
            <w:pPr>
              <w:spacing w:after="0"/>
              <w:rPr>
                <w:sz w:val="24"/>
                <w:szCs w:val="24"/>
                <w:color w:val="auto"/>
              </w:rPr>
            </w:pPr>
          </w:p>
        </w:tc>
        <w:tc>
          <w:tcPr>
            <w:tcW w:w="760" w:type="dxa"/>
            <w:vAlign w:val="bottom"/>
            <w:shd w:val="clear" w:color="auto" w:fill="F2F2F2"/>
          </w:tcPr>
          <w:p>
            <w:pPr>
              <w:spacing w:after="0"/>
              <w:rPr>
                <w:sz w:val="24"/>
                <w:szCs w:val="24"/>
                <w:color w:val="auto"/>
              </w:rPr>
            </w:pPr>
          </w:p>
        </w:tc>
        <w:tc>
          <w:tcPr>
            <w:tcW w:w="820" w:type="dxa"/>
            <w:vAlign w:val="bottom"/>
            <w:shd w:val="clear" w:color="auto" w:fill="F2F2F2"/>
          </w:tcPr>
          <w:p>
            <w:pPr>
              <w:spacing w:after="0"/>
              <w:rPr>
                <w:sz w:val="24"/>
                <w:szCs w:val="24"/>
                <w:color w:val="auto"/>
              </w:rPr>
            </w:pPr>
          </w:p>
        </w:tc>
        <w:tc>
          <w:tcPr>
            <w:tcW w:w="440" w:type="dxa"/>
            <w:vAlign w:val="bottom"/>
            <w:shd w:val="clear" w:color="auto" w:fill="F2F2F2"/>
          </w:tcPr>
          <w:p>
            <w:pPr>
              <w:spacing w:after="0"/>
              <w:rPr>
                <w:sz w:val="24"/>
                <w:szCs w:val="24"/>
                <w:color w:val="auto"/>
              </w:rPr>
            </w:pPr>
          </w:p>
        </w:tc>
        <w:tc>
          <w:tcPr>
            <w:tcW w:w="460" w:type="dxa"/>
            <w:vAlign w:val="bottom"/>
            <w:shd w:val="clear" w:color="auto" w:fill="F2F2F2"/>
          </w:tcPr>
          <w:p>
            <w:pPr>
              <w:spacing w:after="0"/>
              <w:rPr>
                <w:sz w:val="24"/>
                <w:szCs w:val="24"/>
                <w:color w:val="auto"/>
              </w:rPr>
            </w:pPr>
          </w:p>
        </w:tc>
        <w:tc>
          <w:tcPr>
            <w:tcW w:w="760" w:type="dxa"/>
            <w:vAlign w:val="bottom"/>
            <w:shd w:val="clear" w:color="auto" w:fill="F2F2F2"/>
          </w:tcPr>
          <w:p>
            <w:pPr>
              <w:spacing w:after="0"/>
              <w:rPr>
                <w:sz w:val="24"/>
                <w:szCs w:val="24"/>
                <w:color w:val="auto"/>
              </w:rPr>
            </w:pPr>
          </w:p>
        </w:tc>
        <w:tc>
          <w:tcPr>
            <w:tcW w:w="120" w:type="dxa"/>
            <w:vAlign w:val="bottom"/>
            <w:shd w:val="clear" w:color="auto" w:fill="E8E8E8"/>
          </w:tcPr>
          <w:p>
            <w:pPr>
              <w:spacing w:after="0"/>
              <w:rPr>
                <w:sz w:val="24"/>
                <w:szCs w:val="24"/>
                <w:color w:val="auto"/>
              </w:rPr>
            </w:pPr>
          </w:p>
        </w:tc>
        <w:tc>
          <w:tcPr>
            <w:tcW w:w="5840" w:type="dxa"/>
            <w:vAlign w:val="bottom"/>
            <w:gridSpan w:val="4"/>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 Makes recommendations to the Governance, Nominating and</w:t>
            </w:r>
          </w:p>
        </w:tc>
        <w:tc>
          <w:tcPr>
            <w:tcW w:w="0" w:type="dxa"/>
            <w:vAlign w:val="bottom"/>
          </w:tcPr>
          <w:p>
            <w:pPr>
              <w:spacing w:after="0"/>
              <w:rPr>
                <w:sz w:val="1"/>
                <w:szCs w:val="1"/>
                <w:color w:val="auto"/>
              </w:rPr>
            </w:pPr>
          </w:p>
        </w:tc>
      </w:tr>
      <w:tr>
        <w:trPr>
          <w:trHeight w:val="235"/>
        </w:trPr>
        <w:tc>
          <w:tcPr>
            <w:tcW w:w="120" w:type="dxa"/>
            <w:vAlign w:val="bottom"/>
            <w:shd w:val="clear" w:color="auto" w:fill="F2F2F2"/>
          </w:tcPr>
          <w:p>
            <w:pPr>
              <w:spacing w:after="0"/>
              <w:rPr>
                <w:sz w:val="20"/>
                <w:szCs w:val="20"/>
                <w:color w:val="auto"/>
              </w:rPr>
            </w:pPr>
          </w:p>
        </w:tc>
        <w:tc>
          <w:tcPr>
            <w:tcW w:w="210" w:type="dxa"/>
            <w:vAlign w:val="bottom"/>
            <w:shd w:val="clear" w:color="auto" w:fill="F2F2F2"/>
          </w:tcPr>
          <w:p>
            <w:pPr>
              <w:spacing w:after="0"/>
              <w:rPr>
                <w:sz w:val="20"/>
                <w:szCs w:val="20"/>
                <w:color w:val="auto"/>
              </w:rPr>
            </w:pPr>
          </w:p>
        </w:tc>
        <w:tc>
          <w:tcPr>
            <w:tcW w:w="3510" w:type="dxa"/>
            <w:vAlign w:val="bottom"/>
            <w:gridSpan w:val="7"/>
            <w:shd w:val="clear" w:color="auto" w:fill="F2F2F2"/>
          </w:tcPr>
          <w:p>
            <w:pPr>
              <w:ind w:left="130"/>
              <w:spacing w:after="0"/>
              <w:rPr>
                <w:sz w:val="20"/>
                <w:szCs w:val="20"/>
                <w:color w:val="auto"/>
              </w:rPr>
            </w:pPr>
            <w:r>
              <w:rPr>
                <w:rFonts w:ascii="Arial" w:cs="Arial" w:eastAsia="Arial" w:hAnsi="Arial"/>
                <w:sz w:val="18"/>
                <w:szCs w:val="18"/>
                <w:b w:val="1"/>
                <w:bCs w:val="1"/>
                <w:color w:val="376DB5"/>
              </w:rPr>
              <w:t>Interlocks and Insider Participation</w:t>
            </w:r>
          </w:p>
        </w:tc>
        <w:tc>
          <w:tcPr>
            <w:tcW w:w="460" w:type="dxa"/>
            <w:vAlign w:val="bottom"/>
            <w:shd w:val="clear" w:color="auto" w:fill="F2F2F2"/>
          </w:tcPr>
          <w:p>
            <w:pPr>
              <w:spacing w:after="0"/>
              <w:rPr>
                <w:sz w:val="20"/>
                <w:szCs w:val="20"/>
                <w:color w:val="auto"/>
              </w:rPr>
            </w:pPr>
          </w:p>
        </w:tc>
        <w:tc>
          <w:tcPr>
            <w:tcW w:w="760" w:type="dxa"/>
            <w:vAlign w:val="bottom"/>
            <w:shd w:val="clear" w:color="auto" w:fill="F2F2F2"/>
          </w:tcPr>
          <w:p>
            <w:pPr>
              <w:spacing w:after="0"/>
              <w:rPr>
                <w:sz w:val="20"/>
                <w:szCs w:val="20"/>
                <w:color w:val="auto"/>
              </w:rPr>
            </w:pPr>
          </w:p>
        </w:tc>
        <w:tc>
          <w:tcPr>
            <w:tcW w:w="120" w:type="dxa"/>
            <w:vAlign w:val="bottom"/>
            <w:shd w:val="clear" w:color="auto" w:fill="E8E8E8"/>
          </w:tcPr>
          <w:p>
            <w:pPr>
              <w:spacing w:after="0"/>
              <w:rPr>
                <w:sz w:val="20"/>
                <w:szCs w:val="20"/>
                <w:color w:val="auto"/>
              </w:rPr>
            </w:pPr>
          </w:p>
        </w:tc>
        <w:tc>
          <w:tcPr>
            <w:tcW w:w="5840" w:type="dxa"/>
            <w:vAlign w:val="bottom"/>
            <w:gridSpan w:val="4"/>
            <w:shd w:val="clear" w:color="auto" w:fill="E8E8E8"/>
          </w:tcPr>
          <w:p>
            <w:pPr>
              <w:ind w:left="200"/>
              <w:spacing w:after="0"/>
              <w:rPr>
                <w:sz w:val="20"/>
                <w:szCs w:val="20"/>
                <w:color w:val="auto"/>
              </w:rPr>
            </w:pPr>
            <w:r>
              <w:rPr>
                <w:rFonts w:ascii="Arial" w:cs="Arial" w:eastAsia="Arial" w:hAnsi="Arial"/>
                <w:sz w:val="18"/>
                <w:szCs w:val="18"/>
                <w:color w:val="auto"/>
              </w:rPr>
              <w:t>Executive Committee with respect to the form and amount of director</w:t>
            </w: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10" w:type="dxa"/>
            <w:vAlign w:val="bottom"/>
            <w:shd w:val="clear" w:color="auto" w:fill="F2F2F2"/>
          </w:tcPr>
          <w:p>
            <w:pPr>
              <w:spacing w:after="0"/>
              <w:rPr>
                <w:sz w:val="17"/>
                <w:szCs w:val="17"/>
                <w:color w:val="auto"/>
              </w:rPr>
            </w:pPr>
          </w:p>
        </w:tc>
        <w:tc>
          <w:tcPr>
            <w:tcW w:w="3510" w:type="dxa"/>
            <w:vAlign w:val="bottom"/>
            <w:gridSpan w:val="7"/>
            <w:shd w:val="clear" w:color="auto" w:fill="F2F2F2"/>
          </w:tcPr>
          <w:p>
            <w:pPr>
              <w:ind w:left="130"/>
              <w:spacing w:after="0" w:line="202" w:lineRule="exact"/>
              <w:rPr>
                <w:sz w:val="20"/>
                <w:szCs w:val="20"/>
                <w:color w:val="auto"/>
              </w:rPr>
            </w:pPr>
            <w:r>
              <w:rPr>
                <w:rFonts w:ascii="Arial" w:cs="Arial" w:eastAsia="Arial" w:hAnsi="Arial"/>
                <w:sz w:val="18"/>
                <w:szCs w:val="18"/>
                <w:color w:val="auto"/>
              </w:rPr>
              <w:t>None of the members of the Leadership</w:t>
            </w:r>
          </w:p>
        </w:tc>
        <w:tc>
          <w:tcPr>
            <w:tcW w:w="46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120" w:type="dxa"/>
            <w:vAlign w:val="bottom"/>
            <w:shd w:val="clear" w:color="auto" w:fill="E8E8E8"/>
          </w:tcPr>
          <w:p>
            <w:pPr>
              <w:spacing w:after="0"/>
              <w:rPr>
                <w:sz w:val="17"/>
                <w:szCs w:val="17"/>
                <w:color w:val="auto"/>
              </w:rPr>
            </w:pPr>
          </w:p>
        </w:tc>
        <w:tc>
          <w:tcPr>
            <w:tcW w:w="5840" w:type="dxa"/>
            <w:vAlign w:val="bottom"/>
            <w:gridSpan w:val="4"/>
            <w:shd w:val="clear" w:color="auto" w:fill="E8E8E8"/>
          </w:tcPr>
          <w:p>
            <w:pPr>
              <w:ind w:left="200"/>
              <w:spacing w:after="0" w:line="202" w:lineRule="exact"/>
              <w:rPr>
                <w:sz w:val="20"/>
                <w:szCs w:val="20"/>
                <w:color w:val="auto"/>
              </w:rPr>
            </w:pPr>
            <w:r>
              <w:rPr>
                <w:rFonts w:ascii="Arial" w:cs="Arial" w:eastAsia="Arial" w:hAnsi="Arial"/>
                <w:sz w:val="18"/>
                <w:szCs w:val="18"/>
                <w:color w:val="auto"/>
              </w:rPr>
              <w:t>compensation, and, jointly with the Governance, Nominating and</w:t>
            </w: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10" w:type="dxa"/>
            <w:vAlign w:val="bottom"/>
            <w:shd w:val="clear" w:color="auto" w:fill="F2F2F2"/>
          </w:tcPr>
          <w:p>
            <w:pPr>
              <w:spacing w:after="0"/>
              <w:rPr>
                <w:sz w:val="17"/>
                <w:szCs w:val="17"/>
                <w:color w:val="auto"/>
              </w:rPr>
            </w:pPr>
          </w:p>
        </w:tc>
        <w:tc>
          <w:tcPr>
            <w:tcW w:w="4730" w:type="dxa"/>
            <w:vAlign w:val="bottom"/>
            <w:gridSpan w:val="9"/>
            <w:shd w:val="clear" w:color="auto" w:fill="F2F2F2"/>
          </w:tcPr>
          <w:p>
            <w:pPr>
              <w:ind w:left="130"/>
              <w:spacing w:after="0" w:line="202" w:lineRule="exact"/>
              <w:rPr>
                <w:sz w:val="20"/>
                <w:szCs w:val="20"/>
                <w:color w:val="auto"/>
              </w:rPr>
            </w:pPr>
            <w:r>
              <w:rPr>
                <w:rFonts w:ascii="Arial" w:cs="Arial" w:eastAsia="Arial" w:hAnsi="Arial"/>
                <w:sz w:val="18"/>
                <w:szCs w:val="18"/>
                <w:color w:val="auto"/>
              </w:rPr>
              <w:t>Development and Compensation Committee serves</w:t>
            </w:r>
          </w:p>
        </w:tc>
        <w:tc>
          <w:tcPr>
            <w:tcW w:w="120" w:type="dxa"/>
            <w:vAlign w:val="bottom"/>
            <w:shd w:val="clear" w:color="auto" w:fill="E8E8E8"/>
          </w:tcPr>
          <w:p>
            <w:pPr>
              <w:spacing w:after="0"/>
              <w:rPr>
                <w:sz w:val="17"/>
                <w:szCs w:val="17"/>
                <w:color w:val="auto"/>
              </w:rPr>
            </w:pPr>
          </w:p>
        </w:tc>
        <w:tc>
          <w:tcPr>
            <w:tcW w:w="5840" w:type="dxa"/>
            <w:vAlign w:val="bottom"/>
            <w:gridSpan w:val="4"/>
            <w:shd w:val="clear" w:color="auto" w:fill="E8E8E8"/>
          </w:tcPr>
          <w:p>
            <w:pPr>
              <w:ind w:left="200"/>
              <w:spacing w:after="0" w:line="202" w:lineRule="exact"/>
              <w:rPr>
                <w:sz w:val="20"/>
                <w:szCs w:val="20"/>
                <w:color w:val="auto"/>
              </w:rPr>
            </w:pPr>
            <w:r>
              <w:rPr>
                <w:rFonts w:ascii="Arial" w:cs="Arial" w:eastAsia="Arial" w:hAnsi="Arial"/>
                <w:sz w:val="18"/>
                <w:szCs w:val="18"/>
                <w:color w:val="auto"/>
              </w:rPr>
              <w:t>Executive Committee, recommends changes in director</w:t>
            </w:r>
          </w:p>
        </w:tc>
        <w:tc>
          <w:tcPr>
            <w:tcW w:w="0" w:type="dxa"/>
            <w:vAlign w:val="bottom"/>
          </w:tcPr>
          <w:p>
            <w:pPr>
              <w:spacing w:after="0"/>
              <w:rPr>
                <w:sz w:val="1"/>
                <w:szCs w:val="1"/>
                <w:color w:val="auto"/>
              </w:rPr>
            </w:pPr>
          </w:p>
        </w:tc>
      </w:tr>
      <w:tr>
        <w:trPr>
          <w:trHeight w:val="224"/>
        </w:trPr>
        <w:tc>
          <w:tcPr>
            <w:tcW w:w="120" w:type="dxa"/>
            <w:vAlign w:val="bottom"/>
            <w:shd w:val="clear" w:color="auto" w:fill="F2F2F2"/>
          </w:tcPr>
          <w:p>
            <w:pPr>
              <w:spacing w:after="0"/>
              <w:rPr>
                <w:sz w:val="19"/>
                <w:szCs w:val="19"/>
                <w:color w:val="auto"/>
              </w:rPr>
            </w:pPr>
          </w:p>
        </w:tc>
        <w:tc>
          <w:tcPr>
            <w:tcW w:w="210" w:type="dxa"/>
            <w:vAlign w:val="bottom"/>
            <w:shd w:val="clear" w:color="auto" w:fill="F2F2F2"/>
          </w:tcPr>
          <w:p>
            <w:pPr>
              <w:spacing w:after="0"/>
              <w:rPr>
                <w:sz w:val="19"/>
                <w:szCs w:val="19"/>
                <w:color w:val="auto"/>
              </w:rPr>
            </w:pPr>
          </w:p>
        </w:tc>
        <w:tc>
          <w:tcPr>
            <w:tcW w:w="4730" w:type="dxa"/>
            <w:vAlign w:val="bottom"/>
            <w:gridSpan w:val="9"/>
            <w:shd w:val="clear" w:color="auto" w:fill="F2F2F2"/>
          </w:tcPr>
          <w:p>
            <w:pPr>
              <w:ind w:left="130"/>
              <w:spacing w:after="0"/>
              <w:rPr>
                <w:sz w:val="20"/>
                <w:szCs w:val="20"/>
                <w:color w:val="auto"/>
              </w:rPr>
            </w:pPr>
            <w:r>
              <w:rPr>
                <w:rFonts w:ascii="Arial" w:cs="Arial" w:eastAsia="Arial" w:hAnsi="Arial"/>
                <w:sz w:val="18"/>
                <w:szCs w:val="18"/>
                <w:color w:val="auto"/>
              </w:rPr>
              <w:t>or has served as an officer or employee of FICO.</w:t>
            </w:r>
          </w:p>
        </w:tc>
        <w:tc>
          <w:tcPr>
            <w:tcW w:w="120" w:type="dxa"/>
            <w:vAlign w:val="bottom"/>
            <w:shd w:val="clear" w:color="auto" w:fill="E8E8E8"/>
          </w:tcPr>
          <w:p>
            <w:pPr>
              <w:spacing w:after="0"/>
              <w:rPr>
                <w:sz w:val="19"/>
                <w:szCs w:val="19"/>
                <w:color w:val="auto"/>
              </w:rPr>
            </w:pPr>
          </w:p>
        </w:tc>
        <w:tc>
          <w:tcPr>
            <w:tcW w:w="3200" w:type="dxa"/>
            <w:vAlign w:val="bottom"/>
            <w:gridSpan w:val="2"/>
            <w:shd w:val="clear" w:color="auto" w:fill="E8E8E8"/>
          </w:tcPr>
          <w:p>
            <w:pPr>
              <w:ind w:left="200"/>
              <w:spacing w:after="0"/>
              <w:rPr>
                <w:sz w:val="20"/>
                <w:szCs w:val="20"/>
                <w:color w:val="auto"/>
              </w:rPr>
            </w:pPr>
            <w:r>
              <w:rPr>
                <w:rFonts w:ascii="Arial" w:cs="Arial" w:eastAsia="Arial" w:hAnsi="Arial"/>
                <w:sz w:val="18"/>
                <w:szCs w:val="18"/>
                <w:color w:val="auto"/>
              </w:rPr>
              <w:t>compensation to the Board</w:t>
            </w:r>
          </w:p>
        </w:tc>
        <w:tc>
          <w:tcPr>
            <w:tcW w:w="1200" w:type="dxa"/>
            <w:vAlign w:val="bottom"/>
            <w:shd w:val="clear" w:color="auto" w:fill="E8E8E8"/>
          </w:tcPr>
          <w:p>
            <w:pPr>
              <w:spacing w:after="0"/>
              <w:rPr>
                <w:sz w:val="19"/>
                <w:szCs w:val="19"/>
                <w:color w:val="auto"/>
              </w:rPr>
            </w:pPr>
          </w:p>
        </w:tc>
        <w:tc>
          <w:tcPr>
            <w:tcW w:w="1440" w:type="dxa"/>
            <w:vAlign w:val="bottom"/>
            <w:shd w:val="clear" w:color="auto" w:fill="E8E8E8"/>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10" w:type="dxa"/>
            <w:vAlign w:val="bottom"/>
            <w:shd w:val="clear" w:color="auto" w:fill="F2F2F2"/>
          </w:tcPr>
          <w:p>
            <w:pPr>
              <w:spacing w:after="0"/>
              <w:rPr>
                <w:sz w:val="17"/>
                <w:szCs w:val="17"/>
                <w:color w:val="auto"/>
              </w:rPr>
            </w:pPr>
          </w:p>
        </w:tc>
        <w:tc>
          <w:tcPr>
            <w:tcW w:w="4730" w:type="dxa"/>
            <w:vAlign w:val="bottom"/>
            <w:gridSpan w:val="9"/>
            <w:shd w:val="clear" w:color="auto" w:fill="F2F2F2"/>
          </w:tcPr>
          <w:p>
            <w:pPr>
              <w:ind w:left="130"/>
              <w:spacing w:after="0" w:line="202" w:lineRule="exact"/>
              <w:rPr>
                <w:sz w:val="20"/>
                <w:szCs w:val="20"/>
                <w:color w:val="auto"/>
              </w:rPr>
            </w:pPr>
            <w:r>
              <w:rPr>
                <w:rFonts w:ascii="Arial" w:cs="Arial" w:eastAsia="Arial" w:hAnsi="Arial"/>
                <w:sz w:val="18"/>
                <w:szCs w:val="18"/>
                <w:color w:val="auto"/>
              </w:rPr>
              <w:t>None of our executive officers serves or has served</w:t>
            </w:r>
          </w:p>
        </w:tc>
        <w:tc>
          <w:tcPr>
            <w:tcW w:w="120" w:type="dxa"/>
            <w:vAlign w:val="bottom"/>
            <w:shd w:val="clear" w:color="auto" w:fill="E8E8E8"/>
          </w:tcPr>
          <w:p>
            <w:pPr>
              <w:spacing w:after="0"/>
              <w:rPr>
                <w:sz w:val="17"/>
                <w:szCs w:val="17"/>
                <w:color w:val="auto"/>
              </w:rPr>
            </w:pPr>
          </w:p>
        </w:tc>
        <w:tc>
          <w:tcPr>
            <w:tcW w:w="5840" w:type="dxa"/>
            <w:vAlign w:val="bottom"/>
            <w:gridSpan w:val="4"/>
            <w:vMerge w:val="restart"/>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 Monitors compliance by directors and officers with the Company’s</w:t>
            </w:r>
          </w:p>
        </w:tc>
        <w:tc>
          <w:tcPr>
            <w:tcW w:w="0" w:type="dxa"/>
            <w:vAlign w:val="bottom"/>
          </w:tcPr>
          <w:p>
            <w:pPr>
              <w:spacing w:after="0"/>
              <w:rPr>
                <w:sz w:val="1"/>
                <w:szCs w:val="1"/>
                <w:color w:val="auto"/>
              </w:rPr>
            </w:pPr>
          </w:p>
        </w:tc>
      </w:tr>
      <w:tr>
        <w:trPr>
          <w:trHeight w:val="68"/>
        </w:trPr>
        <w:tc>
          <w:tcPr>
            <w:tcW w:w="120" w:type="dxa"/>
            <w:vAlign w:val="bottom"/>
            <w:shd w:val="clear" w:color="auto" w:fill="F2F2F2"/>
          </w:tcPr>
          <w:p>
            <w:pPr>
              <w:spacing w:after="0"/>
              <w:rPr>
                <w:sz w:val="5"/>
                <w:szCs w:val="5"/>
                <w:color w:val="auto"/>
              </w:rPr>
            </w:pPr>
          </w:p>
        </w:tc>
        <w:tc>
          <w:tcPr>
            <w:tcW w:w="210" w:type="dxa"/>
            <w:vAlign w:val="bottom"/>
            <w:shd w:val="clear" w:color="auto" w:fill="F2F2F2"/>
          </w:tcPr>
          <w:p>
            <w:pPr>
              <w:spacing w:after="0"/>
              <w:rPr>
                <w:sz w:val="5"/>
                <w:szCs w:val="5"/>
                <w:color w:val="auto"/>
              </w:rPr>
            </w:pPr>
          </w:p>
        </w:tc>
        <w:tc>
          <w:tcPr>
            <w:tcW w:w="3510" w:type="dxa"/>
            <w:vAlign w:val="bottom"/>
            <w:gridSpan w:val="7"/>
            <w:vMerge w:val="restart"/>
            <w:shd w:val="clear" w:color="auto" w:fill="F2F2F2"/>
          </w:tcPr>
          <w:p>
            <w:pPr>
              <w:ind w:left="130"/>
              <w:spacing w:after="0" w:line="202" w:lineRule="exact"/>
              <w:rPr>
                <w:sz w:val="20"/>
                <w:szCs w:val="20"/>
                <w:color w:val="auto"/>
              </w:rPr>
            </w:pPr>
            <w:r>
              <w:rPr>
                <w:rFonts w:ascii="Arial" w:cs="Arial" w:eastAsia="Arial" w:hAnsi="Arial"/>
                <w:sz w:val="18"/>
                <w:szCs w:val="18"/>
                <w:color w:val="auto"/>
              </w:rPr>
              <w:t>on the board of directors or compensation</w:t>
            </w:r>
          </w:p>
        </w:tc>
        <w:tc>
          <w:tcPr>
            <w:tcW w:w="460" w:type="dxa"/>
            <w:vAlign w:val="bottom"/>
            <w:shd w:val="clear" w:color="auto" w:fill="F2F2F2"/>
          </w:tcPr>
          <w:p>
            <w:pPr>
              <w:spacing w:after="0"/>
              <w:rPr>
                <w:sz w:val="5"/>
                <w:szCs w:val="5"/>
                <w:color w:val="auto"/>
              </w:rPr>
            </w:pPr>
          </w:p>
        </w:tc>
        <w:tc>
          <w:tcPr>
            <w:tcW w:w="760" w:type="dxa"/>
            <w:vAlign w:val="bottom"/>
            <w:shd w:val="clear" w:color="auto" w:fill="F2F2F2"/>
          </w:tcPr>
          <w:p>
            <w:pPr>
              <w:spacing w:after="0"/>
              <w:rPr>
                <w:sz w:val="5"/>
                <w:szCs w:val="5"/>
                <w:color w:val="auto"/>
              </w:rPr>
            </w:pPr>
          </w:p>
        </w:tc>
        <w:tc>
          <w:tcPr>
            <w:tcW w:w="120" w:type="dxa"/>
            <w:vAlign w:val="bottom"/>
            <w:shd w:val="clear" w:color="auto" w:fill="E8E8E8"/>
          </w:tcPr>
          <w:p>
            <w:pPr>
              <w:spacing w:after="0"/>
              <w:rPr>
                <w:sz w:val="5"/>
                <w:szCs w:val="5"/>
                <w:color w:val="auto"/>
              </w:rPr>
            </w:pPr>
          </w:p>
        </w:tc>
        <w:tc>
          <w:tcPr>
            <w:tcW w:w="5840" w:type="dxa"/>
            <w:vAlign w:val="bottom"/>
            <w:gridSpan w:val="4"/>
            <w:vMerge w:val="continue"/>
            <w:shd w:val="clear" w:color="auto" w:fill="E8E8E8"/>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20" w:type="dxa"/>
            <w:vAlign w:val="bottom"/>
            <w:shd w:val="clear" w:color="auto" w:fill="F2F2F2"/>
          </w:tcPr>
          <w:p>
            <w:pPr>
              <w:spacing w:after="0"/>
              <w:rPr>
                <w:sz w:val="11"/>
                <w:szCs w:val="11"/>
                <w:color w:val="auto"/>
              </w:rPr>
            </w:pPr>
          </w:p>
        </w:tc>
        <w:tc>
          <w:tcPr>
            <w:tcW w:w="210" w:type="dxa"/>
            <w:vAlign w:val="bottom"/>
            <w:shd w:val="clear" w:color="auto" w:fill="F2F2F2"/>
          </w:tcPr>
          <w:p>
            <w:pPr>
              <w:spacing w:after="0"/>
              <w:rPr>
                <w:sz w:val="11"/>
                <w:szCs w:val="11"/>
                <w:color w:val="auto"/>
              </w:rPr>
            </w:pPr>
          </w:p>
        </w:tc>
        <w:tc>
          <w:tcPr>
            <w:tcW w:w="3510" w:type="dxa"/>
            <w:vAlign w:val="bottom"/>
            <w:gridSpan w:val="7"/>
            <w:vMerge w:val="continue"/>
            <w:shd w:val="clear" w:color="auto" w:fill="F2F2F2"/>
          </w:tcPr>
          <w:p>
            <w:pPr>
              <w:spacing w:after="0"/>
              <w:rPr>
                <w:sz w:val="11"/>
                <w:szCs w:val="11"/>
                <w:color w:val="auto"/>
              </w:rPr>
            </w:pPr>
          </w:p>
        </w:tc>
        <w:tc>
          <w:tcPr>
            <w:tcW w:w="460" w:type="dxa"/>
            <w:vAlign w:val="bottom"/>
            <w:shd w:val="clear" w:color="auto" w:fill="F2F2F2"/>
          </w:tcPr>
          <w:p>
            <w:pPr>
              <w:spacing w:after="0"/>
              <w:rPr>
                <w:sz w:val="11"/>
                <w:szCs w:val="11"/>
                <w:color w:val="auto"/>
              </w:rPr>
            </w:pPr>
          </w:p>
        </w:tc>
        <w:tc>
          <w:tcPr>
            <w:tcW w:w="760" w:type="dxa"/>
            <w:vAlign w:val="bottom"/>
            <w:shd w:val="clear" w:color="auto" w:fill="F2F2F2"/>
          </w:tcPr>
          <w:p>
            <w:pPr>
              <w:spacing w:after="0"/>
              <w:rPr>
                <w:sz w:val="11"/>
                <w:szCs w:val="11"/>
                <w:color w:val="auto"/>
              </w:rPr>
            </w:pPr>
          </w:p>
        </w:tc>
        <w:tc>
          <w:tcPr>
            <w:tcW w:w="120" w:type="dxa"/>
            <w:vAlign w:val="bottom"/>
            <w:shd w:val="clear" w:color="auto" w:fill="E8E8E8"/>
          </w:tcPr>
          <w:p>
            <w:pPr>
              <w:spacing w:after="0"/>
              <w:rPr>
                <w:sz w:val="11"/>
                <w:szCs w:val="11"/>
                <w:color w:val="auto"/>
              </w:rPr>
            </w:pPr>
          </w:p>
        </w:tc>
        <w:tc>
          <w:tcPr>
            <w:tcW w:w="3200" w:type="dxa"/>
            <w:vAlign w:val="bottom"/>
            <w:gridSpan w:val="2"/>
            <w:vMerge w:val="restart"/>
            <w:shd w:val="clear" w:color="auto" w:fill="E8E8E8"/>
          </w:tcPr>
          <w:p>
            <w:pPr>
              <w:ind w:left="200"/>
              <w:spacing w:after="0"/>
              <w:rPr>
                <w:sz w:val="20"/>
                <w:szCs w:val="20"/>
                <w:color w:val="auto"/>
              </w:rPr>
            </w:pPr>
            <w:r>
              <w:rPr>
                <w:rFonts w:ascii="Arial" w:cs="Arial" w:eastAsia="Arial" w:hAnsi="Arial"/>
                <w:sz w:val="18"/>
                <w:szCs w:val="18"/>
                <w:color w:val="auto"/>
              </w:rPr>
              <w:t>stock ownership guidelines</w:t>
            </w:r>
          </w:p>
        </w:tc>
        <w:tc>
          <w:tcPr>
            <w:tcW w:w="1200" w:type="dxa"/>
            <w:vAlign w:val="bottom"/>
            <w:shd w:val="clear" w:color="auto" w:fill="E8E8E8"/>
          </w:tcPr>
          <w:p>
            <w:pPr>
              <w:spacing w:after="0"/>
              <w:rPr>
                <w:sz w:val="11"/>
                <w:szCs w:val="11"/>
                <w:color w:val="auto"/>
              </w:rPr>
            </w:pPr>
          </w:p>
        </w:tc>
        <w:tc>
          <w:tcPr>
            <w:tcW w:w="1440" w:type="dxa"/>
            <w:vAlign w:val="bottom"/>
            <w:shd w:val="clear" w:color="auto" w:fill="E8E8E8"/>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20" w:type="dxa"/>
            <w:vAlign w:val="bottom"/>
            <w:shd w:val="clear" w:color="auto" w:fill="F2F2F2"/>
          </w:tcPr>
          <w:p>
            <w:pPr>
              <w:spacing w:after="0"/>
              <w:rPr>
                <w:sz w:val="9"/>
                <w:szCs w:val="9"/>
                <w:color w:val="auto"/>
              </w:rPr>
            </w:pPr>
          </w:p>
        </w:tc>
        <w:tc>
          <w:tcPr>
            <w:tcW w:w="210" w:type="dxa"/>
            <w:vAlign w:val="bottom"/>
            <w:shd w:val="clear" w:color="auto" w:fill="F2F2F2"/>
          </w:tcPr>
          <w:p>
            <w:pPr>
              <w:spacing w:after="0"/>
              <w:rPr>
                <w:sz w:val="9"/>
                <w:szCs w:val="9"/>
                <w:color w:val="auto"/>
              </w:rPr>
            </w:pPr>
          </w:p>
        </w:tc>
        <w:tc>
          <w:tcPr>
            <w:tcW w:w="4730" w:type="dxa"/>
            <w:vAlign w:val="bottom"/>
            <w:gridSpan w:val="9"/>
            <w:vMerge w:val="restart"/>
            <w:shd w:val="clear" w:color="auto" w:fill="F2F2F2"/>
          </w:tcPr>
          <w:p>
            <w:pPr>
              <w:ind w:left="130"/>
              <w:spacing w:after="0" w:line="202" w:lineRule="exact"/>
              <w:rPr>
                <w:sz w:val="20"/>
                <w:szCs w:val="20"/>
                <w:color w:val="auto"/>
              </w:rPr>
            </w:pPr>
            <w:r>
              <w:rPr>
                <w:rFonts w:ascii="Arial" w:cs="Arial" w:eastAsia="Arial" w:hAnsi="Arial"/>
                <w:sz w:val="18"/>
                <w:szCs w:val="18"/>
                <w:color w:val="auto"/>
              </w:rPr>
              <w:t>committee of another entity that has an executive</w:t>
            </w:r>
          </w:p>
        </w:tc>
        <w:tc>
          <w:tcPr>
            <w:tcW w:w="120" w:type="dxa"/>
            <w:vAlign w:val="bottom"/>
            <w:shd w:val="clear" w:color="auto" w:fill="E8E8E8"/>
          </w:tcPr>
          <w:p>
            <w:pPr>
              <w:spacing w:after="0"/>
              <w:rPr>
                <w:sz w:val="9"/>
                <w:szCs w:val="9"/>
                <w:color w:val="auto"/>
              </w:rPr>
            </w:pPr>
          </w:p>
        </w:tc>
        <w:tc>
          <w:tcPr>
            <w:tcW w:w="3200" w:type="dxa"/>
            <w:vAlign w:val="bottom"/>
            <w:gridSpan w:val="2"/>
            <w:vMerge w:val="continue"/>
            <w:shd w:val="clear" w:color="auto" w:fill="E8E8E8"/>
          </w:tcPr>
          <w:p>
            <w:pPr>
              <w:spacing w:after="0"/>
              <w:rPr>
                <w:sz w:val="9"/>
                <w:szCs w:val="9"/>
                <w:color w:val="auto"/>
              </w:rPr>
            </w:pPr>
          </w:p>
        </w:tc>
        <w:tc>
          <w:tcPr>
            <w:tcW w:w="1200" w:type="dxa"/>
            <w:vAlign w:val="bottom"/>
            <w:shd w:val="clear" w:color="auto" w:fill="E8E8E8"/>
          </w:tcPr>
          <w:p>
            <w:pPr>
              <w:spacing w:after="0"/>
              <w:rPr>
                <w:sz w:val="9"/>
                <w:szCs w:val="9"/>
                <w:color w:val="auto"/>
              </w:rPr>
            </w:pPr>
          </w:p>
        </w:tc>
        <w:tc>
          <w:tcPr>
            <w:tcW w:w="1440" w:type="dxa"/>
            <w:vAlign w:val="bottom"/>
            <w:shd w:val="clear" w:color="auto" w:fill="E8E8E8"/>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20" w:type="dxa"/>
            <w:vAlign w:val="bottom"/>
            <w:shd w:val="clear" w:color="auto" w:fill="F2F2F2"/>
          </w:tcPr>
          <w:p>
            <w:pPr>
              <w:spacing w:after="0"/>
              <w:rPr>
                <w:sz w:val="8"/>
                <w:szCs w:val="8"/>
                <w:color w:val="auto"/>
              </w:rPr>
            </w:pPr>
          </w:p>
        </w:tc>
        <w:tc>
          <w:tcPr>
            <w:tcW w:w="210" w:type="dxa"/>
            <w:vAlign w:val="bottom"/>
            <w:shd w:val="clear" w:color="auto" w:fill="F2F2F2"/>
          </w:tcPr>
          <w:p>
            <w:pPr>
              <w:spacing w:after="0"/>
              <w:rPr>
                <w:sz w:val="8"/>
                <w:szCs w:val="8"/>
                <w:color w:val="auto"/>
              </w:rPr>
            </w:pPr>
          </w:p>
        </w:tc>
        <w:tc>
          <w:tcPr>
            <w:tcW w:w="4730" w:type="dxa"/>
            <w:vAlign w:val="bottom"/>
            <w:gridSpan w:val="9"/>
            <w:vMerge w:val="continue"/>
            <w:shd w:val="clear" w:color="auto" w:fill="F2F2F2"/>
          </w:tcPr>
          <w:p>
            <w:pPr>
              <w:spacing w:after="0"/>
              <w:rPr>
                <w:sz w:val="8"/>
                <w:szCs w:val="8"/>
                <w:color w:val="auto"/>
              </w:rPr>
            </w:pPr>
          </w:p>
        </w:tc>
        <w:tc>
          <w:tcPr>
            <w:tcW w:w="120" w:type="dxa"/>
            <w:vAlign w:val="bottom"/>
            <w:shd w:val="clear" w:color="auto" w:fill="E8E8E8"/>
          </w:tcPr>
          <w:p>
            <w:pPr>
              <w:spacing w:after="0"/>
              <w:rPr>
                <w:sz w:val="8"/>
                <w:szCs w:val="8"/>
                <w:color w:val="auto"/>
              </w:rPr>
            </w:pPr>
          </w:p>
        </w:tc>
        <w:tc>
          <w:tcPr>
            <w:tcW w:w="5840" w:type="dxa"/>
            <w:vAlign w:val="bottom"/>
            <w:gridSpan w:val="4"/>
            <w:vMerge w:val="restart"/>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 Solicits input from independent directors and periodically reviews and</w:t>
            </w:r>
          </w:p>
        </w:tc>
        <w:tc>
          <w:tcPr>
            <w:tcW w:w="0" w:type="dxa"/>
            <w:vAlign w:val="bottom"/>
          </w:tcPr>
          <w:p>
            <w:pPr>
              <w:spacing w:after="0"/>
              <w:rPr>
                <w:sz w:val="1"/>
                <w:szCs w:val="1"/>
                <w:color w:val="auto"/>
              </w:rPr>
            </w:pPr>
          </w:p>
        </w:tc>
      </w:tr>
      <w:tr>
        <w:trPr>
          <w:trHeight w:val="189"/>
        </w:trPr>
        <w:tc>
          <w:tcPr>
            <w:tcW w:w="120" w:type="dxa"/>
            <w:vAlign w:val="bottom"/>
            <w:shd w:val="clear" w:color="auto" w:fill="F2F2F2"/>
          </w:tcPr>
          <w:p>
            <w:pPr>
              <w:spacing w:after="0"/>
              <w:rPr>
                <w:sz w:val="16"/>
                <w:szCs w:val="16"/>
                <w:color w:val="auto"/>
              </w:rPr>
            </w:pPr>
          </w:p>
        </w:tc>
        <w:tc>
          <w:tcPr>
            <w:tcW w:w="210" w:type="dxa"/>
            <w:vAlign w:val="bottom"/>
            <w:shd w:val="clear" w:color="auto" w:fill="F2F2F2"/>
          </w:tcPr>
          <w:p>
            <w:pPr>
              <w:spacing w:after="0"/>
              <w:rPr>
                <w:sz w:val="16"/>
                <w:szCs w:val="16"/>
                <w:color w:val="auto"/>
              </w:rPr>
            </w:pPr>
          </w:p>
        </w:tc>
        <w:tc>
          <w:tcPr>
            <w:tcW w:w="4730" w:type="dxa"/>
            <w:vAlign w:val="bottom"/>
            <w:gridSpan w:val="9"/>
            <w:shd w:val="clear" w:color="auto" w:fill="F2F2F2"/>
          </w:tcPr>
          <w:p>
            <w:pPr>
              <w:ind w:left="130"/>
              <w:spacing w:after="0" w:line="189" w:lineRule="exact"/>
              <w:rPr>
                <w:sz w:val="20"/>
                <w:szCs w:val="20"/>
                <w:color w:val="auto"/>
              </w:rPr>
            </w:pPr>
            <w:r>
              <w:rPr>
                <w:rFonts w:ascii="Arial" w:cs="Arial" w:eastAsia="Arial" w:hAnsi="Arial"/>
                <w:sz w:val="18"/>
                <w:szCs w:val="18"/>
                <w:color w:val="auto"/>
              </w:rPr>
              <w:t>officer serving on the Board or the Leadership</w:t>
            </w:r>
          </w:p>
        </w:tc>
        <w:tc>
          <w:tcPr>
            <w:tcW w:w="120" w:type="dxa"/>
            <w:vAlign w:val="bottom"/>
            <w:shd w:val="clear" w:color="auto" w:fill="E8E8E8"/>
          </w:tcPr>
          <w:p>
            <w:pPr>
              <w:spacing w:after="0"/>
              <w:rPr>
                <w:sz w:val="16"/>
                <w:szCs w:val="16"/>
                <w:color w:val="auto"/>
              </w:rPr>
            </w:pPr>
          </w:p>
        </w:tc>
        <w:tc>
          <w:tcPr>
            <w:tcW w:w="5840" w:type="dxa"/>
            <w:vAlign w:val="bottom"/>
            <w:gridSpan w:val="4"/>
            <w:vMerge w:val="continue"/>
            <w:shd w:val="clear" w:color="auto" w:fill="E8E8E8"/>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10" w:type="dxa"/>
            <w:vAlign w:val="bottom"/>
            <w:shd w:val="clear" w:color="auto" w:fill="F2F2F2"/>
          </w:tcPr>
          <w:p>
            <w:pPr>
              <w:spacing w:after="0"/>
              <w:rPr>
                <w:sz w:val="17"/>
                <w:szCs w:val="17"/>
                <w:color w:val="auto"/>
              </w:rPr>
            </w:pPr>
          </w:p>
        </w:tc>
        <w:tc>
          <w:tcPr>
            <w:tcW w:w="4730" w:type="dxa"/>
            <w:vAlign w:val="bottom"/>
            <w:gridSpan w:val="9"/>
            <w:shd w:val="clear" w:color="auto" w:fill="F2F2F2"/>
          </w:tcPr>
          <w:p>
            <w:pPr>
              <w:ind w:left="130"/>
              <w:spacing w:after="0" w:line="202" w:lineRule="exact"/>
              <w:rPr>
                <w:sz w:val="20"/>
                <w:szCs w:val="20"/>
                <w:color w:val="auto"/>
              </w:rPr>
            </w:pPr>
            <w:r>
              <w:rPr>
                <w:rFonts w:ascii="Arial" w:cs="Arial" w:eastAsia="Arial" w:hAnsi="Arial"/>
                <w:sz w:val="18"/>
                <w:szCs w:val="18"/>
                <w:color w:val="auto"/>
              </w:rPr>
              <w:t>Development and Compensation Committee.</w:t>
            </w:r>
          </w:p>
        </w:tc>
        <w:tc>
          <w:tcPr>
            <w:tcW w:w="120" w:type="dxa"/>
            <w:vAlign w:val="bottom"/>
            <w:shd w:val="clear" w:color="auto" w:fill="E8E8E8"/>
          </w:tcPr>
          <w:p>
            <w:pPr>
              <w:spacing w:after="0"/>
              <w:rPr>
                <w:sz w:val="17"/>
                <w:szCs w:val="17"/>
                <w:color w:val="auto"/>
              </w:rPr>
            </w:pPr>
          </w:p>
        </w:tc>
        <w:tc>
          <w:tcPr>
            <w:tcW w:w="5840" w:type="dxa"/>
            <w:vAlign w:val="bottom"/>
            <w:gridSpan w:val="4"/>
            <w:shd w:val="clear" w:color="auto" w:fill="E8E8E8"/>
          </w:tcPr>
          <w:p>
            <w:pPr>
              <w:ind w:left="200"/>
              <w:spacing w:after="0" w:line="202" w:lineRule="exact"/>
              <w:rPr>
                <w:sz w:val="20"/>
                <w:szCs w:val="20"/>
                <w:color w:val="auto"/>
              </w:rPr>
            </w:pPr>
            <w:r>
              <w:rPr>
                <w:rFonts w:ascii="Arial" w:cs="Arial" w:eastAsia="Arial" w:hAnsi="Arial"/>
                <w:sz w:val="18"/>
                <w:szCs w:val="18"/>
                <w:color w:val="auto"/>
              </w:rPr>
              <w:t>reports to the Board with respect to succession planning for the Chief</w:t>
            </w:r>
          </w:p>
        </w:tc>
        <w:tc>
          <w:tcPr>
            <w:tcW w:w="0" w:type="dxa"/>
            <w:vAlign w:val="bottom"/>
          </w:tcPr>
          <w:p>
            <w:pPr>
              <w:spacing w:after="0"/>
              <w:rPr>
                <w:sz w:val="1"/>
                <w:szCs w:val="1"/>
                <w:color w:val="auto"/>
              </w:rPr>
            </w:pPr>
          </w:p>
        </w:tc>
      </w:tr>
      <w:tr>
        <w:trPr>
          <w:trHeight w:val="239"/>
        </w:trPr>
        <w:tc>
          <w:tcPr>
            <w:tcW w:w="120" w:type="dxa"/>
            <w:vAlign w:val="bottom"/>
            <w:shd w:val="clear" w:color="auto" w:fill="F2F2F2"/>
          </w:tcPr>
          <w:p>
            <w:pPr>
              <w:spacing w:after="0"/>
              <w:rPr>
                <w:sz w:val="20"/>
                <w:szCs w:val="20"/>
                <w:color w:val="auto"/>
              </w:rPr>
            </w:pPr>
          </w:p>
        </w:tc>
        <w:tc>
          <w:tcPr>
            <w:tcW w:w="210" w:type="dxa"/>
            <w:vAlign w:val="bottom"/>
            <w:shd w:val="clear" w:color="auto" w:fill="F2F2F2"/>
          </w:tcPr>
          <w:p>
            <w:pPr>
              <w:spacing w:after="0"/>
              <w:rPr>
                <w:sz w:val="20"/>
                <w:szCs w:val="20"/>
                <w:color w:val="auto"/>
              </w:rPr>
            </w:pPr>
          </w:p>
        </w:tc>
        <w:tc>
          <w:tcPr>
            <w:tcW w:w="17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780" w:type="dxa"/>
            <w:vAlign w:val="bottom"/>
            <w:shd w:val="clear" w:color="auto" w:fill="F2F2F2"/>
          </w:tcPr>
          <w:p>
            <w:pPr>
              <w:spacing w:after="0"/>
              <w:rPr>
                <w:sz w:val="20"/>
                <w:szCs w:val="20"/>
                <w:color w:val="auto"/>
              </w:rPr>
            </w:pPr>
          </w:p>
        </w:tc>
        <w:tc>
          <w:tcPr>
            <w:tcW w:w="420" w:type="dxa"/>
            <w:vAlign w:val="bottom"/>
            <w:shd w:val="clear" w:color="auto" w:fill="F2F2F2"/>
          </w:tcPr>
          <w:p>
            <w:pPr>
              <w:spacing w:after="0"/>
              <w:rPr>
                <w:sz w:val="20"/>
                <w:szCs w:val="20"/>
                <w:color w:val="auto"/>
              </w:rPr>
            </w:pPr>
          </w:p>
        </w:tc>
        <w:tc>
          <w:tcPr>
            <w:tcW w:w="760" w:type="dxa"/>
            <w:vAlign w:val="bottom"/>
            <w:shd w:val="clear" w:color="auto" w:fill="F2F2F2"/>
          </w:tcPr>
          <w:p>
            <w:pPr>
              <w:spacing w:after="0"/>
              <w:rPr>
                <w:sz w:val="20"/>
                <w:szCs w:val="20"/>
                <w:color w:val="auto"/>
              </w:rPr>
            </w:pPr>
          </w:p>
        </w:tc>
        <w:tc>
          <w:tcPr>
            <w:tcW w:w="820" w:type="dxa"/>
            <w:vAlign w:val="bottom"/>
            <w:shd w:val="clear" w:color="auto" w:fill="F2F2F2"/>
          </w:tcPr>
          <w:p>
            <w:pPr>
              <w:spacing w:after="0"/>
              <w:rPr>
                <w:sz w:val="20"/>
                <w:szCs w:val="20"/>
                <w:color w:val="auto"/>
              </w:rPr>
            </w:pPr>
          </w:p>
        </w:tc>
        <w:tc>
          <w:tcPr>
            <w:tcW w:w="440" w:type="dxa"/>
            <w:vAlign w:val="bottom"/>
            <w:shd w:val="clear" w:color="auto" w:fill="F2F2F2"/>
          </w:tcPr>
          <w:p>
            <w:pPr>
              <w:spacing w:after="0"/>
              <w:rPr>
                <w:sz w:val="20"/>
                <w:szCs w:val="20"/>
                <w:color w:val="auto"/>
              </w:rPr>
            </w:pPr>
          </w:p>
        </w:tc>
        <w:tc>
          <w:tcPr>
            <w:tcW w:w="460" w:type="dxa"/>
            <w:vAlign w:val="bottom"/>
            <w:shd w:val="clear" w:color="auto" w:fill="F2F2F2"/>
          </w:tcPr>
          <w:p>
            <w:pPr>
              <w:spacing w:after="0"/>
              <w:rPr>
                <w:sz w:val="20"/>
                <w:szCs w:val="20"/>
                <w:color w:val="auto"/>
              </w:rPr>
            </w:pPr>
          </w:p>
        </w:tc>
        <w:tc>
          <w:tcPr>
            <w:tcW w:w="760" w:type="dxa"/>
            <w:vAlign w:val="bottom"/>
            <w:shd w:val="clear" w:color="auto" w:fill="F2F2F2"/>
          </w:tcPr>
          <w:p>
            <w:pPr>
              <w:spacing w:after="0"/>
              <w:rPr>
                <w:sz w:val="20"/>
                <w:szCs w:val="20"/>
                <w:color w:val="auto"/>
              </w:rPr>
            </w:pPr>
          </w:p>
        </w:tc>
        <w:tc>
          <w:tcPr>
            <w:tcW w:w="120" w:type="dxa"/>
            <w:vAlign w:val="bottom"/>
            <w:shd w:val="clear" w:color="auto" w:fill="E8E8E8"/>
          </w:tcPr>
          <w:p>
            <w:pPr>
              <w:spacing w:after="0"/>
              <w:rPr>
                <w:sz w:val="20"/>
                <w:szCs w:val="20"/>
                <w:color w:val="auto"/>
              </w:rPr>
            </w:pPr>
          </w:p>
        </w:tc>
        <w:tc>
          <w:tcPr>
            <w:tcW w:w="5840" w:type="dxa"/>
            <w:vAlign w:val="bottom"/>
            <w:gridSpan w:val="4"/>
            <w:shd w:val="clear" w:color="auto" w:fill="E8E8E8"/>
          </w:tcPr>
          <w:p>
            <w:pPr>
              <w:ind w:left="200"/>
              <w:spacing w:after="0"/>
              <w:rPr>
                <w:sz w:val="20"/>
                <w:szCs w:val="20"/>
                <w:color w:val="auto"/>
              </w:rPr>
            </w:pPr>
            <w:r>
              <w:rPr>
                <w:rFonts w:ascii="Arial" w:cs="Arial" w:eastAsia="Arial" w:hAnsi="Arial"/>
                <w:sz w:val="18"/>
                <w:szCs w:val="18"/>
                <w:color w:val="auto"/>
              </w:rPr>
              <w:t>Executive Officer and other senior management positions</w:t>
            </w:r>
          </w:p>
        </w:tc>
        <w:tc>
          <w:tcPr>
            <w:tcW w:w="0" w:type="dxa"/>
            <w:vAlign w:val="bottom"/>
          </w:tcPr>
          <w:p>
            <w:pPr>
              <w:spacing w:after="0"/>
              <w:rPr>
                <w:sz w:val="1"/>
                <w:szCs w:val="1"/>
                <w:color w:val="auto"/>
              </w:rPr>
            </w:pPr>
          </w:p>
        </w:tc>
      </w:tr>
      <w:tr>
        <w:trPr>
          <w:trHeight w:val="288"/>
        </w:trPr>
        <w:tc>
          <w:tcPr>
            <w:tcW w:w="120" w:type="dxa"/>
            <w:vAlign w:val="bottom"/>
            <w:shd w:val="clear" w:color="auto" w:fill="F2F2F2"/>
          </w:tcPr>
          <w:p>
            <w:pPr>
              <w:spacing w:after="0"/>
              <w:rPr>
                <w:sz w:val="24"/>
                <w:szCs w:val="24"/>
                <w:color w:val="auto"/>
              </w:rPr>
            </w:pPr>
          </w:p>
        </w:tc>
        <w:tc>
          <w:tcPr>
            <w:tcW w:w="210" w:type="dxa"/>
            <w:vAlign w:val="bottom"/>
            <w:shd w:val="clear" w:color="auto" w:fill="F2F2F2"/>
          </w:tcPr>
          <w:p>
            <w:pPr>
              <w:spacing w:after="0"/>
              <w:rPr>
                <w:sz w:val="24"/>
                <w:szCs w:val="24"/>
                <w:color w:val="auto"/>
              </w:rPr>
            </w:pPr>
          </w:p>
        </w:tc>
        <w:tc>
          <w:tcPr>
            <w:tcW w:w="17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780" w:type="dxa"/>
            <w:vAlign w:val="bottom"/>
            <w:shd w:val="clear" w:color="auto" w:fill="F2F2F2"/>
          </w:tcPr>
          <w:p>
            <w:pPr>
              <w:spacing w:after="0"/>
              <w:rPr>
                <w:sz w:val="24"/>
                <w:szCs w:val="24"/>
                <w:color w:val="auto"/>
              </w:rPr>
            </w:pPr>
          </w:p>
        </w:tc>
        <w:tc>
          <w:tcPr>
            <w:tcW w:w="420" w:type="dxa"/>
            <w:vAlign w:val="bottom"/>
            <w:shd w:val="clear" w:color="auto" w:fill="F2F2F2"/>
          </w:tcPr>
          <w:p>
            <w:pPr>
              <w:spacing w:after="0"/>
              <w:rPr>
                <w:sz w:val="24"/>
                <w:szCs w:val="24"/>
                <w:color w:val="auto"/>
              </w:rPr>
            </w:pPr>
          </w:p>
        </w:tc>
        <w:tc>
          <w:tcPr>
            <w:tcW w:w="760" w:type="dxa"/>
            <w:vAlign w:val="bottom"/>
            <w:shd w:val="clear" w:color="auto" w:fill="F2F2F2"/>
          </w:tcPr>
          <w:p>
            <w:pPr>
              <w:spacing w:after="0"/>
              <w:rPr>
                <w:sz w:val="24"/>
                <w:szCs w:val="24"/>
                <w:color w:val="auto"/>
              </w:rPr>
            </w:pPr>
          </w:p>
        </w:tc>
        <w:tc>
          <w:tcPr>
            <w:tcW w:w="820" w:type="dxa"/>
            <w:vAlign w:val="bottom"/>
            <w:shd w:val="clear" w:color="auto" w:fill="F2F2F2"/>
          </w:tcPr>
          <w:p>
            <w:pPr>
              <w:spacing w:after="0"/>
              <w:rPr>
                <w:sz w:val="24"/>
                <w:szCs w:val="24"/>
                <w:color w:val="auto"/>
              </w:rPr>
            </w:pPr>
          </w:p>
        </w:tc>
        <w:tc>
          <w:tcPr>
            <w:tcW w:w="440" w:type="dxa"/>
            <w:vAlign w:val="bottom"/>
            <w:shd w:val="clear" w:color="auto" w:fill="F2F2F2"/>
          </w:tcPr>
          <w:p>
            <w:pPr>
              <w:spacing w:after="0"/>
              <w:rPr>
                <w:sz w:val="24"/>
                <w:szCs w:val="24"/>
                <w:color w:val="auto"/>
              </w:rPr>
            </w:pPr>
          </w:p>
        </w:tc>
        <w:tc>
          <w:tcPr>
            <w:tcW w:w="460" w:type="dxa"/>
            <w:vAlign w:val="bottom"/>
            <w:shd w:val="clear" w:color="auto" w:fill="F2F2F2"/>
          </w:tcPr>
          <w:p>
            <w:pPr>
              <w:spacing w:after="0"/>
              <w:rPr>
                <w:sz w:val="24"/>
                <w:szCs w:val="24"/>
                <w:color w:val="auto"/>
              </w:rPr>
            </w:pPr>
          </w:p>
        </w:tc>
        <w:tc>
          <w:tcPr>
            <w:tcW w:w="760" w:type="dxa"/>
            <w:vAlign w:val="bottom"/>
            <w:shd w:val="clear" w:color="auto" w:fill="F2F2F2"/>
          </w:tcPr>
          <w:p>
            <w:pPr>
              <w:spacing w:after="0"/>
              <w:rPr>
                <w:sz w:val="24"/>
                <w:szCs w:val="24"/>
                <w:color w:val="auto"/>
              </w:rPr>
            </w:pPr>
          </w:p>
        </w:tc>
        <w:tc>
          <w:tcPr>
            <w:tcW w:w="120" w:type="dxa"/>
            <w:vAlign w:val="bottom"/>
            <w:shd w:val="clear" w:color="auto" w:fill="E8E8E8"/>
          </w:tcPr>
          <w:p>
            <w:pPr>
              <w:spacing w:after="0"/>
              <w:rPr>
                <w:sz w:val="24"/>
                <w:szCs w:val="24"/>
                <w:color w:val="auto"/>
              </w:rPr>
            </w:pPr>
          </w:p>
        </w:tc>
        <w:tc>
          <w:tcPr>
            <w:tcW w:w="5840" w:type="dxa"/>
            <w:vAlign w:val="bottom"/>
            <w:gridSpan w:val="4"/>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 Regularly reviews and provides guidance to management with</w:t>
            </w: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10" w:type="dxa"/>
            <w:vAlign w:val="bottom"/>
            <w:shd w:val="clear" w:color="auto" w:fill="F2F2F2"/>
          </w:tcPr>
          <w:p>
            <w:pPr>
              <w:spacing w:after="0"/>
              <w:rPr>
                <w:sz w:val="17"/>
                <w:szCs w:val="17"/>
                <w:color w:val="auto"/>
              </w:rPr>
            </w:pPr>
          </w:p>
        </w:tc>
        <w:tc>
          <w:tcPr>
            <w:tcW w:w="17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780" w:type="dxa"/>
            <w:vAlign w:val="bottom"/>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46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120" w:type="dxa"/>
            <w:vAlign w:val="bottom"/>
            <w:shd w:val="clear" w:color="auto" w:fill="E8E8E8"/>
          </w:tcPr>
          <w:p>
            <w:pPr>
              <w:spacing w:after="0"/>
              <w:rPr>
                <w:sz w:val="17"/>
                <w:szCs w:val="17"/>
                <w:color w:val="auto"/>
              </w:rPr>
            </w:pPr>
          </w:p>
        </w:tc>
        <w:tc>
          <w:tcPr>
            <w:tcW w:w="5840" w:type="dxa"/>
            <w:vAlign w:val="bottom"/>
            <w:gridSpan w:val="4"/>
            <w:shd w:val="clear" w:color="auto" w:fill="E8E8E8"/>
          </w:tcPr>
          <w:p>
            <w:pPr>
              <w:ind w:left="200"/>
              <w:spacing w:after="0" w:line="202" w:lineRule="exact"/>
              <w:rPr>
                <w:sz w:val="20"/>
                <w:szCs w:val="20"/>
                <w:color w:val="auto"/>
              </w:rPr>
            </w:pPr>
            <w:r>
              <w:rPr>
                <w:rFonts w:ascii="Arial" w:cs="Arial" w:eastAsia="Arial" w:hAnsi="Arial"/>
                <w:sz w:val="18"/>
                <w:szCs w:val="18"/>
                <w:color w:val="auto"/>
              </w:rPr>
              <w:t>respect to the Company’s human capital management policies,</w:t>
            </w: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10" w:type="dxa"/>
            <w:vAlign w:val="bottom"/>
            <w:shd w:val="clear" w:color="auto" w:fill="F2F2F2"/>
          </w:tcPr>
          <w:p>
            <w:pPr>
              <w:spacing w:after="0"/>
              <w:rPr>
                <w:sz w:val="17"/>
                <w:szCs w:val="17"/>
                <w:color w:val="auto"/>
              </w:rPr>
            </w:pPr>
          </w:p>
        </w:tc>
        <w:tc>
          <w:tcPr>
            <w:tcW w:w="17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780" w:type="dxa"/>
            <w:vAlign w:val="bottom"/>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46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120" w:type="dxa"/>
            <w:vAlign w:val="bottom"/>
            <w:shd w:val="clear" w:color="auto" w:fill="E8E8E8"/>
          </w:tcPr>
          <w:p>
            <w:pPr>
              <w:spacing w:after="0"/>
              <w:rPr>
                <w:sz w:val="17"/>
                <w:szCs w:val="17"/>
                <w:color w:val="auto"/>
              </w:rPr>
            </w:pPr>
          </w:p>
        </w:tc>
        <w:tc>
          <w:tcPr>
            <w:tcW w:w="5840" w:type="dxa"/>
            <w:vAlign w:val="bottom"/>
            <w:gridSpan w:val="4"/>
            <w:shd w:val="clear" w:color="auto" w:fill="E8E8E8"/>
          </w:tcPr>
          <w:p>
            <w:pPr>
              <w:ind w:left="200"/>
              <w:spacing w:after="0" w:line="202" w:lineRule="exact"/>
              <w:rPr>
                <w:sz w:val="20"/>
                <w:szCs w:val="20"/>
                <w:color w:val="auto"/>
              </w:rPr>
            </w:pPr>
            <w:r>
              <w:rPr>
                <w:rFonts w:ascii="Arial" w:cs="Arial" w:eastAsia="Arial" w:hAnsi="Arial"/>
                <w:sz w:val="18"/>
                <w:szCs w:val="18"/>
                <w:color w:val="auto"/>
              </w:rPr>
              <w:t>programs and strategies, including but not limited to those regarding</w:t>
            </w: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10" w:type="dxa"/>
            <w:vAlign w:val="bottom"/>
            <w:shd w:val="clear" w:color="auto" w:fill="F2F2F2"/>
          </w:tcPr>
          <w:p>
            <w:pPr>
              <w:spacing w:after="0"/>
              <w:rPr>
                <w:sz w:val="17"/>
                <w:szCs w:val="17"/>
                <w:color w:val="auto"/>
              </w:rPr>
            </w:pPr>
          </w:p>
        </w:tc>
        <w:tc>
          <w:tcPr>
            <w:tcW w:w="17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780" w:type="dxa"/>
            <w:vAlign w:val="bottom"/>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46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120" w:type="dxa"/>
            <w:vAlign w:val="bottom"/>
            <w:shd w:val="clear" w:color="auto" w:fill="E8E8E8"/>
          </w:tcPr>
          <w:p>
            <w:pPr>
              <w:spacing w:after="0"/>
              <w:rPr>
                <w:sz w:val="17"/>
                <w:szCs w:val="17"/>
                <w:color w:val="auto"/>
              </w:rPr>
            </w:pPr>
          </w:p>
        </w:tc>
        <w:tc>
          <w:tcPr>
            <w:tcW w:w="5840" w:type="dxa"/>
            <w:vAlign w:val="bottom"/>
            <w:gridSpan w:val="4"/>
            <w:shd w:val="clear" w:color="auto" w:fill="E8E8E8"/>
          </w:tcPr>
          <w:p>
            <w:pPr>
              <w:ind w:left="200"/>
              <w:spacing w:after="0" w:line="202" w:lineRule="exact"/>
              <w:rPr>
                <w:sz w:val="20"/>
                <w:szCs w:val="20"/>
                <w:color w:val="auto"/>
              </w:rPr>
            </w:pPr>
            <w:r>
              <w:rPr>
                <w:rFonts w:ascii="Arial" w:cs="Arial" w:eastAsia="Arial" w:hAnsi="Arial"/>
                <w:sz w:val="18"/>
                <w:szCs w:val="18"/>
                <w:color w:val="auto"/>
              </w:rPr>
              <w:t>talent recruitment, development and retention, succession planning,</w:t>
            </w: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10" w:type="dxa"/>
            <w:vAlign w:val="bottom"/>
            <w:shd w:val="clear" w:color="auto" w:fill="F2F2F2"/>
          </w:tcPr>
          <w:p>
            <w:pPr>
              <w:spacing w:after="0"/>
              <w:rPr>
                <w:sz w:val="17"/>
                <w:szCs w:val="17"/>
                <w:color w:val="auto"/>
              </w:rPr>
            </w:pPr>
          </w:p>
        </w:tc>
        <w:tc>
          <w:tcPr>
            <w:tcW w:w="17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780" w:type="dxa"/>
            <w:vAlign w:val="bottom"/>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46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120" w:type="dxa"/>
            <w:vAlign w:val="bottom"/>
            <w:shd w:val="clear" w:color="auto" w:fill="E8E8E8"/>
          </w:tcPr>
          <w:p>
            <w:pPr>
              <w:spacing w:after="0"/>
              <w:rPr>
                <w:sz w:val="17"/>
                <w:szCs w:val="17"/>
                <w:color w:val="auto"/>
              </w:rPr>
            </w:pPr>
          </w:p>
        </w:tc>
        <w:tc>
          <w:tcPr>
            <w:tcW w:w="5840" w:type="dxa"/>
            <w:vAlign w:val="bottom"/>
            <w:gridSpan w:val="4"/>
            <w:shd w:val="clear" w:color="auto" w:fill="E8E8E8"/>
          </w:tcPr>
          <w:p>
            <w:pPr>
              <w:ind w:left="200"/>
              <w:spacing w:after="0" w:line="202" w:lineRule="exact"/>
              <w:rPr>
                <w:sz w:val="20"/>
                <w:szCs w:val="20"/>
                <w:color w:val="auto"/>
              </w:rPr>
            </w:pPr>
            <w:r>
              <w:rPr>
                <w:rFonts w:ascii="Arial" w:cs="Arial" w:eastAsia="Arial" w:hAnsi="Arial"/>
                <w:sz w:val="18"/>
                <w:szCs w:val="18"/>
                <w:color w:val="auto"/>
              </w:rPr>
              <w:t>health and safety, organizational culture, employee engagement,</w:t>
            </w:r>
          </w:p>
        </w:tc>
        <w:tc>
          <w:tcPr>
            <w:tcW w:w="0" w:type="dxa"/>
            <w:vAlign w:val="bottom"/>
          </w:tcPr>
          <w:p>
            <w:pPr>
              <w:spacing w:after="0"/>
              <w:rPr>
                <w:sz w:val="1"/>
                <w:szCs w:val="1"/>
                <w:color w:val="auto"/>
              </w:rPr>
            </w:pPr>
          </w:p>
        </w:tc>
      </w:tr>
      <w:tr>
        <w:trPr>
          <w:trHeight w:val="239"/>
        </w:trPr>
        <w:tc>
          <w:tcPr>
            <w:tcW w:w="120" w:type="dxa"/>
            <w:vAlign w:val="bottom"/>
            <w:shd w:val="clear" w:color="auto" w:fill="F2F2F2"/>
          </w:tcPr>
          <w:p>
            <w:pPr>
              <w:spacing w:after="0"/>
              <w:rPr>
                <w:sz w:val="20"/>
                <w:szCs w:val="20"/>
                <w:color w:val="auto"/>
              </w:rPr>
            </w:pPr>
          </w:p>
        </w:tc>
        <w:tc>
          <w:tcPr>
            <w:tcW w:w="210" w:type="dxa"/>
            <w:vAlign w:val="bottom"/>
            <w:shd w:val="clear" w:color="auto" w:fill="F2F2F2"/>
          </w:tcPr>
          <w:p>
            <w:pPr>
              <w:spacing w:after="0"/>
              <w:rPr>
                <w:sz w:val="20"/>
                <w:szCs w:val="20"/>
                <w:color w:val="auto"/>
              </w:rPr>
            </w:pPr>
          </w:p>
        </w:tc>
        <w:tc>
          <w:tcPr>
            <w:tcW w:w="17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780" w:type="dxa"/>
            <w:vAlign w:val="bottom"/>
            <w:shd w:val="clear" w:color="auto" w:fill="F2F2F2"/>
          </w:tcPr>
          <w:p>
            <w:pPr>
              <w:spacing w:after="0"/>
              <w:rPr>
                <w:sz w:val="20"/>
                <w:szCs w:val="20"/>
                <w:color w:val="auto"/>
              </w:rPr>
            </w:pPr>
          </w:p>
        </w:tc>
        <w:tc>
          <w:tcPr>
            <w:tcW w:w="420" w:type="dxa"/>
            <w:vAlign w:val="bottom"/>
            <w:shd w:val="clear" w:color="auto" w:fill="F2F2F2"/>
          </w:tcPr>
          <w:p>
            <w:pPr>
              <w:spacing w:after="0"/>
              <w:rPr>
                <w:sz w:val="20"/>
                <w:szCs w:val="20"/>
                <w:color w:val="auto"/>
              </w:rPr>
            </w:pPr>
          </w:p>
        </w:tc>
        <w:tc>
          <w:tcPr>
            <w:tcW w:w="760" w:type="dxa"/>
            <w:vAlign w:val="bottom"/>
            <w:shd w:val="clear" w:color="auto" w:fill="F2F2F2"/>
          </w:tcPr>
          <w:p>
            <w:pPr>
              <w:spacing w:after="0"/>
              <w:rPr>
                <w:sz w:val="20"/>
                <w:szCs w:val="20"/>
                <w:color w:val="auto"/>
              </w:rPr>
            </w:pPr>
          </w:p>
        </w:tc>
        <w:tc>
          <w:tcPr>
            <w:tcW w:w="820" w:type="dxa"/>
            <w:vAlign w:val="bottom"/>
            <w:shd w:val="clear" w:color="auto" w:fill="F2F2F2"/>
          </w:tcPr>
          <w:p>
            <w:pPr>
              <w:spacing w:after="0"/>
              <w:rPr>
                <w:sz w:val="20"/>
                <w:szCs w:val="20"/>
                <w:color w:val="auto"/>
              </w:rPr>
            </w:pPr>
          </w:p>
        </w:tc>
        <w:tc>
          <w:tcPr>
            <w:tcW w:w="440" w:type="dxa"/>
            <w:vAlign w:val="bottom"/>
            <w:shd w:val="clear" w:color="auto" w:fill="F2F2F2"/>
          </w:tcPr>
          <w:p>
            <w:pPr>
              <w:spacing w:after="0"/>
              <w:rPr>
                <w:sz w:val="20"/>
                <w:szCs w:val="20"/>
                <w:color w:val="auto"/>
              </w:rPr>
            </w:pPr>
          </w:p>
        </w:tc>
        <w:tc>
          <w:tcPr>
            <w:tcW w:w="460" w:type="dxa"/>
            <w:vAlign w:val="bottom"/>
            <w:shd w:val="clear" w:color="auto" w:fill="F2F2F2"/>
          </w:tcPr>
          <w:p>
            <w:pPr>
              <w:spacing w:after="0"/>
              <w:rPr>
                <w:sz w:val="20"/>
                <w:szCs w:val="20"/>
                <w:color w:val="auto"/>
              </w:rPr>
            </w:pPr>
          </w:p>
        </w:tc>
        <w:tc>
          <w:tcPr>
            <w:tcW w:w="760" w:type="dxa"/>
            <w:vAlign w:val="bottom"/>
            <w:shd w:val="clear" w:color="auto" w:fill="F2F2F2"/>
          </w:tcPr>
          <w:p>
            <w:pPr>
              <w:spacing w:after="0"/>
              <w:rPr>
                <w:sz w:val="20"/>
                <w:szCs w:val="20"/>
                <w:color w:val="auto"/>
              </w:rPr>
            </w:pPr>
          </w:p>
        </w:tc>
        <w:tc>
          <w:tcPr>
            <w:tcW w:w="120" w:type="dxa"/>
            <w:vAlign w:val="bottom"/>
            <w:shd w:val="clear" w:color="auto" w:fill="E8E8E8"/>
          </w:tcPr>
          <w:p>
            <w:pPr>
              <w:spacing w:after="0"/>
              <w:rPr>
                <w:sz w:val="20"/>
                <w:szCs w:val="20"/>
                <w:color w:val="auto"/>
              </w:rPr>
            </w:pPr>
          </w:p>
        </w:tc>
        <w:tc>
          <w:tcPr>
            <w:tcW w:w="4400" w:type="dxa"/>
            <w:vAlign w:val="bottom"/>
            <w:gridSpan w:val="3"/>
            <w:shd w:val="clear" w:color="auto" w:fill="E8E8E8"/>
          </w:tcPr>
          <w:p>
            <w:pPr>
              <w:ind w:left="200"/>
              <w:spacing w:after="0"/>
              <w:rPr>
                <w:sz w:val="20"/>
                <w:szCs w:val="20"/>
                <w:color w:val="auto"/>
              </w:rPr>
            </w:pPr>
            <w:r>
              <w:rPr>
                <w:rFonts w:ascii="Arial" w:cs="Arial" w:eastAsia="Arial" w:hAnsi="Arial"/>
                <w:sz w:val="18"/>
                <w:szCs w:val="18"/>
                <w:color w:val="auto"/>
              </w:rPr>
              <w:t>workforce diversity, and compensation and benefits</w:t>
            </w:r>
          </w:p>
        </w:tc>
        <w:tc>
          <w:tcPr>
            <w:tcW w:w="1440" w:type="dxa"/>
            <w:vAlign w:val="bottom"/>
            <w:shd w:val="clear" w:color="auto" w:fill="E8E8E8"/>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20" w:type="dxa"/>
            <w:vAlign w:val="bottom"/>
            <w:shd w:val="clear" w:color="auto" w:fill="F2F2F2"/>
          </w:tcPr>
          <w:p>
            <w:pPr>
              <w:spacing w:after="0"/>
              <w:rPr>
                <w:sz w:val="24"/>
                <w:szCs w:val="24"/>
                <w:color w:val="auto"/>
              </w:rPr>
            </w:pPr>
          </w:p>
        </w:tc>
        <w:tc>
          <w:tcPr>
            <w:tcW w:w="210" w:type="dxa"/>
            <w:vAlign w:val="bottom"/>
            <w:shd w:val="clear" w:color="auto" w:fill="F2F2F2"/>
          </w:tcPr>
          <w:p>
            <w:pPr>
              <w:spacing w:after="0"/>
              <w:rPr>
                <w:sz w:val="24"/>
                <w:szCs w:val="24"/>
                <w:color w:val="auto"/>
              </w:rPr>
            </w:pPr>
          </w:p>
        </w:tc>
        <w:tc>
          <w:tcPr>
            <w:tcW w:w="17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780" w:type="dxa"/>
            <w:vAlign w:val="bottom"/>
            <w:shd w:val="clear" w:color="auto" w:fill="F2F2F2"/>
          </w:tcPr>
          <w:p>
            <w:pPr>
              <w:spacing w:after="0"/>
              <w:rPr>
                <w:sz w:val="24"/>
                <w:szCs w:val="24"/>
                <w:color w:val="auto"/>
              </w:rPr>
            </w:pPr>
          </w:p>
        </w:tc>
        <w:tc>
          <w:tcPr>
            <w:tcW w:w="420" w:type="dxa"/>
            <w:vAlign w:val="bottom"/>
            <w:shd w:val="clear" w:color="auto" w:fill="F2F2F2"/>
          </w:tcPr>
          <w:p>
            <w:pPr>
              <w:spacing w:after="0"/>
              <w:rPr>
                <w:sz w:val="24"/>
                <w:szCs w:val="24"/>
                <w:color w:val="auto"/>
              </w:rPr>
            </w:pPr>
          </w:p>
        </w:tc>
        <w:tc>
          <w:tcPr>
            <w:tcW w:w="760" w:type="dxa"/>
            <w:vAlign w:val="bottom"/>
            <w:shd w:val="clear" w:color="auto" w:fill="F2F2F2"/>
          </w:tcPr>
          <w:p>
            <w:pPr>
              <w:spacing w:after="0"/>
              <w:rPr>
                <w:sz w:val="24"/>
                <w:szCs w:val="24"/>
                <w:color w:val="auto"/>
              </w:rPr>
            </w:pPr>
          </w:p>
        </w:tc>
        <w:tc>
          <w:tcPr>
            <w:tcW w:w="820" w:type="dxa"/>
            <w:vAlign w:val="bottom"/>
            <w:shd w:val="clear" w:color="auto" w:fill="F2F2F2"/>
          </w:tcPr>
          <w:p>
            <w:pPr>
              <w:spacing w:after="0"/>
              <w:rPr>
                <w:sz w:val="24"/>
                <w:szCs w:val="24"/>
                <w:color w:val="auto"/>
              </w:rPr>
            </w:pPr>
          </w:p>
        </w:tc>
        <w:tc>
          <w:tcPr>
            <w:tcW w:w="440" w:type="dxa"/>
            <w:vAlign w:val="bottom"/>
            <w:shd w:val="clear" w:color="auto" w:fill="F2F2F2"/>
          </w:tcPr>
          <w:p>
            <w:pPr>
              <w:spacing w:after="0"/>
              <w:rPr>
                <w:sz w:val="24"/>
                <w:szCs w:val="24"/>
                <w:color w:val="auto"/>
              </w:rPr>
            </w:pPr>
          </w:p>
        </w:tc>
        <w:tc>
          <w:tcPr>
            <w:tcW w:w="460" w:type="dxa"/>
            <w:vAlign w:val="bottom"/>
            <w:shd w:val="clear" w:color="auto" w:fill="F2F2F2"/>
          </w:tcPr>
          <w:p>
            <w:pPr>
              <w:spacing w:after="0"/>
              <w:rPr>
                <w:sz w:val="24"/>
                <w:szCs w:val="24"/>
                <w:color w:val="auto"/>
              </w:rPr>
            </w:pPr>
          </w:p>
        </w:tc>
        <w:tc>
          <w:tcPr>
            <w:tcW w:w="760" w:type="dxa"/>
            <w:vAlign w:val="bottom"/>
            <w:shd w:val="clear" w:color="auto" w:fill="F2F2F2"/>
          </w:tcPr>
          <w:p>
            <w:pPr>
              <w:spacing w:after="0"/>
              <w:rPr>
                <w:sz w:val="24"/>
                <w:szCs w:val="24"/>
                <w:color w:val="auto"/>
              </w:rPr>
            </w:pPr>
          </w:p>
        </w:tc>
        <w:tc>
          <w:tcPr>
            <w:tcW w:w="120" w:type="dxa"/>
            <w:vAlign w:val="bottom"/>
            <w:shd w:val="clear" w:color="auto" w:fill="E8E8E8"/>
          </w:tcPr>
          <w:p>
            <w:pPr>
              <w:spacing w:after="0"/>
              <w:rPr>
                <w:sz w:val="24"/>
                <w:szCs w:val="24"/>
                <w:color w:val="auto"/>
              </w:rPr>
            </w:pPr>
          </w:p>
        </w:tc>
        <w:tc>
          <w:tcPr>
            <w:tcW w:w="5840" w:type="dxa"/>
            <w:vAlign w:val="bottom"/>
            <w:gridSpan w:val="4"/>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 Oversees and administers the Company’s policies, plans and</w:t>
            </w:r>
          </w:p>
        </w:tc>
        <w:tc>
          <w:tcPr>
            <w:tcW w:w="0" w:type="dxa"/>
            <w:vAlign w:val="bottom"/>
          </w:tcPr>
          <w:p>
            <w:pPr>
              <w:spacing w:after="0"/>
              <w:rPr>
                <w:sz w:val="1"/>
                <w:szCs w:val="1"/>
                <w:color w:val="auto"/>
              </w:rPr>
            </w:pPr>
          </w:p>
        </w:tc>
      </w:tr>
      <w:tr>
        <w:trPr>
          <w:trHeight w:val="239"/>
        </w:trPr>
        <w:tc>
          <w:tcPr>
            <w:tcW w:w="120" w:type="dxa"/>
            <w:vAlign w:val="bottom"/>
            <w:shd w:val="clear" w:color="auto" w:fill="F2F2F2"/>
          </w:tcPr>
          <w:p>
            <w:pPr>
              <w:spacing w:after="0"/>
              <w:rPr>
                <w:sz w:val="20"/>
                <w:szCs w:val="20"/>
                <w:color w:val="auto"/>
              </w:rPr>
            </w:pPr>
          </w:p>
        </w:tc>
        <w:tc>
          <w:tcPr>
            <w:tcW w:w="210" w:type="dxa"/>
            <w:vAlign w:val="bottom"/>
            <w:shd w:val="clear" w:color="auto" w:fill="F2F2F2"/>
          </w:tcPr>
          <w:p>
            <w:pPr>
              <w:spacing w:after="0"/>
              <w:rPr>
                <w:sz w:val="20"/>
                <w:szCs w:val="20"/>
                <w:color w:val="auto"/>
              </w:rPr>
            </w:pPr>
          </w:p>
        </w:tc>
        <w:tc>
          <w:tcPr>
            <w:tcW w:w="17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780" w:type="dxa"/>
            <w:vAlign w:val="bottom"/>
            <w:shd w:val="clear" w:color="auto" w:fill="F2F2F2"/>
          </w:tcPr>
          <w:p>
            <w:pPr>
              <w:spacing w:after="0"/>
              <w:rPr>
                <w:sz w:val="20"/>
                <w:szCs w:val="20"/>
                <w:color w:val="auto"/>
              </w:rPr>
            </w:pPr>
          </w:p>
        </w:tc>
        <w:tc>
          <w:tcPr>
            <w:tcW w:w="420" w:type="dxa"/>
            <w:vAlign w:val="bottom"/>
            <w:shd w:val="clear" w:color="auto" w:fill="F2F2F2"/>
          </w:tcPr>
          <w:p>
            <w:pPr>
              <w:spacing w:after="0"/>
              <w:rPr>
                <w:sz w:val="20"/>
                <w:szCs w:val="20"/>
                <w:color w:val="auto"/>
              </w:rPr>
            </w:pPr>
          </w:p>
        </w:tc>
        <w:tc>
          <w:tcPr>
            <w:tcW w:w="760" w:type="dxa"/>
            <w:vAlign w:val="bottom"/>
            <w:shd w:val="clear" w:color="auto" w:fill="F2F2F2"/>
          </w:tcPr>
          <w:p>
            <w:pPr>
              <w:spacing w:after="0"/>
              <w:rPr>
                <w:sz w:val="20"/>
                <w:szCs w:val="20"/>
                <w:color w:val="auto"/>
              </w:rPr>
            </w:pPr>
          </w:p>
        </w:tc>
        <w:tc>
          <w:tcPr>
            <w:tcW w:w="820" w:type="dxa"/>
            <w:vAlign w:val="bottom"/>
            <w:shd w:val="clear" w:color="auto" w:fill="F2F2F2"/>
          </w:tcPr>
          <w:p>
            <w:pPr>
              <w:spacing w:after="0"/>
              <w:rPr>
                <w:sz w:val="20"/>
                <w:szCs w:val="20"/>
                <w:color w:val="auto"/>
              </w:rPr>
            </w:pPr>
          </w:p>
        </w:tc>
        <w:tc>
          <w:tcPr>
            <w:tcW w:w="440" w:type="dxa"/>
            <w:vAlign w:val="bottom"/>
            <w:shd w:val="clear" w:color="auto" w:fill="F2F2F2"/>
          </w:tcPr>
          <w:p>
            <w:pPr>
              <w:spacing w:after="0"/>
              <w:rPr>
                <w:sz w:val="20"/>
                <w:szCs w:val="20"/>
                <w:color w:val="auto"/>
              </w:rPr>
            </w:pPr>
          </w:p>
        </w:tc>
        <w:tc>
          <w:tcPr>
            <w:tcW w:w="460" w:type="dxa"/>
            <w:vAlign w:val="bottom"/>
            <w:shd w:val="clear" w:color="auto" w:fill="F2F2F2"/>
          </w:tcPr>
          <w:p>
            <w:pPr>
              <w:spacing w:after="0"/>
              <w:rPr>
                <w:sz w:val="20"/>
                <w:szCs w:val="20"/>
                <w:color w:val="auto"/>
              </w:rPr>
            </w:pPr>
          </w:p>
        </w:tc>
        <w:tc>
          <w:tcPr>
            <w:tcW w:w="760" w:type="dxa"/>
            <w:vAlign w:val="bottom"/>
            <w:shd w:val="clear" w:color="auto" w:fill="F2F2F2"/>
          </w:tcPr>
          <w:p>
            <w:pPr>
              <w:spacing w:after="0"/>
              <w:rPr>
                <w:sz w:val="20"/>
                <w:szCs w:val="20"/>
                <w:color w:val="auto"/>
              </w:rPr>
            </w:pPr>
          </w:p>
        </w:tc>
        <w:tc>
          <w:tcPr>
            <w:tcW w:w="120" w:type="dxa"/>
            <w:vAlign w:val="bottom"/>
            <w:shd w:val="clear" w:color="auto" w:fill="E8E8E8"/>
          </w:tcPr>
          <w:p>
            <w:pPr>
              <w:spacing w:after="0"/>
              <w:rPr>
                <w:sz w:val="20"/>
                <w:szCs w:val="20"/>
                <w:color w:val="auto"/>
              </w:rPr>
            </w:pPr>
          </w:p>
        </w:tc>
        <w:tc>
          <w:tcPr>
            <w:tcW w:w="5840" w:type="dxa"/>
            <w:vAlign w:val="bottom"/>
            <w:gridSpan w:val="4"/>
            <w:shd w:val="clear" w:color="auto" w:fill="E8E8E8"/>
          </w:tcPr>
          <w:p>
            <w:pPr>
              <w:ind w:left="200"/>
              <w:spacing w:after="0"/>
              <w:rPr>
                <w:sz w:val="20"/>
                <w:szCs w:val="20"/>
                <w:color w:val="auto"/>
              </w:rPr>
            </w:pPr>
            <w:r>
              <w:rPr>
                <w:rFonts w:ascii="Arial" w:cs="Arial" w:eastAsia="Arial" w:hAnsi="Arial"/>
                <w:sz w:val="18"/>
                <w:szCs w:val="18"/>
                <w:color w:val="auto"/>
              </w:rPr>
              <w:t>agreements concerning the recovery of incentive compensation</w:t>
            </w:r>
          </w:p>
        </w:tc>
        <w:tc>
          <w:tcPr>
            <w:tcW w:w="0" w:type="dxa"/>
            <w:vAlign w:val="bottom"/>
          </w:tcPr>
          <w:p>
            <w:pPr>
              <w:spacing w:after="0"/>
              <w:rPr>
                <w:sz w:val="1"/>
                <w:szCs w:val="1"/>
                <w:color w:val="auto"/>
              </w:rPr>
            </w:pPr>
          </w:p>
        </w:tc>
      </w:tr>
      <w:tr>
        <w:trPr>
          <w:trHeight w:val="158"/>
        </w:trPr>
        <w:tc>
          <w:tcPr>
            <w:tcW w:w="120" w:type="dxa"/>
            <w:vAlign w:val="bottom"/>
            <w:shd w:val="clear" w:color="auto" w:fill="F2F2F2"/>
          </w:tcPr>
          <w:p>
            <w:pPr>
              <w:spacing w:after="0"/>
              <w:rPr>
                <w:sz w:val="13"/>
                <w:szCs w:val="13"/>
                <w:color w:val="auto"/>
              </w:rPr>
            </w:pPr>
          </w:p>
        </w:tc>
        <w:tc>
          <w:tcPr>
            <w:tcW w:w="210" w:type="dxa"/>
            <w:vAlign w:val="bottom"/>
            <w:shd w:val="clear" w:color="auto" w:fill="F2F2F2"/>
          </w:tcPr>
          <w:p>
            <w:pPr>
              <w:spacing w:after="0"/>
              <w:rPr>
                <w:sz w:val="13"/>
                <w:szCs w:val="13"/>
                <w:color w:val="auto"/>
              </w:rPr>
            </w:pPr>
          </w:p>
        </w:tc>
        <w:tc>
          <w:tcPr>
            <w:tcW w:w="170" w:type="dxa"/>
            <w:vAlign w:val="bottom"/>
            <w:shd w:val="clear" w:color="auto" w:fill="F2F2F2"/>
          </w:tcPr>
          <w:p>
            <w:pPr>
              <w:spacing w:after="0"/>
              <w:rPr>
                <w:sz w:val="13"/>
                <w:szCs w:val="13"/>
                <w:color w:val="auto"/>
              </w:rPr>
            </w:pPr>
          </w:p>
        </w:tc>
        <w:tc>
          <w:tcPr>
            <w:tcW w:w="120" w:type="dxa"/>
            <w:vAlign w:val="bottom"/>
            <w:shd w:val="clear" w:color="auto" w:fill="F2F2F2"/>
          </w:tcPr>
          <w:p>
            <w:pPr>
              <w:spacing w:after="0"/>
              <w:rPr>
                <w:sz w:val="13"/>
                <w:szCs w:val="13"/>
                <w:color w:val="auto"/>
              </w:rPr>
            </w:pPr>
          </w:p>
        </w:tc>
        <w:tc>
          <w:tcPr>
            <w:tcW w:w="780" w:type="dxa"/>
            <w:vAlign w:val="bottom"/>
            <w:shd w:val="clear" w:color="auto" w:fill="F2F2F2"/>
          </w:tcPr>
          <w:p>
            <w:pPr>
              <w:spacing w:after="0"/>
              <w:rPr>
                <w:sz w:val="13"/>
                <w:szCs w:val="13"/>
                <w:color w:val="auto"/>
              </w:rPr>
            </w:pPr>
          </w:p>
        </w:tc>
        <w:tc>
          <w:tcPr>
            <w:tcW w:w="420" w:type="dxa"/>
            <w:vAlign w:val="bottom"/>
            <w:shd w:val="clear" w:color="auto" w:fill="F2F2F2"/>
          </w:tcPr>
          <w:p>
            <w:pPr>
              <w:spacing w:after="0"/>
              <w:rPr>
                <w:sz w:val="13"/>
                <w:szCs w:val="13"/>
                <w:color w:val="auto"/>
              </w:rPr>
            </w:pPr>
          </w:p>
        </w:tc>
        <w:tc>
          <w:tcPr>
            <w:tcW w:w="760" w:type="dxa"/>
            <w:vAlign w:val="bottom"/>
            <w:shd w:val="clear" w:color="auto" w:fill="F2F2F2"/>
          </w:tcPr>
          <w:p>
            <w:pPr>
              <w:spacing w:after="0"/>
              <w:rPr>
                <w:sz w:val="13"/>
                <w:szCs w:val="13"/>
                <w:color w:val="auto"/>
              </w:rPr>
            </w:pPr>
          </w:p>
        </w:tc>
        <w:tc>
          <w:tcPr>
            <w:tcW w:w="820" w:type="dxa"/>
            <w:vAlign w:val="bottom"/>
            <w:shd w:val="clear" w:color="auto" w:fill="F2F2F2"/>
          </w:tcPr>
          <w:p>
            <w:pPr>
              <w:spacing w:after="0"/>
              <w:rPr>
                <w:sz w:val="13"/>
                <w:szCs w:val="13"/>
                <w:color w:val="auto"/>
              </w:rPr>
            </w:pPr>
          </w:p>
        </w:tc>
        <w:tc>
          <w:tcPr>
            <w:tcW w:w="440" w:type="dxa"/>
            <w:vAlign w:val="bottom"/>
            <w:shd w:val="clear" w:color="auto" w:fill="F2F2F2"/>
          </w:tcPr>
          <w:p>
            <w:pPr>
              <w:spacing w:after="0"/>
              <w:rPr>
                <w:sz w:val="13"/>
                <w:szCs w:val="13"/>
                <w:color w:val="auto"/>
              </w:rPr>
            </w:pPr>
          </w:p>
        </w:tc>
        <w:tc>
          <w:tcPr>
            <w:tcW w:w="460" w:type="dxa"/>
            <w:vAlign w:val="bottom"/>
            <w:shd w:val="clear" w:color="auto" w:fill="F2F2F2"/>
          </w:tcPr>
          <w:p>
            <w:pPr>
              <w:spacing w:after="0"/>
              <w:rPr>
                <w:sz w:val="13"/>
                <w:szCs w:val="13"/>
                <w:color w:val="auto"/>
              </w:rPr>
            </w:pPr>
          </w:p>
        </w:tc>
        <w:tc>
          <w:tcPr>
            <w:tcW w:w="760" w:type="dxa"/>
            <w:vAlign w:val="bottom"/>
            <w:shd w:val="clear" w:color="auto" w:fill="F2F2F2"/>
          </w:tcPr>
          <w:p>
            <w:pPr>
              <w:spacing w:after="0"/>
              <w:rPr>
                <w:sz w:val="13"/>
                <w:szCs w:val="13"/>
                <w:color w:val="auto"/>
              </w:rPr>
            </w:pPr>
          </w:p>
        </w:tc>
        <w:tc>
          <w:tcPr>
            <w:tcW w:w="120" w:type="dxa"/>
            <w:vAlign w:val="bottom"/>
            <w:shd w:val="clear" w:color="auto" w:fill="E8E8E8"/>
          </w:tcPr>
          <w:p>
            <w:pPr>
              <w:spacing w:after="0"/>
              <w:rPr>
                <w:sz w:val="13"/>
                <w:szCs w:val="13"/>
                <w:color w:val="auto"/>
              </w:rPr>
            </w:pPr>
          </w:p>
        </w:tc>
        <w:tc>
          <w:tcPr>
            <w:tcW w:w="5840" w:type="dxa"/>
            <w:vAlign w:val="bottom"/>
            <w:gridSpan w:val="4"/>
            <w:shd w:val="clear" w:color="auto" w:fill="E8E8E8"/>
          </w:tcPr>
          <w:p>
            <w:pPr>
              <w:spacing w:after="0"/>
              <w:rPr>
                <w:sz w:val="13"/>
                <w:szCs w:val="13"/>
                <w:color w:val="auto"/>
              </w:rPr>
            </w:pPr>
          </w:p>
        </w:tc>
        <w:tc>
          <w:tcPr>
            <w:tcW w:w="0" w:type="dxa"/>
            <w:vAlign w:val="bottom"/>
          </w:tcPr>
          <w:p>
            <w:pPr>
              <w:spacing w:after="0"/>
              <w:rPr>
                <w:sz w:val="1"/>
                <w:szCs w:val="1"/>
                <w:color w:val="auto"/>
              </w:rPr>
            </w:pPr>
          </w:p>
        </w:tc>
      </w:tr>
      <w:tr>
        <w:trPr>
          <w:trHeight w:val="368"/>
        </w:trPr>
        <w:tc>
          <w:tcPr>
            <w:tcW w:w="12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40" w:type="dxa"/>
            <w:vAlign w:val="bottom"/>
            <w:gridSpan w:val="4"/>
          </w:tcPr>
          <w:p>
            <w:pPr>
              <w:ind w:left="1580"/>
              <w:spacing w:after="0"/>
              <w:rPr>
                <w:sz w:val="20"/>
                <w:szCs w:val="20"/>
                <w:color w:val="auto"/>
              </w:rPr>
            </w:pPr>
            <w:r>
              <w:rPr>
                <w:rFonts w:ascii="Arial" w:cs="Arial" w:eastAsia="Arial" w:hAnsi="Arial"/>
                <w:sz w:val="18"/>
                <w:szCs w:val="18"/>
                <w:color w:val="376DB5"/>
                <w:w w:val="97"/>
              </w:rPr>
              <w:t xml:space="preserve">Fair Isaac Corporation </w:t>
            </w:r>
            <w:r>
              <w:rPr>
                <w:rFonts w:ascii="Arial" w:cs="Arial" w:eastAsia="Arial" w:hAnsi="Arial"/>
                <w:sz w:val="18"/>
                <w:szCs w:val="18"/>
                <w:color w:val="000000"/>
                <w:w w:val="97"/>
              </w:rPr>
              <w:t>l 2026 Proxy Statement      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-5316855</wp:posOffset>
            </wp:positionV>
            <wp:extent cx="2948940" cy="50838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948940" cy="508381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20" w:type="dxa"/>
            <w:vAlign w:val="bottom"/>
            <w:shd w:val="clear" w:color="auto" w:fill="F2F2F2"/>
          </w:tcPr>
          <w:p>
            <w:pPr>
              <w:spacing w:after="0"/>
              <w:rPr>
                <w:sz w:val="24"/>
                <w:szCs w:val="24"/>
                <w:color w:val="auto"/>
              </w:rPr>
            </w:pPr>
          </w:p>
        </w:tc>
        <w:tc>
          <w:tcPr>
            <w:tcW w:w="220" w:type="dxa"/>
            <w:vAlign w:val="bottom"/>
            <w:shd w:val="clear" w:color="auto" w:fill="F2F2F2"/>
          </w:tcPr>
          <w:p>
            <w:pPr>
              <w:spacing w:after="0"/>
              <w:rPr>
                <w:sz w:val="24"/>
                <w:szCs w:val="24"/>
                <w:color w:val="auto"/>
              </w:rPr>
            </w:pPr>
          </w:p>
        </w:tc>
        <w:tc>
          <w:tcPr>
            <w:tcW w:w="16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780" w:type="dxa"/>
            <w:vAlign w:val="bottom"/>
            <w:shd w:val="clear" w:color="auto" w:fill="F2F2F2"/>
          </w:tcPr>
          <w:p>
            <w:pPr>
              <w:spacing w:after="0"/>
              <w:rPr>
                <w:sz w:val="20"/>
                <w:szCs w:val="20"/>
                <w:color w:val="auto"/>
              </w:rPr>
            </w:pPr>
            <w:r>
              <w:rPr>
                <w:rFonts w:ascii="Arial" w:cs="Arial" w:eastAsia="Arial" w:hAnsi="Arial"/>
                <w:sz w:val="18"/>
                <w:szCs w:val="18"/>
                <w:color w:val="auto"/>
              </w:rPr>
              <w:t>Proxy</w:t>
            </w:r>
          </w:p>
        </w:tc>
        <w:tc>
          <w:tcPr>
            <w:tcW w:w="1180" w:type="dxa"/>
            <w:vAlign w:val="bottom"/>
            <w:gridSpan w:val="2"/>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3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Corporate</w:t>
            </w:r>
          </w:p>
        </w:tc>
        <w:tc>
          <w:tcPr>
            <w:tcW w:w="1260" w:type="dxa"/>
            <w:vAlign w:val="bottom"/>
            <w:gridSpan w:val="3"/>
            <w:shd w:val="clear" w:color="auto" w:fill="F2F2F2"/>
          </w:tcPr>
          <w:p>
            <w:pPr>
              <w:ind w:left="60"/>
              <w:spacing w:after="0"/>
              <w:rPr>
                <w:sz w:val="20"/>
                <w:szCs w:val="20"/>
                <w:color w:val="auto"/>
              </w:rPr>
            </w:pPr>
            <w:r>
              <w:rPr>
                <w:rFonts w:ascii="Arial" w:cs="Arial" w:eastAsia="Arial" w:hAnsi="Arial"/>
                <w:sz w:val="18"/>
                <w:szCs w:val="18"/>
                <w:color w:val="auto"/>
              </w:rPr>
              <w:t>Executive</w:t>
            </w:r>
          </w:p>
        </w:tc>
        <w:tc>
          <w:tcPr>
            <w:tcW w:w="1800" w:type="dxa"/>
            <w:vAlign w:val="bottom"/>
            <w:shd w:val="clear" w:color="auto" w:fill="F2F2F2"/>
          </w:tcPr>
          <w:p>
            <w:pPr>
              <w:ind w:left="320"/>
              <w:spacing w:after="0"/>
              <w:rPr>
                <w:sz w:val="20"/>
                <w:szCs w:val="20"/>
                <w:color w:val="auto"/>
              </w:rPr>
            </w:pPr>
            <w:r>
              <w:rPr>
                <w:rFonts w:ascii="Arial" w:cs="Arial" w:eastAsia="Arial" w:hAnsi="Arial"/>
                <w:sz w:val="18"/>
                <w:szCs w:val="18"/>
                <w:color w:val="auto"/>
              </w:rPr>
              <w:t>Audit Committee</w:t>
            </w:r>
          </w:p>
        </w:tc>
        <w:tc>
          <w:tcPr>
            <w:tcW w:w="142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140" w:type="dxa"/>
            <w:vAlign w:val="bottom"/>
            <w:shd w:val="clear" w:color="auto" w:fill="F2F2F2"/>
          </w:tcPr>
          <w:p>
            <w:pPr>
              <w:ind w:left="12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16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780" w:type="dxa"/>
            <w:vAlign w:val="bottom"/>
            <w:shd w:val="clear" w:color="auto" w:fill="F2F2F2"/>
          </w:tcPr>
          <w:p>
            <w:pPr>
              <w:spacing w:after="0" w:line="202" w:lineRule="exact"/>
              <w:rPr>
                <w:sz w:val="20"/>
                <w:szCs w:val="20"/>
                <w:color w:val="auto"/>
              </w:rPr>
            </w:pPr>
            <w:r>
              <w:rPr>
                <w:rFonts w:ascii="Arial" w:cs="Arial" w:eastAsia="Arial" w:hAnsi="Arial"/>
                <w:sz w:val="18"/>
                <w:szCs w:val="18"/>
                <w:color w:val="auto"/>
                <w:w w:val="98"/>
              </w:rPr>
              <w:t>Summary</w:t>
            </w:r>
          </w:p>
        </w:tc>
        <w:tc>
          <w:tcPr>
            <w:tcW w:w="1180" w:type="dxa"/>
            <w:vAlign w:val="bottom"/>
            <w:gridSpan w:val="2"/>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3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Governance</w:t>
            </w:r>
          </w:p>
        </w:tc>
        <w:tc>
          <w:tcPr>
            <w:tcW w:w="1260" w:type="dxa"/>
            <w:vAlign w:val="bottom"/>
            <w:gridSpan w:val="3"/>
            <w:shd w:val="clear" w:color="auto" w:fill="F2F2F2"/>
          </w:tcPr>
          <w:p>
            <w:pPr>
              <w:ind w:left="60"/>
              <w:spacing w:after="0" w:line="202" w:lineRule="exact"/>
              <w:rPr>
                <w:sz w:val="20"/>
                <w:szCs w:val="20"/>
                <w:color w:val="auto"/>
              </w:rPr>
            </w:pPr>
            <w:r>
              <w:rPr>
                <w:rFonts w:ascii="Arial" w:cs="Arial" w:eastAsia="Arial" w:hAnsi="Arial"/>
                <w:sz w:val="18"/>
                <w:szCs w:val="18"/>
                <w:color w:val="auto"/>
              </w:rPr>
              <w:t>Compensation</w:t>
            </w:r>
          </w:p>
        </w:tc>
        <w:tc>
          <w:tcPr>
            <w:tcW w:w="1800" w:type="dxa"/>
            <w:vAlign w:val="bottom"/>
            <w:shd w:val="clear" w:color="auto" w:fill="F2F2F2"/>
          </w:tcPr>
          <w:p>
            <w:pPr>
              <w:ind w:left="320"/>
              <w:spacing w:after="0" w:line="202" w:lineRule="exact"/>
              <w:rPr>
                <w:sz w:val="20"/>
                <w:szCs w:val="20"/>
                <w:color w:val="auto"/>
              </w:rPr>
            </w:pPr>
            <w:r>
              <w:rPr>
                <w:rFonts w:ascii="Arial" w:cs="Arial" w:eastAsia="Arial" w:hAnsi="Arial"/>
                <w:sz w:val="18"/>
                <w:szCs w:val="18"/>
                <w:color w:val="auto"/>
              </w:rPr>
              <w:t>Matters</w:t>
            </w:r>
          </w:p>
        </w:tc>
        <w:tc>
          <w:tcPr>
            <w:tcW w:w="142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14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c>
          <w:tcPr>
            <w:tcW w:w="0" w:type="dxa"/>
            <w:vAlign w:val="bottom"/>
          </w:tcPr>
          <w:p>
            <w:pPr>
              <w:spacing w:after="0"/>
              <w:rPr>
                <w:sz w:val="1"/>
                <w:szCs w:val="1"/>
                <w:color w:val="auto"/>
              </w:rPr>
            </w:pPr>
          </w:p>
        </w:tc>
      </w:tr>
      <w:tr>
        <w:trPr>
          <w:trHeight w:val="228"/>
        </w:trPr>
        <w:tc>
          <w:tcPr>
            <w:tcW w:w="120" w:type="dxa"/>
            <w:vAlign w:val="bottom"/>
            <w:shd w:val="clear" w:color="auto" w:fill="F2F2F2"/>
          </w:tcPr>
          <w:p>
            <w:pPr>
              <w:spacing w:after="0"/>
              <w:rPr>
                <w:sz w:val="19"/>
                <w:szCs w:val="19"/>
                <w:color w:val="auto"/>
              </w:rPr>
            </w:pPr>
          </w:p>
        </w:tc>
        <w:tc>
          <w:tcPr>
            <w:tcW w:w="220" w:type="dxa"/>
            <w:vAlign w:val="bottom"/>
            <w:shd w:val="clear" w:color="auto" w:fill="F2F2F2"/>
          </w:tcPr>
          <w:p>
            <w:pPr>
              <w:spacing w:after="0"/>
              <w:rPr>
                <w:sz w:val="19"/>
                <w:szCs w:val="19"/>
                <w:color w:val="auto"/>
              </w:rPr>
            </w:pPr>
          </w:p>
        </w:tc>
        <w:tc>
          <w:tcPr>
            <w:tcW w:w="1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780" w:type="dxa"/>
            <w:vAlign w:val="bottom"/>
            <w:shd w:val="clear" w:color="auto" w:fill="F2F2F2"/>
          </w:tcPr>
          <w:p>
            <w:pPr>
              <w:spacing w:after="0"/>
              <w:rPr>
                <w:sz w:val="19"/>
                <w:szCs w:val="19"/>
                <w:color w:val="auto"/>
              </w:rPr>
            </w:pPr>
          </w:p>
        </w:tc>
        <w:tc>
          <w:tcPr>
            <w:tcW w:w="420" w:type="dxa"/>
            <w:vAlign w:val="bottom"/>
            <w:shd w:val="clear" w:color="auto" w:fill="F2F2F2"/>
          </w:tcPr>
          <w:p>
            <w:pPr>
              <w:spacing w:after="0"/>
              <w:rPr>
                <w:sz w:val="19"/>
                <w:szCs w:val="19"/>
                <w:color w:val="auto"/>
              </w:rPr>
            </w:pPr>
          </w:p>
        </w:tc>
        <w:tc>
          <w:tcPr>
            <w:tcW w:w="760" w:type="dxa"/>
            <w:vAlign w:val="bottom"/>
            <w:shd w:val="clear" w:color="auto" w:fill="F2F2F2"/>
          </w:tcPr>
          <w:p>
            <w:pPr>
              <w:spacing w:after="0"/>
              <w:rPr>
                <w:sz w:val="19"/>
                <w:szCs w:val="19"/>
                <w:color w:val="auto"/>
              </w:rPr>
            </w:pPr>
          </w:p>
        </w:tc>
        <w:tc>
          <w:tcPr>
            <w:tcW w:w="13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500" w:type="dxa"/>
            <w:vAlign w:val="bottom"/>
            <w:shd w:val="clear" w:color="auto" w:fill="F2F2F2"/>
          </w:tcPr>
          <w:p>
            <w:pPr>
              <w:spacing w:after="0"/>
              <w:rPr>
                <w:sz w:val="19"/>
                <w:szCs w:val="19"/>
                <w:color w:val="auto"/>
              </w:rPr>
            </w:pPr>
          </w:p>
        </w:tc>
        <w:tc>
          <w:tcPr>
            <w:tcW w:w="64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800" w:type="dxa"/>
            <w:vAlign w:val="bottom"/>
            <w:shd w:val="clear" w:color="auto" w:fill="F2F2F2"/>
          </w:tcPr>
          <w:p>
            <w:pPr>
              <w:spacing w:after="0"/>
              <w:rPr>
                <w:sz w:val="19"/>
                <w:szCs w:val="19"/>
                <w:color w:val="auto"/>
              </w:rPr>
            </w:pPr>
          </w:p>
        </w:tc>
        <w:tc>
          <w:tcPr>
            <w:tcW w:w="1420" w:type="dxa"/>
            <w:vAlign w:val="bottom"/>
            <w:shd w:val="clear" w:color="auto" w:fill="F2F2F2"/>
          </w:tcPr>
          <w:p>
            <w:pPr>
              <w:spacing w:after="0"/>
              <w:rPr>
                <w:sz w:val="19"/>
                <w:szCs w:val="19"/>
                <w:color w:val="auto"/>
              </w:rPr>
            </w:pPr>
          </w:p>
        </w:tc>
        <w:tc>
          <w:tcPr>
            <w:tcW w:w="1140" w:type="dxa"/>
            <w:vAlign w:val="bottom"/>
            <w:shd w:val="clear" w:color="auto" w:fill="F2F2F2"/>
          </w:tcPr>
          <w:p>
            <w:pPr>
              <w:spacing w:after="0"/>
              <w:rPr>
                <w:sz w:val="19"/>
                <w:szCs w:val="19"/>
                <w:color w:val="auto"/>
              </w:rPr>
            </w:pPr>
          </w:p>
        </w:tc>
        <w:tc>
          <w:tcPr>
            <w:tcW w:w="148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20" w:type="dxa"/>
            <w:vAlign w:val="bottom"/>
            <w:tcBorders>
              <w:top w:val="single" w:sz="8" w:color="F2F2F2"/>
            </w:tcBorders>
          </w:tcPr>
          <w:p>
            <w:pPr>
              <w:spacing w:after="0"/>
              <w:rPr>
                <w:sz w:val="12"/>
                <w:szCs w:val="12"/>
                <w:color w:val="auto"/>
              </w:rPr>
            </w:pPr>
          </w:p>
        </w:tc>
        <w:tc>
          <w:tcPr>
            <w:tcW w:w="220" w:type="dxa"/>
            <w:vAlign w:val="bottom"/>
            <w:tcBorders>
              <w:top w:val="single" w:sz="8" w:color="F2F2F2"/>
            </w:tcBorders>
          </w:tcPr>
          <w:p>
            <w:pPr>
              <w:spacing w:after="0"/>
              <w:rPr>
                <w:sz w:val="12"/>
                <w:szCs w:val="12"/>
                <w:color w:val="auto"/>
              </w:rPr>
            </w:pPr>
          </w:p>
        </w:tc>
        <w:tc>
          <w:tcPr>
            <w:tcW w:w="160" w:type="dxa"/>
            <w:vAlign w:val="bottom"/>
            <w:tcBorders>
              <w:top w:val="single" w:sz="8" w:color="F2F2F2"/>
            </w:tcBorders>
          </w:tcPr>
          <w:p>
            <w:pPr>
              <w:spacing w:after="0"/>
              <w:rPr>
                <w:sz w:val="12"/>
                <w:szCs w:val="12"/>
                <w:color w:val="auto"/>
              </w:rPr>
            </w:pPr>
          </w:p>
        </w:tc>
        <w:tc>
          <w:tcPr>
            <w:tcW w:w="120" w:type="dxa"/>
            <w:vAlign w:val="bottom"/>
            <w:tcBorders>
              <w:top w:val="single" w:sz="8" w:color="F2F2F2"/>
            </w:tcBorders>
          </w:tcPr>
          <w:p>
            <w:pPr>
              <w:spacing w:after="0"/>
              <w:rPr>
                <w:sz w:val="12"/>
                <w:szCs w:val="12"/>
                <w:color w:val="auto"/>
              </w:rPr>
            </w:pPr>
          </w:p>
        </w:tc>
        <w:tc>
          <w:tcPr>
            <w:tcW w:w="780" w:type="dxa"/>
            <w:vAlign w:val="bottom"/>
            <w:tcBorders>
              <w:top w:val="single" w:sz="8" w:color="F2F2F2"/>
            </w:tcBorders>
          </w:tcPr>
          <w:p>
            <w:pPr>
              <w:spacing w:after="0"/>
              <w:rPr>
                <w:sz w:val="12"/>
                <w:szCs w:val="12"/>
                <w:color w:val="auto"/>
              </w:rPr>
            </w:pPr>
          </w:p>
        </w:tc>
        <w:tc>
          <w:tcPr>
            <w:tcW w:w="420" w:type="dxa"/>
            <w:vAlign w:val="bottom"/>
            <w:tcBorders>
              <w:top w:val="single" w:sz="8" w:color="F2F2F2"/>
            </w:tcBorders>
          </w:tcPr>
          <w:p>
            <w:pPr>
              <w:spacing w:after="0"/>
              <w:rPr>
                <w:sz w:val="12"/>
                <w:szCs w:val="12"/>
                <w:color w:val="auto"/>
              </w:rPr>
            </w:pPr>
          </w:p>
        </w:tc>
        <w:tc>
          <w:tcPr>
            <w:tcW w:w="760" w:type="dxa"/>
            <w:vAlign w:val="bottom"/>
            <w:tcBorders>
              <w:top w:val="single" w:sz="8" w:color="F2F2F2"/>
            </w:tcBorders>
          </w:tcPr>
          <w:p>
            <w:pPr>
              <w:spacing w:after="0"/>
              <w:rPr>
                <w:sz w:val="12"/>
                <w:szCs w:val="12"/>
                <w:color w:val="auto"/>
              </w:rPr>
            </w:pPr>
          </w:p>
        </w:tc>
        <w:tc>
          <w:tcPr>
            <w:tcW w:w="820" w:type="dxa"/>
            <w:vAlign w:val="bottom"/>
            <w:tcBorders>
              <w:top w:val="single" w:sz="8" w:color="376DB5"/>
            </w:tcBorders>
          </w:tcPr>
          <w:p>
            <w:pPr>
              <w:spacing w:after="0"/>
              <w:rPr>
                <w:sz w:val="12"/>
                <w:szCs w:val="12"/>
                <w:color w:val="auto"/>
              </w:rPr>
            </w:pPr>
          </w:p>
        </w:tc>
        <w:tc>
          <w:tcPr>
            <w:tcW w:w="520" w:type="dxa"/>
            <w:vAlign w:val="bottom"/>
            <w:tcBorders>
              <w:top w:val="single" w:sz="8" w:color="F2F2F2"/>
            </w:tcBorders>
          </w:tcPr>
          <w:p>
            <w:pPr>
              <w:spacing w:after="0"/>
              <w:rPr>
                <w:sz w:val="12"/>
                <w:szCs w:val="12"/>
                <w:color w:val="auto"/>
              </w:rPr>
            </w:pPr>
          </w:p>
        </w:tc>
        <w:tc>
          <w:tcPr>
            <w:tcW w:w="500" w:type="dxa"/>
            <w:vAlign w:val="bottom"/>
            <w:tcBorders>
              <w:top w:val="single" w:sz="8" w:color="F2F2F2"/>
            </w:tcBorders>
          </w:tcPr>
          <w:p>
            <w:pPr>
              <w:spacing w:after="0"/>
              <w:rPr>
                <w:sz w:val="12"/>
                <w:szCs w:val="12"/>
                <w:color w:val="auto"/>
              </w:rPr>
            </w:pPr>
          </w:p>
        </w:tc>
        <w:tc>
          <w:tcPr>
            <w:tcW w:w="640" w:type="dxa"/>
            <w:vAlign w:val="bottom"/>
            <w:tcBorders>
              <w:top w:val="single" w:sz="8" w:color="F2F2F2"/>
            </w:tcBorders>
          </w:tcPr>
          <w:p>
            <w:pPr>
              <w:spacing w:after="0"/>
              <w:rPr>
                <w:sz w:val="12"/>
                <w:szCs w:val="12"/>
                <w:color w:val="auto"/>
              </w:rPr>
            </w:pPr>
          </w:p>
        </w:tc>
        <w:tc>
          <w:tcPr>
            <w:tcW w:w="120" w:type="dxa"/>
            <w:vAlign w:val="bottom"/>
            <w:tcBorders>
              <w:top w:val="single" w:sz="8" w:color="F2F2F2"/>
            </w:tcBorders>
          </w:tcPr>
          <w:p>
            <w:pPr>
              <w:spacing w:after="0"/>
              <w:rPr>
                <w:sz w:val="12"/>
                <w:szCs w:val="12"/>
                <w:color w:val="auto"/>
              </w:rPr>
            </w:pPr>
          </w:p>
        </w:tc>
        <w:tc>
          <w:tcPr>
            <w:tcW w:w="1800" w:type="dxa"/>
            <w:vAlign w:val="bottom"/>
            <w:tcBorders>
              <w:top w:val="single" w:sz="8" w:color="F2F2F2"/>
            </w:tcBorders>
          </w:tcPr>
          <w:p>
            <w:pPr>
              <w:spacing w:after="0"/>
              <w:rPr>
                <w:sz w:val="12"/>
                <w:szCs w:val="12"/>
                <w:color w:val="auto"/>
              </w:rPr>
            </w:pPr>
          </w:p>
        </w:tc>
        <w:tc>
          <w:tcPr>
            <w:tcW w:w="1420" w:type="dxa"/>
            <w:vAlign w:val="bottom"/>
            <w:tcBorders>
              <w:top w:val="single" w:sz="8" w:color="F2F2F2"/>
            </w:tcBorders>
          </w:tcPr>
          <w:p>
            <w:pPr>
              <w:spacing w:after="0"/>
              <w:rPr>
                <w:sz w:val="12"/>
                <w:szCs w:val="12"/>
                <w:color w:val="auto"/>
              </w:rPr>
            </w:pPr>
          </w:p>
        </w:tc>
        <w:tc>
          <w:tcPr>
            <w:tcW w:w="1140" w:type="dxa"/>
            <w:vAlign w:val="bottom"/>
            <w:tcBorders>
              <w:top w:val="single" w:sz="8" w:color="F2F2F2"/>
            </w:tcBorders>
          </w:tcPr>
          <w:p>
            <w:pPr>
              <w:spacing w:after="0"/>
              <w:rPr>
                <w:sz w:val="12"/>
                <w:szCs w:val="12"/>
                <w:color w:val="auto"/>
              </w:rPr>
            </w:pPr>
          </w:p>
        </w:tc>
        <w:tc>
          <w:tcPr>
            <w:tcW w:w="1480" w:type="dxa"/>
            <w:vAlign w:val="bottom"/>
            <w:tcBorders>
              <w:top w:val="single" w:sz="8" w:color="F2F2F2"/>
            </w:tcBorders>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120" w:type="dxa"/>
            <w:vAlign w:val="bottom"/>
            <w:shd w:val="clear" w:color="auto" w:fill="376DB5"/>
          </w:tcPr>
          <w:p>
            <w:pPr>
              <w:spacing w:after="0"/>
              <w:rPr>
                <w:sz w:val="20"/>
                <w:szCs w:val="20"/>
                <w:color w:val="auto"/>
              </w:rPr>
            </w:pPr>
            <w:r>
              <w:rPr>
                <w:rFonts w:ascii="Arial" w:cs="Arial" w:eastAsia="Arial" w:hAnsi="Arial"/>
                <w:sz w:val="13"/>
                <w:szCs w:val="13"/>
                <w:color w:val="auto"/>
                <w:w w:val="76"/>
              </w:rPr>
              <w:t> </w:t>
            </w:r>
          </w:p>
        </w:tc>
        <w:tc>
          <w:tcPr>
            <w:tcW w:w="220" w:type="dxa"/>
            <w:vAlign w:val="bottom"/>
            <w:shd w:val="clear" w:color="auto" w:fill="376DB5"/>
          </w:tcPr>
          <w:p>
            <w:pPr>
              <w:ind w:left="60"/>
              <w:spacing w:after="0"/>
              <w:rPr>
                <w:sz w:val="20"/>
                <w:szCs w:val="20"/>
                <w:color w:val="auto"/>
              </w:rPr>
            </w:pPr>
            <w:r>
              <w:rPr>
                <w:rFonts w:ascii="Arial" w:cs="Arial" w:eastAsia="Arial" w:hAnsi="Arial"/>
                <w:sz w:val="18"/>
                <w:szCs w:val="18"/>
                <w:color w:val="auto"/>
              </w:rPr>
              <w:t> </w:t>
            </w:r>
          </w:p>
        </w:tc>
        <w:tc>
          <w:tcPr>
            <w:tcW w:w="160" w:type="dxa"/>
            <w:vAlign w:val="bottom"/>
            <w:shd w:val="clear" w:color="auto" w:fill="376DB5"/>
          </w:tcPr>
          <w:p>
            <w:pPr>
              <w:spacing w:after="0"/>
              <w:rPr>
                <w:sz w:val="23"/>
                <w:szCs w:val="23"/>
                <w:color w:val="auto"/>
              </w:rPr>
            </w:pPr>
          </w:p>
        </w:tc>
        <w:tc>
          <w:tcPr>
            <w:tcW w:w="120" w:type="dxa"/>
            <w:vAlign w:val="bottom"/>
            <w:shd w:val="clear" w:color="auto" w:fill="376DB5"/>
          </w:tcPr>
          <w:p>
            <w:pPr>
              <w:spacing w:after="0"/>
              <w:rPr>
                <w:sz w:val="23"/>
                <w:szCs w:val="23"/>
                <w:color w:val="auto"/>
              </w:rPr>
            </w:pPr>
          </w:p>
        </w:tc>
        <w:tc>
          <w:tcPr>
            <w:tcW w:w="6360" w:type="dxa"/>
            <w:vAlign w:val="bottom"/>
            <w:gridSpan w:val="9"/>
            <w:vMerge w:val="restart"/>
            <w:shd w:val="clear" w:color="auto" w:fill="376DB5"/>
          </w:tcPr>
          <w:p>
            <w:pPr>
              <w:ind w:left="480"/>
              <w:spacing w:after="0"/>
              <w:rPr>
                <w:sz w:val="20"/>
                <w:szCs w:val="20"/>
                <w:color w:val="auto"/>
              </w:rPr>
            </w:pPr>
            <w:r>
              <w:rPr>
                <w:rFonts w:ascii="Arial" w:cs="Arial" w:eastAsia="Arial" w:hAnsi="Arial"/>
                <w:sz w:val="18"/>
                <w:szCs w:val="18"/>
                <w:b w:val="1"/>
                <w:bCs w:val="1"/>
                <w:color w:val="FFFFFF"/>
              </w:rPr>
              <w:t>Governance, Nominating and Executive Committee</w:t>
            </w:r>
          </w:p>
        </w:tc>
        <w:tc>
          <w:tcPr>
            <w:tcW w:w="1420" w:type="dxa"/>
            <w:vAlign w:val="bottom"/>
            <w:shd w:val="clear" w:color="auto" w:fill="376DB5"/>
          </w:tcPr>
          <w:p>
            <w:pPr>
              <w:spacing w:after="0"/>
              <w:rPr>
                <w:sz w:val="23"/>
                <w:szCs w:val="23"/>
                <w:color w:val="auto"/>
              </w:rPr>
            </w:pPr>
          </w:p>
        </w:tc>
        <w:tc>
          <w:tcPr>
            <w:tcW w:w="1140" w:type="dxa"/>
            <w:vAlign w:val="bottom"/>
            <w:shd w:val="clear" w:color="auto" w:fill="376DB5"/>
          </w:tcPr>
          <w:p>
            <w:pPr>
              <w:spacing w:after="0"/>
              <w:rPr>
                <w:sz w:val="23"/>
                <w:szCs w:val="23"/>
                <w:color w:val="auto"/>
              </w:rPr>
            </w:pPr>
          </w:p>
        </w:tc>
        <w:tc>
          <w:tcPr>
            <w:tcW w:w="1480" w:type="dxa"/>
            <w:vAlign w:val="bottom"/>
            <w:shd w:val="clear" w:color="auto" w:fill="376DB5"/>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120" w:type="dxa"/>
            <w:vAlign w:val="bottom"/>
            <w:shd w:val="clear" w:color="auto" w:fill="376DB5"/>
          </w:tcPr>
          <w:p>
            <w:pPr>
              <w:spacing w:after="0"/>
              <w:rPr>
                <w:sz w:val="17"/>
                <w:szCs w:val="17"/>
                <w:color w:val="auto"/>
              </w:rPr>
            </w:pPr>
          </w:p>
        </w:tc>
        <w:tc>
          <w:tcPr>
            <w:tcW w:w="220" w:type="dxa"/>
            <w:vAlign w:val="bottom"/>
            <w:shd w:val="clear" w:color="auto" w:fill="376DB5"/>
          </w:tcPr>
          <w:p>
            <w:pPr>
              <w:spacing w:after="0"/>
              <w:rPr>
                <w:sz w:val="17"/>
                <w:szCs w:val="17"/>
                <w:color w:val="auto"/>
              </w:rPr>
            </w:pPr>
          </w:p>
        </w:tc>
        <w:tc>
          <w:tcPr>
            <w:tcW w:w="160" w:type="dxa"/>
            <w:vAlign w:val="bottom"/>
            <w:shd w:val="clear" w:color="auto" w:fill="376DB5"/>
          </w:tcPr>
          <w:p>
            <w:pPr>
              <w:spacing w:after="0"/>
              <w:rPr>
                <w:sz w:val="17"/>
                <w:szCs w:val="17"/>
                <w:color w:val="auto"/>
              </w:rPr>
            </w:pPr>
          </w:p>
        </w:tc>
        <w:tc>
          <w:tcPr>
            <w:tcW w:w="120" w:type="dxa"/>
            <w:vAlign w:val="bottom"/>
            <w:shd w:val="clear" w:color="auto" w:fill="376DB5"/>
          </w:tcPr>
          <w:p>
            <w:pPr>
              <w:spacing w:after="0"/>
              <w:rPr>
                <w:sz w:val="17"/>
                <w:szCs w:val="17"/>
                <w:color w:val="auto"/>
              </w:rPr>
            </w:pPr>
          </w:p>
        </w:tc>
        <w:tc>
          <w:tcPr>
            <w:tcW w:w="6360" w:type="dxa"/>
            <w:vAlign w:val="bottom"/>
            <w:gridSpan w:val="9"/>
            <w:vMerge w:val="continue"/>
            <w:shd w:val="clear" w:color="auto" w:fill="376DB5"/>
          </w:tcPr>
          <w:p>
            <w:pPr>
              <w:spacing w:after="0"/>
              <w:rPr>
                <w:sz w:val="17"/>
                <w:szCs w:val="17"/>
                <w:color w:val="auto"/>
              </w:rPr>
            </w:pPr>
          </w:p>
        </w:tc>
        <w:tc>
          <w:tcPr>
            <w:tcW w:w="1420" w:type="dxa"/>
            <w:vAlign w:val="bottom"/>
            <w:shd w:val="clear" w:color="auto" w:fill="376DB5"/>
          </w:tcPr>
          <w:p>
            <w:pPr>
              <w:spacing w:after="0"/>
              <w:rPr>
                <w:sz w:val="17"/>
                <w:szCs w:val="17"/>
                <w:color w:val="auto"/>
              </w:rPr>
            </w:pPr>
          </w:p>
        </w:tc>
        <w:tc>
          <w:tcPr>
            <w:tcW w:w="1140" w:type="dxa"/>
            <w:vAlign w:val="bottom"/>
            <w:shd w:val="clear" w:color="auto" w:fill="376DB5"/>
          </w:tcPr>
          <w:p>
            <w:pPr>
              <w:spacing w:after="0"/>
              <w:rPr>
                <w:sz w:val="17"/>
                <w:szCs w:val="17"/>
                <w:color w:val="auto"/>
              </w:rPr>
            </w:pPr>
          </w:p>
        </w:tc>
        <w:tc>
          <w:tcPr>
            <w:tcW w:w="1480" w:type="dxa"/>
            <w:vAlign w:val="bottom"/>
            <w:shd w:val="clear" w:color="auto" w:fill="376DB5"/>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0" w:type="dxa"/>
            <w:vAlign w:val="bottom"/>
            <w:shd w:val="clear" w:color="auto" w:fill="376DB5"/>
          </w:tcPr>
          <w:p>
            <w:pPr>
              <w:spacing w:after="0"/>
              <w:rPr>
                <w:sz w:val="18"/>
                <w:szCs w:val="18"/>
                <w:color w:val="auto"/>
              </w:rPr>
            </w:pPr>
          </w:p>
        </w:tc>
        <w:tc>
          <w:tcPr>
            <w:tcW w:w="220" w:type="dxa"/>
            <w:vAlign w:val="bottom"/>
            <w:shd w:val="clear" w:color="auto" w:fill="376DB5"/>
          </w:tcPr>
          <w:p>
            <w:pPr>
              <w:spacing w:after="0"/>
              <w:rPr>
                <w:sz w:val="18"/>
                <w:szCs w:val="18"/>
                <w:color w:val="auto"/>
              </w:rPr>
            </w:pPr>
          </w:p>
        </w:tc>
        <w:tc>
          <w:tcPr>
            <w:tcW w:w="2240" w:type="dxa"/>
            <w:vAlign w:val="bottom"/>
            <w:gridSpan w:val="5"/>
            <w:shd w:val="clear" w:color="auto" w:fill="376DB5"/>
          </w:tcPr>
          <w:p>
            <w:pPr>
              <w:spacing w:after="0"/>
              <w:rPr>
                <w:sz w:val="18"/>
                <w:szCs w:val="18"/>
                <w:color w:val="auto"/>
              </w:rPr>
            </w:pPr>
          </w:p>
        </w:tc>
        <w:tc>
          <w:tcPr>
            <w:tcW w:w="820" w:type="dxa"/>
            <w:vAlign w:val="bottom"/>
            <w:shd w:val="clear" w:color="auto" w:fill="376DB5"/>
          </w:tcPr>
          <w:p>
            <w:pPr>
              <w:spacing w:after="0"/>
              <w:rPr>
                <w:sz w:val="18"/>
                <w:szCs w:val="18"/>
                <w:color w:val="auto"/>
              </w:rPr>
            </w:pPr>
          </w:p>
        </w:tc>
        <w:tc>
          <w:tcPr>
            <w:tcW w:w="520" w:type="dxa"/>
            <w:vAlign w:val="bottom"/>
            <w:shd w:val="clear" w:color="auto" w:fill="376DB5"/>
          </w:tcPr>
          <w:p>
            <w:pPr>
              <w:spacing w:after="0"/>
              <w:rPr>
                <w:sz w:val="18"/>
                <w:szCs w:val="18"/>
                <w:color w:val="auto"/>
              </w:rPr>
            </w:pPr>
          </w:p>
        </w:tc>
        <w:tc>
          <w:tcPr>
            <w:tcW w:w="500" w:type="dxa"/>
            <w:vAlign w:val="bottom"/>
            <w:shd w:val="clear" w:color="auto" w:fill="376DB5"/>
          </w:tcPr>
          <w:p>
            <w:pPr>
              <w:spacing w:after="0"/>
              <w:rPr>
                <w:sz w:val="18"/>
                <w:szCs w:val="18"/>
                <w:color w:val="auto"/>
              </w:rPr>
            </w:pPr>
          </w:p>
        </w:tc>
        <w:tc>
          <w:tcPr>
            <w:tcW w:w="640" w:type="dxa"/>
            <w:vAlign w:val="bottom"/>
            <w:shd w:val="clear" w:color="auto" w:fill="376DB5"/>
          </w:tcPr>
          <w:p>
            <w:pPr>
              <w:spacing w:after="0"/>
              <w:rPr>
                <w:sz w:val="18"/>
                <w:szCs w:val="18"/>
                <w:color w:val="auto"/>
              </w:rPr>
            </w:pPr>
          </w:p>
        </w:tc>
        <w:tc>
          <w:tcPr>
            <w:tcW w:w="120" w:type="dxa"/>
            <w:vAlign w:val="bottom"/>
            <w:shd w:val="clear" w:color="auto" w:fill="376DB5"/>
          </w:tcPr>
          <w:p>
            <w:pPr>
              <w:spacing w:after="0"/>
              <w:rPr>
                <w:sz w:val="18"/>
                <w:szCs w:val="18"/>
                <w:color w:val="auto"/>
              </w:rPr>
            </w:pPr>
          </w:p>
        </w:tc>
        <w:tc>
          <w:tcPr>
            <w:tcW w:w="1800" w:type="dxa"/>
            <w:vAlign w:val="bottom"/>
            <w:shd w:val="clear" w:color="auto" w:fill="376DB5"/>
          </w:tcPr>
          <w:p>
            <w:pPr>
              <w:spacing w:after="0"/>
              <w:rPr>
                <w:sz w:val="18"/>
                <w:szCs w:val="18"/>
                <w:color w:val="auto"/>
              </w:rPr>
            </w:pPr>
          </w:p>
        </w:tc>
        <w:tc>
          <w:tcPr>
            <w:tcW w:w="1420" w:type="dxa"/>
            <w:vAlign w:val="bottom"/>
            <w:shd w:val="clear" w:color="auto" w:fill="376DB5"/>
          </w:tcPr>
          <w:p>
            <w:pPr>
              <w:spacing w:after="0"/>
              <w:rPr>
                <w:sz w:val="18"/>
                <w:szCs w:val="18"/>
                <w:color w:val="auto"/>
              </w:rPr>
            </w:pPr>
          </w:p>
        </w:tc>
        <w:tc>
          <w:tcPr>
            <w:tcW w:w="1140" w:type="dxa"/>
            <w:vAlign w:val="bottom"/>
            <w:shd w:val="clear" w:color="auto" w:fill="376DB5"/>
          </w:tcPr>
          <w:p>
            <w:pPr>
              <w:spacing w:after="0"/>
              <w:rPr>
                <w:sz w:val="18"/>
                <w:szCs w:val="18"/>
                <w:color w:val="auto"/>
              </w:rPr>
            </w:pPr>
          </w:p>
        </w:tc>
        <w:tc>
          <w:tcPr>
            <w:tcW w:w="1480" w:type="dxa"/>
            <w:vAlign w:val="bottom"/>
            <w:shd w:val="clear" w:color="auto" w:fill="376DB5"/>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40" w:type="dxa"/>
            <w:vAlign w:val="bottom"/>
            <w:gridSpan w:val="5"/>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6"/>
        </w:trPr>
        <w:tc>
          <w:tcPr>
            <w:tcW w:w="120" w:type="dxa"/>
            <w:vAlign w:val="bottom"/>
            <w:shd w:val="clear" w:color="auto" w:fill="F2F2F2"/>
          </w:tcPr>
          <w:p>
            <w:pPr>
              <w:spacing w:after="0"/>
              <w:rPr>
                <w:sz w:val="24"/>
                <w:szCs w:val="24"/>
                <w:color w:val="auto"/>
              </w:rPr>
            </w:pPr>
          </w:p>
        </w:tc>
        <w:tc>
          <w:tcPr>
            <w:tcW w:w="220" w:type="dxa"/>
            <w:vAlign w:val="bottom"/>
            <w:shd w:val="clear" w:color="auto" w:fill="F2F2F2"/>
          </w:tcPr>
          <w:p>
            <w:pPr>
              <w:spacing w:after="0"/>
              <w:rPr>
                <w:sz w:val="24"/>
                <w:szCs w:val="24"/>
                <w:color w:val="auto"/>
              </w:rPr>
            </w:pPr>
          </w:p>
        </w:tc>
        <w:tc>
          <w:tcPr>
            <w:tcW w:w="2240" w:type="dxa"/>
            <w:vAlign w:val="bottom"/>
            <w:gridSpan w:val="5"/>
            <w:shd w:val="clear" w:color="auto" w:fill="F2F2F2"/>
          </w:tcPr>
          <w:p>
            <w:pPr>
              <w:ind w:left="120"/>
              <w:spacing w:after="0"/>
              <w:rPr>
                <w:sz w:val="20"/>
                <w:szCs w:val="20"/>
                <w:color w:val="auto"/>
              </w:rPr>
            </w:pPr>
            <w:r>
              <w:rPr>
                <w:rFonts w:ascii="Arial" w:cs="Arial" w:eastAsia="Arial" w:hAnsi="Arial"/>
                <w:sz w:val="18"/>
                <w:szCs w:val="18"/>
                <w:b w:val="1"/>
                <w:bCs w:val="1"/>
                <w:color w:val="376DB5"/>
              </w:rPr>
              <w:t>Committee Highlights</w:t>
            </w:r>
          </w:p>
        </w:tc>
        <w:tc>
          <w:tcPr>
            <w:tcW w:w="820" w:type="dxa"/>
            <w:vAlign w:val="bottom"/>
            <w:shd w:val="clear" w:color="auto" w:fill="F2F2F2"/>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500" w:type="dxa"/>
            <w:vAlign w:val="bottom"/>
            <w:shd w:val="clear" w:color="auto" w:fill="F2F2F2"/>
          </w:tcPr>
          <w:p>
            <w:pPr>
              <w:spacing w:after="0"/>
              <w:rPr>
                <w:sz w:val="24"/>
                <w:szCs w:val="24"/>
                <w:color w:val="auto"/>
              </w:rPr>
            </w:pPr>
          </w:p>
        </w:tc>
        <w:tc>
          <w:tcPr>
            <w:tcW w:w="640" w:type="dxa"/>
            <w:vAlign w:val="bottom"/>
            <w:shd w:val="clear" w:color="auto" w:fill="F2F2F2"/>
          </w:tcPr>
          <w:p>
            <w:pPr>
              <w:spacing w:after="0"/>
              <w:rPr>
                <w:sz w:val="24"/>
                <w:szCs w:val="24"/>
                <w:color w:val="auto"/>
              </w:rPr>
            </w:pPr>
          </w:p>
        </w:tc>
        <w:tc>
          <w:tcPr>
            <w:tcW w:w="120" w:type="dxa"/>
            <w:vAlign w:val="bottom"/>
            <w:shd w:val="clear" w:color="auto" w:fill="E8E8E8"/>
          </w:tcPr>
          <w:p>
            <w:pPr>
              <w:spacing w:after="0"/>
              <w:rPr>
                <w:sz w:val="24"/>
                <w:szCs w:val="24"/>
                <w:color w:val="auto"/>
              </w:rPr>
            </w:pPr>
          </w:p>
        </w:tc>
        <w:tc>
          <w:tcPr>
            <w:tcW w:w="3220" w:type="dxa"/>
            <w:vAlign w:val="bottom"/>
            <w:gridSpan w:val="2"/>
            <w:vMerge w:val="restart"/>
            <w:shd w:val="clear" w:color="auto" w:fill="E8E8E8"/>
          </w:tcPr>
          <w:p>
            <w:pPr>
              <w:spacing w:after="0"/>
              <w:rPr>
                <w:sz w:val="20"/>
                <w:szCs w:val="20"/>
                <w:color w:val="auto"/>
              </w:rPr>
            </w:pPr>
            <w:r>
              <w:rPr>
                <w:rFonts w:ascii="Arial" w:cs="Arial" w:eastAsia="Arial" w:hAnsi="Arial"/>
                <w:sz w:val="18"/>
                <w:szCs w:val="18"/>
                <w:b w:val="1"/>
                <w:bCs w:val="1"/>
                <w:color w:val="376DB5"/>
              </w:rPr>
              <w:t>Primary Responsibilities</w:t>
            </w:r>
          </w:p>
        </w:tc>
        <w:tc>
          <w:tcPr>
            <w:tcW w:w="1140" w:type="dxa"/>
            <w:vAlign w:val="bottom"/>
            <w:shd w:val="clear" w:color="auto" w:fill="E8E8E8"/>
          </w:tcPr>
          <w:p>
            <w:pPr>
              <w:spacing w:after="0"/>
              <w:rPr>
                <w:sz w:val="24"/>
                <w:szCs w:val="24"/>
                <w:color w:val="auto"/>
              </w:rPr>
            </w:pPr>
          </w:p>
        </w:tc>
        <w:tc>
          <w:tcPr>
            <w:tcW w:w="1480" w:type="dxa"/>
            <w:vAlign w:val="bottom"/>
            <w:shd w:val="clear" w:color="auto" w:fill="E8E8E8"/>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20" w:type="dxa"/>
            <w:vAlign w:val="bottom"/>
            <w:shd w:val="clear" w:color="auto" w:fill="F2F2F2"/>
          </w:tcPr>
          <w:p>
            <w:pPr>
              <w:spacing w:after="0"/>
              <w:rPr>
                <w:sz w:val="8"/>
                <w:szCs w:val="8"/>
                <w:color w:val="auto"/>
              </w:rPr>
            </w:pPr>
          </w:p>
        </w:tc>
        <w:tc>
          <w:tcPr>
            <w:tcW w:w="220" w:type="dxa"/>
            <w:vAlign w:val="bottom"/>
            <w:shd w:val="clear" w:color="auto" w:fill="F2F2F2"/>
          </w:tcPr>
          <w:p>
            <w:pPr>
              <w:spacing w:after="0"/>
              <w:rPr>
                <w:sz w:val="8"/>
                <w:szCs w:val="8"/>
                <w:color w:val="auto"/>
              </w:rPr>
            </w:pPr>
          </w:p>
        </w:tc>
        <w:tc>
          <w:tcPr>
            <w:tcW w:w="160" w:type="dxa"/>
            <w:vAlign w:val="bottom"/>
            <w:shd w:val="clear" w:color="auto" w:fill="F2F2F2"/>
          </w:tcPr>
          <w:p>
            <w:pPr>
              <w:spacing w:after="0"/>
              <w:rPr>
                <w:sz w:val="8"/>
                <w:szCs w:val="8"/>
                <w:color w:val="auto"/>
              </w:rPr>
            </w:pPr>
          </w:p>
        </w:tc>
        <w:tc>
          <w:tcPr>
            <w:tcW w:w="120" w:type="dxa"/>
            <w:vAlign w:val="bottom"/>
            <w:shd w:val="clear" w:color="auto" w:fill="F2F2F2"/>
          </w:tcPr>
          <w:p>
            <w:pPr>
              <w:spacing w:after="0"/>
              <w:rPr>
                <w:sz w:val="8"/>
                <w:szCs w:val="8"/>
                <w:color w:val="auto"/>
              </w:rPr>
            </w:pPr>
          </w:p>
        </w:tc>
        <w:tc>
          <w:tcPr>
            <w:tcW w:w="780" w:type="dxa"/>
            <w:vAlign w:val="bottom"/>
            <w:shd w:val="clear" w:color="auto" w:fill="F2F2F2"/>
          </w:tcPr>
          <w:p>
            <w:pPr>
              <w:spacing w:after="0"/>
              <w:rPr>
                <w:sz w:val="8"/>
                <w:szCs w:val="8"/>
                <w:color w:val="auto"/>
              </w:rPr>
            </w:pPr>
          </w:p>
        </w:tc>
        <w:tc>
          <w:tcPr>
            <w:tcW w:w="420" w:type="dxa"/>
            <w:vAlign w:val="bottom"/>
            <w:shd w:val="clear" w:color="auto" w:fill="F2F2F2"/>
          </w:tcPr>
          <w:p>
            <w:pPr>
              <w:spacing w:after="0"/>
              <w:rPr>
                <w:sz w:val="8"/>
                <w:szCs w:val="8"/>
                <w:color w:val="auto"/>
              </w:rPr>
            </w:pPr>
          </w:p>
        </w:tc>
        <w:tc>
          <w:tcPr>
            <w:tcW w:w="760" w:type="dxa"/>
            <w:vAlign w:val="bottom"/>
            <w:shd w:val="clear" w:color="auto" w:fill="F2F2F2"/>
          </w:tcPr>
          <w:p>
            <w:pPr>
              <w:spacing w:after="0"/>
              <w:rPr>
                <w:sz w:val="8"/>
                <w:szCs w:val="8"/>
                <w:color w:val="auto"/>
              </w:rPr>
            </w:pPr>
          </w:p>
        </w:tc>
        <w:tc>
          <w:tcPr>
            <w:tcW w:w="820" w:type="dxa"/>
            <w:vAlign w:val="bottom"/>
            <w:shd w:val="clear" w:color="auto" w:fill="F2F2F2"/>
          </w:tcPr>
          <w:p>
            <w:pPr>
              <w:spacing w:after="0"/>
              <w:rPr>
                <w:sz w:val="8"/>
                <w:szCs w:val="8"/>
                <w:color w:val="auto"/>
              </w:rPr>
            </w:pPr>
          </w:p>
        </w:tc>
        <w:tc>
          <w:tcPr>
            <w:tcW w:w="520" w:type="dxa"/>
            <w:vAlign w:val="bottom"/>
            <w:shd w:val="clear" w:color="auto" w:fill="F2F2F2"/>
          </w:tcPr>
          <w:p>
            <w:pPr>
              <w:spacing w:after="0"/>
              <w:rPr>
                <w:sz w:val="8"/>
                <w:szCs w:val="8"/>
                <w:color w:val="auto"/>
              </w:rPr>
            </w:pPr>
          </w:p>
        </w:tc>
        <w:tc>
          <w:tcPr>
            <w:tcW w:w="500" w:type="dxa"/>
            <w:vAlign w:val="bottom"/>
            <w:shd w:val="clear" w:color="auto" w:fill="F2F2F2"/>
          </w:tcPr>
          <w:p>
            <w:pPr>
              <w:spacing w:after="0"/>
              <w:rPr>
                <w:sz w:val="8"/>
                <w:szCs w:val="8"/>
                <w:color w:val="auto"/>
              </w:rPr>
            </w:pPr>
          </w:p>
        </w:tc>
        <w:tc>
          <w:tcPr>
            <w:tcW w:w="640" w:type="dxa"/>
            <w:vAlign w:val="bottom"/>
            <w:shd w:val="clear" w:color="auto" w:fill="F2F2F2"/>
          </w:tcPr>
          <w:p>
            <w:pPr>
              <w:spacing w:after="0"/>
              <w:rPr>
                <w:sz w:val="8"/>
                <w:szCs w:val="8"/>
                <w:color w:val="auto"/>
              </w:rPr>
            </w:pPr>
          </w:p>
        </w:tc>
        <w:tc>
          <w:tcPr>
            <w:tcW w:w="120" w:type="dxa"/>
            <w:vAlign w:val="bottom"/>
            <w:shd w:val="clear" w:color="auto" w:fill="E8E8E8"/>
          </w:tcPr>
          <w:p>
            <w:pPr>
              <w:spacing w:after="0"/>
              <w:rPr>
                <w:sz w:val="8"/>
                <w:szCs w:val="8"/>
                <w:color w:val="auto"/>
              </w:rPr>
            </w:pPr>
          </w:p>
        </w:tc>
        <w:tc>
          <w:tcPr>
            <w:tcW w:w="3220" w:type="dxa"/>
            <w:vAlign w:val="bottom"/>
            <w:gridSpan w:val="2"/>
            <w:vMerge w:val="continue"/>
            <w:shd w:val="clear" w:color="auto" w:fill="E8E8E8"/>
          </w:tcPr>
          <w:p>
            <w:pPr>
              <w:spacing w:after="0"/>
              <w:rPr>
                <w:sz w:val="8"/>
                <w:szCs w:val="8"/>
                <w:color w:val="auto"/>
              </w:rPr>
            </w:pPr>
          </w:p>
        </w:tc>
        <w:tc>
          <w:tcPr>
            <w:tcW w:w="1140" w:type="dxa"/>
            <w:vAlign w:val="bottom"/>
            <w:shd w:val="clear" w:color="auto" w:fill="E8E8E8"/>
          </w:tcPr>
          <w:p>
            <w:pPr>
              <w:spacing w:after="0"/>
              <w:rPr>
                <w:sz w:val="8"/>
                <w:szCs w:val="8"/>
                <w:color w:val="auto"/>
              </w:rPr>
            </w:pPr>
          </w:p>
        </w:tc>
        <w:tc>
          <w:tcPr>
            <w:tcW w:w="1480" w:type="dxa"/>
            <w:vAlign w:val="bottom"/>
            <w:shd w:val="clear" w:color="auto" w:fill="E8E8E8"/>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120" w:type="dxa"/>
            <w:vAlign w:val="bottom"/>
            <w:shd w:val="clear" w:color="auto" w:fill="F2F2F2"/>
          </w:tcPr>
          <w:p>
            <w:pPr>
              <w:spacing w:after="0"/>
              <w:rPr>
                <w:sz w:val="20"/>
                <w:szCs w:val="20"/>
                <w:color w:val="auto"/>
              </w:rPr>
            </w:pPr>
            <w:r>
              <w:rPr>
                <w:rFonts w:ascii="Arial" w:cs="Arial" w:eastAsia="Arial" w:hAnsi="Arial"/>
                <w:sz w:val="13"/>
                <w:szCs w:val="13"/>
                <w:color w:val="auto"/>
                <w:w w:val="76"/>
              </w:rPr>
              <w:t> </w:t>
            </w:r>
          </w:p>
        </w:tc>
        <w:tc>
          <w:tcPr>
            <w:tcW w:w="220" w:type="dxa"/>
            <w:vAlign w:val="bottom"/>
            <w:shd w:val="clear" w:color="auto" w:fill="F2F2F2"/>
          </w:tcPr>
          <w:p>
            <w:pPr>
              <w:ind w:left="60"/>
              <w:spacing w:after="0"/>
              <w:rPr>
                <w:sz w:val="20"/>
                <w:szCs w:val="20"/>
                <w:color w:val="auto"/>
              </w:rPr>
            </w:pPr>
            <w:r>
              <w:rPr>
                <w:rFonts w:ascii="Arial" w:cs="Arial" w:eastAsia="Arial" w:hAnsi="Arial"/>
                <w:sz w:val="18"/>
                <w:szCs w:val="18"/>
                <w:color w:val="auto"/>
              </w:rPr>
              <w:t> </w:t>
            </w:r>
          </w:p>
        </w:tc>
        <w:tc>
          <w:tcPr>
            <w:tcW w:w="1060" w:type="dxa"/>
            <w:vAlign w:val="bottom"/>
            <w:gridSpan w:val="3"/>
            <w:vMerge w:val="restart"/>
            <w:shd w:val="clear" w:color="auto" w:fill="F2F2F2"/>
          </w:tcPr>
          <w:p>
            <w:pPr>
              <w:ind w:left="780"/>
              <w:spacing w:after="0"/>
              <w:rPr>
                <w:sz w:val="20"/>
                <w:szCs w:val="20"/>
                <w:color w:val="auto"/>
              </w:rPr>
            </w:pPr>
            <w:r>
              <w:rPr>
                <w:rFonts w:ascii="Arial" w:cs="Arial" w:eastAsia="Arial" w:hAnsi="Arial"/>
                <w:sz w:val="18"/>
                <w:szCs w:val="18"/>
                <w:color w:val="376DB5"/>
              </w:rPr>
              <w:t>4</w:t>
            </w:r>
          </w:p>
        </w:tc>
        <w:tc>
          <w:tcPr>
            <w:tcW w:w="420" w:type="dxa"/>
            <w:vAlign w:val="bottom"/>
            <w:shd w:val="clear" w:color="auto" w:fill="F2F2F2"/>
          </w:tcPr>
          <w:p>
            <w:pPr>
              <w:spacing w:after="0"/>
              <w:rPr>
                <w:sz w:val="24"/>
                <w:szCs w:val="24"/>
                <w:color w:val="auto"/>
              </w:rPr>
            </w:pPr>
          </w:p>
        </w:tc>
        <w:tc>
          <w:tcPr>
            <w:tcW w:w="2100" w:type="dxa"/>
            <w:vAlign w:val="bottom"/>
            <w:gridSpan w:val="3"/>
            <w:vMerge w:val="restart"/>
            <w:shd w:val="clear" w:color="auto" w:fill="F2F2F2"/>
          </w:tcPr>
          <w:p>
            <w:pPr>
              <w:ind w:left="180"/>
              <w:spacing w:after="0"/>
              <w:rPr>
                <w:sz w:val="20"/>
                <w:szCs w:val="20"/>
                <w:color w:val="auto"/>
              </w:rPr>
            </w:pPr>
            <w:r>
              <w:rPr>
                <w:rFonts w:ascii="Arial" w:cs="Arial" w:eastAsia="Arial" w:hAnsi="Arial"/>
                <w:sz w:val="18"/>
                <w:szCs w:val="18"/>
                <w:color w:val="376DB5"/>
              </w:rPr>
              <w:t>Members</w:t>
            </w:r>
          </w:p>
        </w:tc>
        <w:tc>
          <w:tcPr>
            <w:tcW w:w="500" w:type="dxa"/>
            <w:vAlign w:val="bottom"/>
            <w:shd w:val="clear" w:color="auto" w:fill="F2F2F2"/>
          </w:tcPr>
          <w:p>
            <w:pPr>
              <w:spacing w:after="0"/>
              <w:rPr>
                <w:sz w:val="24"/>
                <w:szCs w:val="24"/>
                <w:color w:val="auto"/>
              </w:rPr>
            </w:pPr>
          </w:p>
        </w:tc>
        <w:tc>
          <w:tcPr>
            <w:tcW w:w="640" w:type="dxa"/>
            <w:vAlign w:val="bottom"/>
            <w:shd w:val="clear" w:color="auto" w:fill="F2F2F2"/>
          </w:tcPr>
          <w:p>
            <w:pPr>
              <w:spacing w:after="0"/>
              <w:rPr>
                <w:sz w:val="20"/>
                <w:szCs w:val="20"/>
                <w:color w:val="auto"/>
              </w:rPr>
            </w:pPr>
            <w:r>
              <w:rPr>
                <w:rFonts w:ascii="Arial" w:cs="Arial" w:eastAsia="Arial" w:hAnsi="Arial"/>
                <w:sz w:val="18"/>
                <w:szCs w:val="18"/>
                <w:color w:val="376DB5"/>
              </w:rPr>
              <w:t> </w:t>
            </w:r>
          </w:p>
        </w:tc>
        <w:tc>
          <w:tcPr>
            <w:tcW w:w="120" w:type="dxa"/>
            <w:vAlign w:val="bottom"/>
            <w:shd w:val="clear" w:color="auto" w:fill="E8E8E8"/>
          </w:tcPr>
          <w:p>
            <w:pPr>
              <w:spacing w:after="0"/>
              <w:rPr>
                <w:sz w:val="24"/>
                <w:szCs w:val="24"/>
                <w:color w:val="auto"/>
              </w:rPr>
            </w:pPr>
          </w:p>
        </w:tc>
        <w:tc>
          <w:tcPr>
            <w:tcW w:w="5840" w:type="dxa"/>
            <w:vAlign w:val="bottom"/>
            <w:gridSpan w:val="4"/>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 Reviews annually with the Board the composition (e.g., skills,</w:t>
            </w:r>
          </w:p>
        </w:tc>
        <w:tc>
          <w:tcPr>
            <w:tcW w:w="0" w:type="dxa"/>
            <w:vAlign w:val="bottom"/>
          </w:tcPr>
          <w:p>
            <w:pPr>
              <w:spacing w:after="0"/>
              <w:rPr>
                <w:sz w:val="1"/>
                <w:szCs w:val="1"/>
                <w:color w:val="auto"/>
              </w:rPr>
            </w:pPr>
          </w:p>
        </w:tc>
      </w:tr>
      <w:tr>
        <w:trPr>
          <w:trHeight w:val="122"/>
        </w:trPr>
        <w:tc>
          <w:tcPr>
            <w:tcW w:w="120" w:type="dxa"/>
            <w:vAlign w:val="bottom"/>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1060" w:type="dxa"/>
            <w:vAlign w:val="bottom"/>
            <w:gridSpan w:val="3"/>
            <w:vMerge w:val="continue"/>
            <w:shd w:val="clear" w:color="auto" w:fill="F2F2F2"/>
          </w:tcPr>
          <w:p>
            <w:pPr>
              <w:spacing w:after="0"/>
              <w:rPr>
                <w:sz w:val="10"/>
                <w:szCs w:val="10"/>
                <w:color w:val="auto"/>
              </w:rPr>
            </w:pPr>
          </w:p>
        </w:tc>
        <w:tc>
          <w:tcPr>
            <w:tcW w:w="420" w:type="dxa"/>
            <w:vAlign w:val="bottom"/>
            <w:shd w:val="clear" w:color="auto" w:fill="F2F2F2"/>
          </w:tcPr>
          <w:p>
            <w:pPr>
              <w:spacing w:after="0"/>
              <w:rPr>
                <w:sz w:val="10"/>
                <w:szCs w:val="10"/>
                <w:color w:val="auto"/>
              </w:rPr>
            </w:pPr>
          </w:p>
        </w:tc>
        <w:tc>
          <w:tcPr>
            <w:tcW w:w="2100" w:type="dxa"/>
            <w:vAlign w:val="bottom"/>
            <w:gridSpan w:val="3"/>
            <w:vMerge w:val="continue"/>
            <w:shd w:val="clear" w:color="auto" w:fill="F2F2F2"/>
          </w:tcPr>
          <w:p>
            <w:pPr>
              <w:spacing w:after="0"/>
              <w:rPr>
                <w:sz w:val="10"/>
                <w:szCs w:val="10"/>
                <w:color w:val="auto"/>
              </w:rPr>
            </w:pPr>
          </w:p>
        </w:tc>
        <w:tc>
          <w:tcPr>
            <w:tcW w:w="500" w:type="dxa"/>
            <w:vAlign w:val="bottom"/>
            <w:shd w:val="clear" w:color="auto" w:fill="F2F2F2"/>
          </w:tcPr>
          <w:p>
            <w:pPr>
              <w:spacing w:after="0"/>
              <w:rPr>
                <w:sz w:val="10"/>
                <w:szCs w:val="10"/>
                <w:color w:val="auto"/>
              </w:rPr>
            </w:pPr>
          </w:p>
        </w:tc>
        <w:tc>
          <w:tcPr>
            <w:tcW w:w="640" w:type="dxa"/>
            <w:vAlign w:val="bottom"/>
            <w:shd w:val="clear" w:color="auto" w:fill="F2F2F2"/>
          </w:tcPr>
          <w:p>
            <w:pPr>
              <w:spacing w:after="0"/>
              <w:rPr>
                <w:sz w:val="10"/>
                <w:szCs w:val="10"/>
                <w:color w:val="auto"/>
              </w:rPr>
            </w:pPr>
          </w:p>
        </w:tc>
        <w:tc>
          <w:tcPr>
            <w:tcW w:w="120" w:type="dxa"/>
            <w:vAlign w:val="bottom"/>
            <w:shd w:val="clear" w:color="auto" w:fill="E8E8E8"/>
          </w:tcPr>
          <w:p>
            <w:pPr>
              <w:spacing w:after="0"/>
              <w:rPr>
                <w:sz w:val="10"/>
                <w:szCs w:val="10"/>
                <w:color w:val="auto"/>
              </w:rPr>
            </w:pPr>
          </w:p>
        </w:tc>
        <w:tc>
          <w:tcPr>
            <w:tcW w:w="5840" w:type="dxa"/>
            <w:vAlign w:val="bottom"/>
            <w:gridSpan w:val="4"/>
            <w:vMerge w:val="restart"/>
            <w:shd w:val="clear" w:color="auto" w:fill="E8E8E8"/>
          </w:tcPr>
          <w:p>
            <w:pPr>
              <w:ind w:left="200"/>
              <w:spacing w:after="0" w:line="202" w:lineRule="exact"/>
              <w:rPr>
                <w:sz w:val="20"/>
                <w:szCs w:val="20"/>
                <w:color w:val="auto"/>
              </w:rPr>
            </w:pPr>
            <w:r>
              <w:rPr>
                <w:rFonts w:ascii="Arial" w:cs="Arial" w:eastAsia="Arial" w:hAnsi="Arial"/>
                <w:sz w:val="18"/>
                <w:szCs w:val="18"/>
                <w:color w:val="auto"/>
              </w:rPr>
              <w:t>experience, diversity, age) of the Board, the requisite skills and</w:t>
            </w:r>
          </w:p>
        </w:tc>
        <w:tc>
          <w:tcPr>
            <w:tcW w:w="0" w:type="dxa"/>
            <w:vAlign w:val="bottom"/>
          </w:tcPr>
          <w:p>
            <w:pPr>
              <w:spacing w:after="0"/>
              <w:rPr>
                <w:sz w:val="1"/>
                <w:szCs w:val="1"/>
                <w:color w:val="auto"/>
              </w:rPr>
            </w:pPr>
          </w:p>
        </w:tc>
      </w:tr>
      <w:tr>
        <w:trPr>
          <w:trHeight w:val="81"/>
        </w:trPr>
        <w:tc>
          <w:tcPr>
            <w:tcW w:w="12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1200" w:type="dxa"/>
            <w:vAlign w:val="bottom"/>
            <w:gridSpan w:val="2"/>
            <w:vMerge w:val="restart"/>
            <w:shd w:val="clear" w:color="auto" w:fill="F2F2F2"/>
          </w:tcPr>
          <w:p>
            <w:pPr>
              <w:ind w:left="180"/>
              <w:spacing w:after="0" w:line="202" w:lineRule="exact"/>
              <w:rPr>
                <w:sz w:val="20"/>
                <w:szCs w:val="20"/>
                <w:color w:val="auto"/>
              </w:rPr>
            </w:pPr>
            <w:r>
              <w:rPr>
                <w:rFonts w:ascii="Arial" w:cs="Arial" w:eastAsia="Arial" w:hAnsi="Arial"/>
                <w:sz w:val="18"/>
                <w:szCs w:val="18"/>
                <w:color w:val="376DB5"/>
              </w:rPr>
              <w:t>Meetings</w:t>
            </w:r>
          </w:p>
        </w:tc>
        <w:tc>
          <w:tcPr>
            <w:tcW w:w="2100" w:type="dxa"/>
            <w:vAlign w:val="bottom"/>
            <w:gridSpan w:val="3"/>
            <w:vMerge w:val="restart"/>
            <w:shd w:val="clear" w:color="auto" w:fill="F2F2F2"/>
          </w:tcPr>
          <w:p>
            <w:pPr>
              <w:ind w:left="180"/>
              <w:spacing w:after="0" w:line="202" w:lineRule="exact"/>
              <w:rPr>
                <w:sz w:val="20"/>
                <w:szCs w:val="20"/>
                <w:color w:val="auto"/>
              </w:rPr>
            </w:pPr>
            <w:r>
              <w:rPr>
                <w:rFonts w:ascii="Arial" w:cs="Arial" w:eastAsia="Arial" w:hAnsi="Arial"/>
                <w:sz w:val="18"/>
                <w:szCs w:val="18"/>
                <w:color w:val="auto"/>
              </w:rPr>
              <w:t>Braden R. Kelly (Chair)</w:t>
            </w:r>
          </w:p>
        </w:tc>
        <w:tc>
          <w:tcPr>
            <w:tcW w:w="500" w:type="dxa"/>
            <w:vAlign w:val="bottom"/>
            <w:shd w:val="clear" w:color="auto" w:fill="F2F2F2"/>
          </w:tcPr>
          <w:p>
            <w:pPr>
              <w:spacing w:after="0"/>
              <w:rPr>
                <w:sz w:val="7"/>
                <w:szCs w:val="7"/>
                <w:color w:val="auto"/>
              </w:rPr>
            </w:pPr>
          </w:p>
        </w:tc>
        <w:tc>
          <w:tcPr>
            <w:tcW w:w="640" w:type="dxa"/>
            <w:vAlign w:val="bottom"/>
            <w:shd w:val="clear" w:color="auto" w:fill="F2F2F2"/>
          </w:tcPr>
          <w:p>
            <w:pPr>
              <w:spacing w:after="0"/>
              <w:rPr>
                <w:sz w:val="7"/>
                <w:szCs w:val="7"/>
                <w:color w:val="auto"/>
              </w:rPr>
            </w:pPr>
          </w:p>
        </w:tc>
        <w:tc>
          <w:tcPr>
            <w:tcW w:w="120" w:type="dxa"/>
            <w:vAlign w:val="bottom"/>
            <w:shd w:val="clear" w:color="auto" w:fill="E8E8E8"/>
          </w:tcPr>
          <w:p>
            <w:pPr>
              <w:spacing w:after="0"/>
              <w:rPr>
                <w:sz w:val="7"/>
                <w:szCs w:val="7"/>
                <w:color w:val="auto"/>
              </w:rPr>
            </w:pPr>
          </w:p>
        </w:tc>
        <w:tc>
          <w:tcPr>
            <w:tcW w:w="5840" w:type="dxa"/>
            <w:vAlign w:val="bottom"/>
            <w:gridSpan w:val="4"/>
            <w:vMerge w:val="continue"/>
            <w:shd w:val="clear" w:color="auto" w:fill="E8E8E8"/>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20" w:type="dxa"/>
            <w:vAlign w:val="bottom"/>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120" w:type="dxa"/>
            <w:vAlign w:val="bottom"/>
            <w:shd w:val="clear" w:color="auto" w:fill="F2F2F2"/>
          </w:tcPr>
          <w:p>
            <w:pPr>
              <w:spacing w:after="0"/>
              <w:rPr>
                <w:sz w:val="10"/>
                <w:szCs w:val="10"/>
                <w:color w:val="auto"/>
              </w:rPr>
            </w:pPr>
          </w:p>
        </w:tc>
        <w:tc>
          <w:tcPr>
            <w:tcW w:w="1200" w:type="dxa"/>
            <w:vAlign w:val="bottom"/>
            <w:gridSpan w:val="2"/>
            <w:vMerge w:val="continue"/>
            <w:shd w:val="clear" w:color="auto" w:fill="F2F2F2"/>
          </w:tcPr>
          <w:p>
            <w:pPr>
              <w:spacing w:after="0"/>
              <w:rPr>
                <w:sz w:val="10"/>
                <w:szCs w:val="10"/>
                <w:color w:val="auto"/>
              </w:rPr>
            </w:pPr>
          </w:p>
        </w:tc>
        <w:tc>
          <w:tcPr>
            <w:tcW w:w="2100" w:type="dxa"/>
            <w:vAlign w:val="bottom"/>
            <w:gridSpan w:val="3"/>
            <w:vMerge w:val="continue"/>
            <w:shd w:val="clear" w:color="auto" w:fill="F2F2F2"/>
          </w:tcPr>
          <w:p>
            <w:pPr>
              <w:spacing w:after="0"/>
              <w:rPr>
                <w:sz w:val="10"/>
                <w:szCs w:val="10"/>
                <w:color w:val="auto"/>
              </w:rPr>
            </w:pPr>
          </w:p>
        </w:tc>
        <w:tc>
          <w:tcPr>
            <w:tcW w:w="500" w:type="dxa"/>
            <w:vAlign w:val="bottom"/>
            <w:shd w:val="clear" w:color="auto" w:fill="F2F2F2"/>
          </w:tcPr>
          <w:p>
            <w:pPr>
              <w:spacing w:after="0"/>
              <w:rPr>
                <w:sz w:val="10"/>
                <w:szCs w:val="10"/>
                <w:color w:val="auto"/>
              </w:rPr>
            </w:pPr>
          </w:p>
        </w:tc>
        <w:tc>
          <w:tcPr>
            <w:tcW w:w="640" w:type="dxa"/>
            <w:vAlign w:val="bottom"/>
            <w:shd w:val="clear" w:color="auto" w:fill="F2F2F2"/>
          </w:tcPr>
          <w:p>
            <w:pPr>
              <w:spacing w:after="0"/>
              <w:rPr>
                <w:sz w:val="10"/>
                <w:szCs w:val="10"/>
                <w:color w:val="auto"/>
              </w:rPr>
            </w:pPr>
          </w:p>
        </w:tc>
        <w:tc>
          <w:tcPr>
            <w:tcW w:w="120" w:type="dxa"/>
            <w:vAlign w:val="bottom"/>
            <w:shd w:val="clear" w:color="auto" w:fill="E8E8E8"/>
          </w:tcPr>
          <w:p>
            <w:pPr>
              <w:spacing w:after="0"/>
              <w:rPr>
                <w:sz w:val="10"/>
                <w:szCs w:val="10"/>
                <w:color w:val="auto"/>
              </w:rPr>
            </w:pPr>
          </w:p>
        </w:tc>
        <w:tc>
          <w:tcPr>
            <w:tcW w:w="5840" w:type="dxa"/>
            <w:vAlign w:val="bottom"/>
            <w:gridSpan w:val="4"/>
            <w:vMerge w:val="restart"/>
            <w:shd w:val="clear" w:color="auto" w:fill="E8E8E8"/>
          </w:tcPr>
          <w:p>
            <w:pPr>
              <w:ind w:left="200"/>
              <w:spacing w:after="0" w:line="202" w:lineRule="exact"/>
              <w:rPr>
                <w:sz w:val="20"/>
                <w:szCs w:val="20"/>
                <w:color w:val="auto"/>
              </w:rPr>
            </w:pPr>
            <w:r>
              <w:rPr>
                <w:rFonts w:ascii="Arial" w:cs="Arial" w:eastAsia="Arial" w:hAnsi="Arial"/>
                <w:sz w:val="18"/>
                <w:szCs w:val="18"/>
                <w:color w:val="auto"/>
              </w:rPr>
              <w:t>characteristics of new Board members, and the performance and</w:t>
            </w:r>
          </w:p>
        </w:tc>
        <w:tc>
          <w:tcPr>
            <w:tcW w:w="0" w:type="dxa"/>
            <w:vAlign w:val="bottom"/>
          </w:tcPr>
          <w:p>
            <w:pPr>
              <w:spacing w:after="0"/>
              <w:rPr>
                <w:sz w:val="1"/>
                <w:szCs w:val="1"/>
                <w:color w:val="auto"/>
              </w:rPr>
            </w:pPr>
          </w:p>
        </w:tc>
      </w:tr>
      <w:tr>
        <w:trPr>
          <w:trHeight w:val="81"/>
        </w:trPr>
        <w:tc>
          <w:tcPr>
            <w:tcW w:w="120" w:type="dxa"/>
            <w:vAlign w:val="bottom"/>
            <w:shd w:val="clear" w:color="auto" w:fill="F2F2F2"/>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1320" w:type="dxa"/>
            <w:vAlign w:val="bottom"/>
            <w:gridSpan w:val="3"/>
            <w:vMerge w:val="restart"/>
            <w:shd w:val="clear" w:color="auto" w:fill="F2F2F2"/>
          </w:tcPr>
          <w:p>
            <w:pPr>
              <w:ind w:left="40"/>
              <w:spacing w:after="0" w:line="202" w:lineRule="exact"/>
              <w:rPr>
                <w:sz w:val="20"/>
                <w:szCs w:val="20"/>
                <w:color w:val="auto"/>
              </w:rPr>
            </w:pPr>
            <w:r>
              <w:rPr>
                <w:rFonts w:ascii="Arial" w:cs="Arial" w:eastAsia="Arial" w:hAnsi="Arial"/>
                <w:sz w:val="18"/>
                <w:szCs w:val="18"/>
                <w:color w:val="auto"/>
              </w:rPr>
              <w:t>   Fiscal 2025</w:t>
            </w:r>
          </w:p>
        </w:tc>
        <w:tc>
          <w:tcPr>
            <w:tcW w:w="2100" w:type="dxa"/>
            <w:vAlign w:val="bottom"/>
            <w:gridSpan w:val="3"/>
            <w:vMerge w:val="restart"/>
            <w:shd w:val="clear" w:color="auto" w:fill="F2F2F2"/>
          </w:tcPr>
          <w:p>
            <w:pPr>
              <w:ind w:left="180"/>
              <w:spacing w:after="0" w:line="202" w:lineRule="exact"/>
              <w:rPr>
                <w:sz w:val="20"/>
                <w:szCs w:val="20"/>
                <w:color w:val="auto"/>
              </w:rPr>
            </w:pPr>
            <w:r>
              <w:rPr>
                <w:rFonts w:ascii="Arial" w:cs="Arial" w:eastAsia="Arial" w:hAnsi="Arial"/>
                <w:sz w:val="18"/>
                <w:szCs w:val="18"/>
                <w:color w:val="auto"/>
              </w:rPr>
              <w:t>Joanna Rees</w:t>
            </w:r>
          </w:p>
        </w:tc>
        <w:tc>
          <w:tcPr>
            <w:tcW w:w="500" w:type="dxa"/>
            <w:vAlign w:val="bottom"/>
            <w:shd w:val="clear" w:color="auto" w:fill="F2F2F2"/>
          </w:tcPr>
          <w:p>
            <w:pPr>
              <w:spacing w:after="0"/>
              <w:rPr>
                <w:sz w:val="7"/>
                <w:szCs w:val="7"/>
                <w:color w:val="auto"/>
              </w:rPr>
            </w:pPr>
          </w:p>
        </w:tc>
        <w:tc>
          <w:tcPr>
            <w:tcW w:w="640" w:type="dxa"/>
            <w:vAlign w:val="bottom"/>
            <w:shd w:val="clear" w:color="auto" w:fill="F2F2F2"/>
          </w:tcPr>
          <w:p>
            <w:pPr>
              <w:spacing w:after="0"/>
              <w:rPr>
                <w:sz w:val="7"/>
                <w:szCs w:val="7"/>
                <w:color w:val="auto"/>
              </w:rPr>
            </w:pPr>
          </w:p>
        </w:tc>
        <w:tc>
          <w:tcPr>
            <w:tcW w:w="120" w:type="dxa"/>
            <w:vAlign w:val="bottom"/>
            <w:shd w:val="clear" w:color="auto" w:fill="E8E8E8"/>
          </w:tcPr>
          <w:p>
            <w:pPr>
              <w:spacing w:after="0"/>
              <w:rPr>
                <w:sz w:val="7"/>
                <w:szCs w:val="7"/>
                <w:color w:val="auto"/>
              </w:rPr>
            </w:pPr>
          </w:p>
        </w:tc>
        <w:tc>
          <w:tcPr>
            <w:tcW w:w="5840" w:type="dxa"/>
            <w:vAlign w:val="bottom"/>
            <w:gridSpan w:val="4"/>
            <w:vMerge w:val="continue"/>
            <w:shd w:val="clear" w:color="auto" w:fill="E8E8E8"/>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20" w:type="dxa"/>
            <w:vAlign w:val="bottom"/>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1320" w:type="dxa"/>
            <w:vAlign w:val="bottom"/>
            <w:gridSpan w:val="3"/>
            <w:vMerge w:val="continue"/>
            <w:shd w:val="clear" w:color="auto" w:fill="F2F2F2"/>
          </w:tcPr>
          <w:p>
            <w:pPr>
              <w:spacing w:after="0"/>
              <w:rPr>
                <w:sz w:val="10"/>
                <w:szCs w:val="10"/>
                <w:color w:val="auto"/>
              </w:rPr>
            </w:pPr>
          </w:p>
        </w:tc>
        <w:tc>
          <w:tcPr>
            <w:tcW w:w="2100" w:type="dxa"/>
            <w:vAlign w:val="bottom"/>
            <w:gridSpan w:val="3"/>
            <w:vMerge w:val="continue"/>
            <w:shd w:val="clear" w:color="auto" w:fill="F2F2F2"/>
          </w:tcPr>
          <w:p>
            <w:pPr>
              <w:spacing w:after="0"/>
              <w:rPr>
                <w:sz w:val="10"/>
                <w:szCs w:val="10"/>
                <w:color w:val="auto"/>
              </w:rPr>
            </w:pPr>
          </w:p>
        </w:tc>
        <w:tc>
          <w:tcPr>
            <w:tcW w:w="500" w:type="dxa"/>
            <w:vAlign w:val="bottom"/>
            <w:shd w:val="clear" w:color="auto" w:fill="F2F2F2"/>
          </w:tcPr>
          <w:p>
            <w:pPr>
              <w:spacing w:after="0"/>
              <w:rPr>
                <w:sz w:val="10"/>
                <w:szCs w:val="10"/>
                <w:color w:val="auto"/>
              </w:rPr>
            </w:pPr>
          </w:p>
        </w:tc>
        <w:tc>
          <w:tcPr>
            <w:tcW w:w="640" w:type="dxa"/>
            <w:vAlign w:val="bottom"/>
            <w:shd w:val="clear" w:color="auto" w:fill="F2F2F2"/>
          </w:tcPr>
          <w:p>
            <w:pPr>
              <w:spacing w:after="0"/>
              <w:rPr>
                <w:sz w:val="10"/>
                <w:szCs w:val="10"/>
                <w:color w:val="auto"/>
              </w:rPr>
            </w:pPr>
          </w:p>
        </w:tc>
        <w:tc>
          <w:tcPr>
            <w:tcW w:w="120" w:type="dxa"/>
            <w:vAlign w:val="bottom"/>
            <w:shd w:val="clear" w:color="auto" w:fill="E8E8E8"/>
          </w:tcPr>
          <w:p>
            <w:pPr>
              <w:spacing w:after="0"/>
              <w:rPr>
                <w:sz w:val="10"/>
                <w:szCs w:val="10"/>
                <w:color w:val="auto"/>
              </w:rPr>
            </w:pPr>
          </w:p>
        </w:tc>
        <w:tc>
          <w:tcPr>
            <w:tcW w:w="4360" w:type="dxa"/>
            <w:vAlign w:val="bottom"/>
            <w:gridSpan w:val="3"/>
            <w:vMerge w:val="restart"/>
            <w:shd w:val="clear" w:color="auto" w:fill="E8E8E8"/>
          </w:tcPr>
          <w:p>
            <w:pPr>
              <w:ind w:left="200"/>
              <w:spacing w:after="0"/>
              <w:rPr>
                <w:sz w:val="20"/>
                <w:szCs w:val="20"/>
                <w:color w:val="auto"/>
              </w:rPr>
            </w:pPr>
            <w:r>
              <w:rPr>
                <w:rFonts w:ascii="Arial" w:cs="Arial" w:eastAsia="Arial" w:hAnsi="Arial"/>
                <w:sz w:val="18"/>
                <w:szCs w:val="18"/>
                <w:color w:val="auto"/>
              </w:rPr>
              <w:t>continued tenure of incumbent Board members</w:t>
            </w:r>
          </w:p>
        </w:tc>
        <w:tc>
          <w:tcPr>
            <w:tcW w:w="1480" w:type="dxa"/>
            <w:vAlign w:val="bottom"/>
            <w:shd w:val="clear" w:color="auto" w:fill="E8E8E8"/>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20" w:type="dxa"/>
            <w:vAlign w:val="bottom"/>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120" w:type="dxa"/>
            <w:vAlign w:val="bottom"/>
            <w:shd w:val="clear" w:color="auto" w:fill="F2F2F2"/>
          </w:tcPr>
          <w:p>
            <w:pPr>
              <w:spacing w:after="0"/>
              <w:rPr>
                <w:sz w:val="10"/>
                <w:szCs w:val="10"/>
                <w:color w:val="auto"/>
              </w:rPr>
            </w:pPr>
          </w:p>
        </w:tc>
        <w:tc>
          <w:tcPr>
            <w:tcW w:w="780" w:type="dxa"/>
            <w:vAlign w:val="bottom"/>
            <w:shd w:val="clear" w:color="auto" w:fill="F2F2F2"/>
          </w:tcPr>
          <w:p>
            <w:pPr>
              <w:spacing w:after="0"/>
              <w:rPr>
                <w:sz w:val="10"/>
                <w:szCs w:val="10"/>
                <w:color w:val="auto"/>
              </w:rPr>
            </w:pPr>
          </w:p>
        </w:tc>
        <w:tc>
          <w:tcPr>
            <w:tcW w:w="420" w:type="dxa"/>
            <w:vAlign w:val="bottom"/>
            <w:shd w:val="clear" w:color="auto" w:fill="F2F2F2"/>
          </w:tcPr>
          <w:p>
            <w:pPr>
              <w:spacing w:after="0"/>
              <w:rPr>
                <w:sz w:val="10"/>
                <w:szCs w:val="10"/>
                <w:color w:val="auto"/>
              </w:rPr>
            </w:pPr>
          </w:p>
        </w:tc>
        <w:tc>
          <w:tcPr>
            <w:tcW w:w="2100" w:type="dxa"/>
            <w:vAlign w:val="bottom"/>
            <w:gridSpan w:val="3"/>
            <w:vMerge w:val="restart"/>
            <w:shd w:val="clear" w:color="auto" w:fill="F2F2F2"/>
          </w:tcPr>
          <w:p>
            <w:pPr>
              <w:ind w:left="180"/>
              <w:spacing w:after="0"/>
              <w:rPr>
                <w:sz w:val="20"/>
                <w:szCs w:val="20"/>
                <w:color w:val="auto"/>
              </w:rPr>
            </w:pPr>
            <w:r>
              <w:rPr>
                <w:rFonts w:ascii="Arial" w:cs="Arial" w:eastAsia="Arial" w:hAnsi="Arial"/>
                <w:sz w:val="18"/>
                <w:szCs w:val="18"/>
                <w:color w:val="auto"/>
              </w:rPr>
              <w:t>David A. Rey</w:t>
            </w:r>
          </w:p>
        </w:tc>
        <w:tc>
          <w:tcPr>
            <w:tcW w:w="500" w:type="dxa"/>
            <w:vAlign w:val="bottom"/>
            <w:shd w:val="clear" w:color="auto" w:fill="F2F2F2"/>
          </w:tcPr>
          <w:p>
            <w:pPr>
              <w:spacing w:after="0"/>
              <w:rPr>
                <w:sz w:val="10"/>
                <w:szCs w:val="10"/>
                <w:color w:val="auto"/>
              </w:rPr>
            </w:pPr>
          </w:p>
        </w:tc>
        <w:tc>
          <w:tcPr>
            <w:tcW w:w="640" w:type="dxa"/>
            <w:vAlign w:val="bottom"/>
            <w:shd w:val="clear" w:color="auto" w:fill="F2F2F2"/>
          </w:tcPr>
          <w:p>
            <w:pPr>
              <w:spacing w:after="0"/>
              <w:rPr>
                <w:sz w:val="10"/>
                <w:szCs w:val="10"/>
                <w:color w:val="auto"/>
              </w:rPr>
            </w:pPr>
          </w:p>
        </w:tc>
        <w:tc>
          <w:tcPr>
            <w:tcW w:w="120" w:type="dxa"/>
            <w:vAlign w:val="bottom"/>
            <w:shd w:val="clear" w:color="auto" w:fill="E8E8E8"/>
          </w:tcPr>
          <w:p>
            <w:pPr>
              <w:spacing w:after="0"/>
              <w:rPr>
                <w:sz w:val="10"/>
                <w:szCs w:val="10"/>
                <w:color w:val="auto"/>
              </w:rPr>
            </w:pPr>
          </w:p>
        </w:tc>
        <w:tc>
          <w:tcPr>
            <w:tcW w:w="4360" w:type="dxa"/>
            <w:vAlign w:val="bottom"/>
            <w:gridSpan w:val="3"/>
            <w:vMerge w:val="continue"/>
            <w:shd w:val="clear" w:color="auto" w:fill="E8E8E8"/>
          </w:tcPr>
          <w:p>
            <w:pPr>
              <w:spacing w:after="0"/>
              <w:rPr>
                <w:sz w:val="10"/>
                <w:szCs w:val="10"/>
                <w:color w:val="auto"/>
              </w:rPr>
            </w:pPr>
          </w:p>
        </w:tc>
        <w:tc>
          <w:tcPr>
            <w:tcW w:w="1480" w:type="dxa"/>
            <w:vAlign w:val="bottom"/>
            <w:shd w:val="clear" w:color="auto" w:fill="E8E8E8"/>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 w:type="dxa"/>
            <w:vAlign w:val="bottom"/>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120" w:type="dxa"/>
            <w:vAlign w:val="bottom"/>
            <w:shd w:val="clear" w:color="auto" w:fill="F2F2F2"/>
          </w:tcPr>
          <w:p>
            <w:pPr>
              <w:spacing w:after="0"/>
              <w:rPr>
                <w:sz w:val="10"/>
                <w:szCs w:val="10"/>
                <w:color w:val="auto"/>
              </w:rPr>
            </w:pPr>
          </w:p>
        </w:tc>
        <w:tc>
          <w:tcPr>
            <w:tcW w:w="780" w:type="dxa"/>
            <w:vAlign w:val="bottom"/>
            <w:shd w:val="clear" w:color="auto" w:fill="F2F2F2"/>
          </w:tcPr>
          <w:p>
            <w:pPr>
              <w:spacing w:after="0"/>
              <w:rPr>
                <w:sz w:val="10"/>
                <w:szCs w:val="10"/>
                <w:color w:val="auto"/>
              </w:rPr>
            </w:pPr>
          </w:p>
        </w:tc>
        <w:tc>
          <w:tcPr>
            <w:tcW w:w="420" w:type="dxa"/>
            <w:vAlign w:val="bottom"/>
            <w:shd w:val="clear" w:color="auto" w:fill="F2F2F2"/>
          </w:tcPr>
          <w:p>
            <w:pPr>
              <w:spacing w:after="0"/>
              <w:rPr>
                <w:sz w:val="10"/>
                <w:szCs w:val="10"/>
                <w:color w:val="auto"/>
              </w:rPr>
            </w:pPr>
          </w:p>
        </w:tc>
        <w:tc>
          <w:tcPr>
            <w:tcW w:w="2100" w:type="dxa"/>
            <w:vAlign w:val="bottom"/>
            <w:gridSpan w:val="3"/>
            <w:vMerge w:val="continue"/>
            <w:shd w:val="clear" w:color="auto" w:fill="F2F2F2"/>
          </w:tcPr>
          <w:p>
            <w:pPr>
              <w:spacing w:after="0"/>
              <w:rPr>
                <w:sz w:val="10"/>
                <w:szCs w:val="10"/>
                <w:color w:val="auto"/>
              </w:rPr>
            </w:pPr>
          </w:p>
        </w:tc>
        <w:tc>
          <w:tcPr>
            <w:tcW w:w="500" w:type="dxa"/>
            <w:vAlign w:val="bottom"/>
            <w:shd w:val="clear" w:color="auto" w:fill="F2F2F2"/>
          </w:tcPr>
          <w:p>
            <w:pPr>
              <w:spacing w:after="0"/>
              <w:rPr>
                <w:sz w:val="10"/>
                <w:szCs w:val="10"/>
                <w:color w:val="auto"/>
              </w:rPr>
            </w:pPr>
          </w:p>
        </w:tc>
        <w:tc>
          <w:tcPr>
            <w:tcW w:w="640" w:type="dxa"/>
            <w:vAlign w:val="bottom"/>
            <w:shd w:val="clear" w:color="auto" w:fill="F2F2F2"/>
          </w:tcPr>
          <w:p>
            <w:pPr>
              <w:spacing w:after="0"/>
              <w:rPr>
                <w:sz w:val="10"/>
                <w:szCs w:val="10"/>
                <w:color w:val="auto"/>
              </w:rPr>
            </w:pPr>
          </w:p>
        </w:tc>
        <w:tc>
          <w:tcPr>
            <w:tcW w:w="120" w:type="dxa"/>
            <w:vAlign w:val="bottom"/>
            <w:shd w:val="clear" w:color="auto" w:fill="E8E8E8"/>
          </w:tcPr>
          <w:p>
            <w:pPr>
              <w:spacing w:after="0"/>
              <w:rPr>
                <w:sz w:val="10"/>
                <w:szCs w:val="10"/>
                <w:color w:val="auto"/>
              </w:rPr>
            </w:pPr>
          </w:p>
        </w:tc>
        <w:tc>
          <w:tcPr>
            <w:tcW w:w="5840" w:type="dxa"/>
            <w:vAlign w:val="bottom"/>
            <w:gridSpan w:val="4"/>
            <w:vMerge w:val="restart"/>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 Seeks individuals qualified to become Board members for</w:t>
            </w:r>
          </w:p>
        </w:tc>
        <w:tc>
          <w:tcPr>
            <w:tcW w:w="0" w:type="dxa"/>
            <w:vAlign w:val="bottom"/>
          </w:tcPr>
          <w:p>
            <w:pPr>
              <w:spacing w:after="0"/>
              <w:rPr>
                <w:sz w:val="1"/>
                <w:szCs w:val="1"/>
                <w:color w:val="auto"/>
              </w:rPr>
            </w:pPr>
          </w:p>
        </w:tc>
      </w:tr>
      <w:tr>
        <w:trPr>
          <w:trHeight w:val="166"/>
        </w:trPr>
        <w:tc>
          <w:tcPr>
            <w:tcW w:w="12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780" w:type="dxa"/>
            <w:vAlign w:val="bottom"/>
            <w:shd w:val="clear" w:color="auto" w:fill="F2F2F2"/>
          </w:tcPr>
          <w:p>
            <w:pPr>
              <w:spacing w:after="0"/>
              <w:rPr>
                <w:sz w:val="14"/>
                <w:szCs w:val="14"/>
                <w:color w:val="auto"/>
              </w:rPr>
            </w:pPr>
          </w:p>
        </w:tc>
        <w:tc>
          <w:tcPr>
            <w:tcW w:w="420" w:type="dxa"/>
            <w:vAlign w:val="bottom"/>
            <w:shd w:val="clear" w:color="auto" w:fill="F2F2F2"/>
          </w:tcPr>
          <w:p>
            <w:pPr>
              <w:spacing w:after="0"/>
              <w:rPr>
                <w:sz w:val="14"/>
                <w:szCs w:val="14"/>
                <w:color w:val="auto"/>
              </w:rPr>
            </w:pPr>
          </w:p>
        </w:tc>
        <w:tc>
          <w:tcPr>
            <w:tcW w:w="760" w:type="dxa"/>
            <w:vAlign w:val="bottom"/>
            <w:shd w:val="clear" w:color="auto" w:fill="F2F2F2"/>
          </w:tcPr>
          <w:p>
            <w:pPr>
              <w:spacing w:after="0"/>
              <w:rPr>
                <w:sz w:val="14"/>
                <w:szCs w:val="14"/>
                <w:color w:val="auto"/>
              </w:rPr>
            </w:pPr>
          </w:p>
        </w:tc>
        <w:tc>
          <w:tcPr>
            <w:tcW w:w="820" w:type="dxa"/>
            <w:vAlign w:val="bottom"/>
            <w:shd w:val="clear" w:color="auto" w:fill="F2F2F2"/>
          </w:tcPr>
          <w:p>
            <w:pPr>
              <w:spacing w:after="0"/>
              <w:rPr>
                <w:sz w:val="14"/>
                <w:szCs w:val="14"/>
                <w:color w:val="auto"/>
              </w:rPr>
            </w:pPr>
          </w:p>
        </w:tc>
        <w:tc>
          <w:tcPr>
            <w:tcW w:w="520" w:type="dxa"/>
            <w:vAlign w:val="bottom"/>
            <w:shd w:val="clear" w:color="auto" w:fill="F2F2F2"/>
          </w:tcPr>
          <w:p>
            <w:pPr>
              <w:spacing w:after="0"/>
              <w:rPr>
                <w:sz w:val="14"/>
                <w:szCs w:val="14"/>
                <w:color w:val="auto"/>
              </w:rPr>
            </w:pPr>
          </w:p>
        </w:tc>
        <w:tc>
          <w:tcPr>
            <w:tcW w:w="500" w:type="dxa"/>
            <w:vAlign w:val="bottom"/>
            <w:shd w:val="clear" w:color="auto" w:fill="F2F2F2"/>
          </w:tcPr>
          <w:p>
            <w:pPr>
              <w:spacing w:after="0"/>
              <w:rPr>
                <w:sz w:val="14"/>
                <w:szCs w:val="14"/>
                <w:color w:val="auto"/>
              </w:rPr>
            </w:pPr>
          </w:p>
        </w:tc>
        <w:tc>
          <w:tcPr>
            <w:tcW w:w="640" w:type="dxa"/>
            <w:vAlign w:val="bottom"/>
            <w:vMerge w:val="restart"/>
            <w:shd w:val="clear" w:color="auto" w:fill="F2F2F2"/>
          </w:tcPr>
          <w:p>
            <w:pPr>
              <w:ind w:left="360"/>
              <w:spacing w:after="0"/>
              <w:rPr>
                <w:sz w:val="20"/>
                <w:szCs w:val="20"/>
                <w:color w:val="auto"/>
              </w:rPr>
            </w:pPr>
            <w:r>
              <w:rPr>
                <w:rFonts w:ascii="Arial" w:cs="Arial" w:eastAsia="Arial" w:hAnsi="Arial"/>
                <w:sz w:val="18"/>
                <w:szCs w:val="18"/>
                <w:color w:val="auto"/>
              </w:rPr>
              <w:t xml:space="preserve">   </w:t>
            </w:r>
          </w:p>
        </w:tc>
        <w:tc>
          <w:tcPr>
            <w:tcW w:w="120" w:type="dxa"/>
            <w:vAlign w:val="bottom"/>
            <w:shd w:val="clear" w:color="auto" w:fill="E8E8E8"/>
          </w:tcPr>
          <w:p>
            <w:pPr>
              <w:spacing w:after="0"/>
              <w:rPr>
                <w:sz w:val="14"/>
                <w:szCs w:val="14"/>
                <w:color w:val="auto"/>
              </w:rPr>
            </w:pPr>
          </w:p>
        </w:tc>
        <w:tc>
          <w:tcPr>
            <w:tcW w:w="5840" w:type="dxa"/>
            <w:vAlign w:val="bottom"/>
            <w:gridSpan w:val="4"/>
            <w:vMerge w:val="continue"/>
            <w:shd w:val="clear" w:color="auto" w:fill="E8E8E8"/>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20" w:type="dxa"/>
            <w:vAlign w:val="bottom"/>
            <w:shd w:val="clear" w:color="auto" w:fill="F2F2F2"/>
          </w:tcPr>
          <w:p>
            <w:pPr>
              <w:spacing w:after="0"/>
              <w:rPr>
                <w:sz w:val="9"/>
                <w:szCs w:val="9"/>
                <w:color w:val="auto"/>
              </w:rPr>
            </w:pPr>
          </w:p>
        </w:tc>
        <w:tc>
          <w:tcPr>
            <w:tcW w:w="220" w:type="dxa"/>
            <w:vAlign w:val="bottom"/>
            <w:shd w:val="clear" w:color="auto" w:fill="F2F2F2"/>
          </w:tcPr>
          <w:p>
            <w:pPr>
              <w:spacing w:after="0"/>
              <w:rPr>
                <w:sz w:val="9"/>
                <w:szCs w:val="9"/>
                <w:color w:val="auto"/>
              </w:rPr>
            </w:pPr>
          </w:p>
        </w:tc>
        <w:tc>
          <w:tcPr>
            <w:tcW w:w="160" w:type="dxa"/>
            <w:vAlign w:val="bottom"/>
            <w:shd w:val="clear" w:color="auto" w:fill="F2F2F2"/>
          </w:tcPr>
          <w:p>
            <w:pPr>
              <w:spacing w:after="0"/>
              <w:rPr>
                <w:sz w:val="9"/>
                <w:szCs w:val="9"/>
                <w:color w:val="auto"/>
              </w:rPr>
            </w:pPr>
          </w:p>
        </w:tc>
        <w:tc>
          <w:tcPr>
            <w:tcW w:w="120" w:type="dxa"/>
            <w:vAlign w:val="bottom"/>
            <w:shd w:val="clear" w:color="auto" w:fill="F2F2F2"/>
          </w:tcPr>
          <w:p>
            <w:pPr>
              <w:spacing w:after="0"/>
              <w:rPr>
                <w:sz w:val="9"/>
                <w:szCs w:val="9"/>
                <w:color w:val="auto"/>
              </w:rPr>
            </w:pPr>
          </w:p>
        </w:tc>
        <w:tc>
          <w:tcPr>
            <w:tcW w:w="780" w:type="dxa"/>
            <w:vAlign w:val="bottom"/>
            <w:shd w:val="clear" w:color="auto" w:fill="F2F2F2"/>
          </w:tcPr>
          <w:p>
            <w:pPr>
              <w:spacing w:after="0"/>
              <w:rPr>
                <w:sz w:val="9"/>
                <w:szCs w:val="9"/>
                <w:color w:val="auto"/>
              </w:rPr>
            </w:pPr>
          </w:p>
        </w:tc>
        <w:tc>
          <w:tcPr>
            <w:tcW w:w="420" w:type="dxa"/>
            <w:vAlign w:val="bottom"/>
            <w:shd w:val="clear" w:color="auto" w:fill="F2F2F2"/>
          </w:tcPr>
          <w:p>
            <w:pPr>
              <w:spacing w:after="0"/>
              <w:rPr>
                <w:sz w:val="9"/>
                <w:szCs w:val="9"/>
                <w:color w:val="auto"/>
              </w:rPr>
            </w:pPr>
          </w:p>
        </w:tc>
        <w:tc>
          <w:tcPr>
            <w:tcW w:w="760" w:type="dxa"/>
            <w:vAlign w:val="bottom"/>
            <w:shd w:val="clear" w:color="auto" w:fill="F2F2F2"/>
          </w:tcPr>
          <w:p>
            <w:pPr>
              <w:spacing w:after="0"/>
              <w:rPr>
                <w:sz w:val="9"/>
                <w:szCs w:val="9"/>
                <w:color w:val="auto"/>
              </w:rPr>
            </w:pPr>
          </w:p>
        </w:tc>
        <w:tc>
          <w:tcPr>
            <w:tcW w:w="820" w:type="dxa"/>
            <w:vAlign w:val="bottom"/>
            <w:shd w:val="clear" w:color="auto" w:fill="F2F2F2"/>
          </w:tcPr>
          <w:p>
            <w:pPr>
              <w:spacing w:after="0"/>
              <w:rPr>
                <w:sz w:val="9"/>
                <w:szCs w:val="9"/>
                <w:color w:val="auto"/>
              </w:rPr>
            </w:pPr>
          </w:p>
        </w:tc>
        <w:tc>
          <w:tcPr>
            <w:tcW w:w="520" w:type="dxa"/>
            <w:vAlign w:val="bottom"/>
            <w:shd w:val="clear" w:color="auto" w:fill="F2F2F2"/>
          </w:tcPr>
          <w:p>
            <w:pPr>
              <w:spacing w:after="0"/>
              <w:rPr>
                <w:sz w:val="9"/>
                <w:szCs w:val="9"/>
                <w:color w:val="auto"/>
              </w:rPr>
            </w:pPr>
          </w:p>
        </w:tc>
        <w:tc>
          <w:tcPr>
            <w:tcW w:w="500" w:type="dxa"/>
            <w:vAlign w:val="bottom"/>
            <w:shd w:val="clear" w:color="auto" w:fill="F2F2F2"/>
          </w:tcPr>
          <w:p>
            <w:pPr>
              <w:spacing w:after="0"/>
              <w:rPr>
                <w:sz w:val="9"/>
                <w:szCs w:val="9"/>
                <w:color w:val="auto"/>
              </w:rPr>
            </w:pPr>
          </w:p>
        </w:tc>
        <w:tc>
          <w:tcPr>
            <w:tcW w:w="640" w:type="dxa"/>
            <w:vAlign w:val="bottom"/>
            <w:vMerge w:val="continue"/>
            <w:shd w:val="clear" w:color="auto" w:fill="F2F2F2"/>
          </w:tcPr>
          <w:p>
            <w:pPr>
              <w:spacing w:after="0"/>
              <w:rPr>
                <w:sz w:val="9"/>
                <w:szCs w:val="9"/>
                <w:color w:val="auto"/>
              </w:rPr>
            </w:pPr>
          </w:p>
        </w:tc>
        <w:tc>
          <w:tcPr>
            <w:tcW w:w="120" w:type="dxa"/>
            <w:vAlign w:val="bottom"/>
            <w:shd w:val="clear" w:color="auto" w:fill="E8E8E8"/>
          </w:tcPr>
          <w:p>
            <w:pPr>
              <w:spacing w:after="0"/>
              <w:rPr>
                <w:sz w:val="9"/>
                <w:szCs w:val="9"/>
                <w:color w:val="auto"/>
              </w:rPr>
            </w:pPr>
          </w:p>
        </w:tc>
        <w:tc>
          <w:tcPr>
            <w:tcW w:w="3220" w:type="dxa"/>
            <w:vAlign w:val="bottom"/>
            <w:gridSpan w:val="2"/>
            <w:vMerge w:val="restart"/>
            <w:shd w:val="clear" w:color="auto" w:fill="E8E8E8"/>
          </w:tcPr>
          <w:p>
            <w:pPr>
              <w:ind w:left="200"/>
              <w:spacing w:after="0"/>
              <w:rPr>
                <w:sz w:val="20"/>
                <w:szCs w:val="20"/>
                <w:color w:val="auto"/>
              </w:rPr>
            </w:pPr>
            <w:r>
              <w:rPr>
                <w:rFonts w:ascii="Arial" w:cs="Arial" w:eastAsia="Arial" w:hAnsi="Arial"/>
                <w:sz w:val="18"/>
                <w:szCs w:val="18"/>
                <w:color w:val="auto"/>
              </w:rPr>
              <w:t>recommendation to the Board</w:t>
            </w:r>
          </w:p>
        </w:tc>
        <w:tc>
          <w:tcPr>
            <w:tcW w:w="1140" w:type="dxa"/>
            <w:vAlign w:val="bottom"/>
            <w:shd w:val="clear" w:color="auto" w:fill="E8E8E8"/>
          </w:tcPr>
          <w:p>
            <w:pPr>
              <w:spacing w:after="0"/>
              <w:rPr>
                <w:sz w:val="9"/>
                <w:szCs w:val="9"/>
                <w:color w:val="auto"/>
              </w:rPr>
            </w:pPr>
          </w:p>
        </w:tc>
        <w:tc>
          <w:tcPr>
            <w:tcW w:w="1480" w:type="dxa"/>
            <w:vAlign w:val="bottom"/>
            <w:shd w:val="clear" w:color="auto" w:fill="E8E8E8"/>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20" w:type="dxa"/>
            <w:vAlign w:val="bottom"/>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1480" w:type="dxa"/>
            <w:vAlign w:val="bottom"/>
            <w:gridSpan w:val="4"/>
            <w:vMerge w:val="restart"/>
            <w:shd w:val="clear" w:color="auto" w:fill="F2F2F2"/>
          </w:tcPr>
          <w:p>
            <w:pPr>
              <w:ind w:left="120"/>
              <w:spacing w:after="0"/>
              <w:rPr>
                <w:sz w:val="20"/>
                <w:szCs w:val="20"/>
                <w:color w:val="auto"/>
              </w:rPr>
            </w:pPr>
            <w:r>
              <w:rPr>
                <w:rFonts w:ascii="Arial" w:cs="Arial" w:eastAsia="Arial" w:hAnsi="Arial"/>
                <w:sz w:val="18"/>
                <w:szCs w:val="18"/>
                <w:b w:val="1"/>
                <w:bCs w:val="1"/>
                <w:color w:val="376DB5"/>
              </w:rPr>
              <w:t>Independence</w:t>
            </w:r>
          </w:p>
        </w:tc>
        <w:tc>
          <w:tcPr>
            <w:tcW w:w="760" w:type="dxa"/>
            <w:vAlign w:val="bottom"/>
            <w:shd w:val="clear" w:color="auto" w:fill="F2F2F2"/>
          </w:tcPr>
          <w:p>
            <w:pPr>
              <w:spacing w:after="0"/>
              <w:rPr>
                <w:sz w:val="10"/>
                <w:szCs w:val="10"/>
                <w:color w:val="auto"/>
              </w:rPr>
            </w:pPr>
          </w:p>
        </w:tc>
        <w:tc>
          <w:tcPr>
            <w:tcW w:w="820" w:type="dxa"/>
            <w:vAlign w:val="bottom"/>
            <w:shd w:val="clear" w:color="auto" w:fill="F2F2F2"/>
          </w:tcPr>
          <w:p>
            <w:pPr>
              <w:spacing w:after="0"/>
              <w:rPr>
                <w:sz w:val="10"/>
                <w:szCs w:val="10"/>
                <w:color w:val="auto"/>
              </w:rPr>
            </w:pPr>
          </w:p>
        </w:tc>
        <w:tc>
          <w:tcPr>
            <w:tcW w:w="520" w:type="dxa"/>
            <w:vAlign w:val="bottom"/>
            <w:shd w:val="clear" w:color="auto" w:fill="F2F2F2"/>
          </w:tcPr>
          <w:p>
            <w:pPr>
              <w:spacing w:after="0"/>
              <w:rPr>
                <w:sz w:val="10"/>
                <w:szCs w:val="10"/>
                <w:color w:val="auto"/>
              </w:rPr>
            </w:pPr>
          </w:p>
        </w:tc>
        <w:tc>
          <w:tcPr>
            <w:tcW w:w="500" w:type="dxa"/>
            <w:vAlign w:val="bottom"/>
            <w:shd w:val="clear" w:color="auto" w:fill="F2F2F2"/>
          </w:tcPr>
          <w:p>
            <w:pPr>
              <w:spacing w:after="0"/>
              <w:rPr>
                <w:sz w:val="10"/>
                <w:szCs w:val="10"/>
                <w:color w:val="auto"/>
              </w:rPr>
            </w:pPr>
          </w:p>
        </w:tc>
        <w:tc>
          <w:tcPr>
            <w:tcW w:w="640" w:type="dxa"/>
            <w:vAlign w:val="bottom"/>
            <w:shd w:val="clear" w:color="auto" w:fill="F2F2F2"/>
          </w:tcPr>
          <w:p>
            <w:pPr>
              <w:spacing w:after="0"/>
              <w:rPr>
                <w:sz w:val="10"/>
                <w:szCs w:val="10"/>
                <w:color w:val="auto"/>
              </w:rPr>
            </w:pPr>
          </w:p>
        </w:tc>
        <w:tc>
          <w:tcPr>
            <w:tcW w:w="120" w:type="dxa"/>
            <w:vAlign w:val="bottom"/>
            <w:shd w:val="clear" w:color="auto" w:fill="E8E8E8"/>
          </w:tcPr>
          <w:p>
            <w:pPr>
              <w:spacing w:after="0"/>
              <w:rPr>
                <w:sz w:val="10"/>
                <w:szCs w:val="10"/>
                <w:color w:val="auto"/>
              </w:rPr>
            </w:pPr>
          </w:p>
        </w:tc>
        <w:tc>
          <w:tcPr>
            <w:tcW w:w="3220" w:type="dxa"/>
            <w:vAlign w:val="bottom"/>
            <w:gridSpan w:val="2"/>
            <w:vMerge w:val="continue"/>
            <w:shd w:val="clear" w:color="auto" w:fill="E8E8E8"/>
          </w:tcPr>
          <w:p>
            <w:pPr>
              <w:spacing w:after="0"/>
              <w:rPr>
                <w:sz w:val="10"/>
                <w:szCs w:val="10"/>
                <w:color w:val="auto"/>
              </w:rPr>
            </w:pPr>
          </w:p>
        </w:tc>
        <w:tc>
          <w:tcPr>
            <w:tcW w:w="1140" w:type="dxa"/>
            <w:vAlign w:val="bottom"/>
            <w:shd w:val="clear" w:color="auto" w:fill="E8E8E8"/>
          </w:tcPr>
          <w:p>
            <w:pPr>
              <w:spacing w:after="0"/>
              <w:rPr>
                <w:sz w:val="10"/>
                <w:szCs w:val="10"/>
                <w:color w:val="auto"/>
              </w:rPr>
            </w:pPr>
          </w:p>
        </w:tc>
        <w:tc>
          <w:tcPr>
            <w:tcW w:w="1480" w:type="dxa"/>
            <w:vAlign w:val="bottom"/>
            <w:shd w:val="clear" w:color="auto" w:fill="E8E8E8"/>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20" w:type="dxa"/>
            <w:vAlign w:val="bottom"/>
            <w:shd w:val="clear" w:color="auto" w:fill="F2F2F2"/>
          </w:tcPr>
          <w:p>
            <w:pPr>
              <w:spacing w:after="0"/>
              <w:rPr>
                <w:sz w:val="23"/>
                <w:szCs w:val="23"/>
                <w:color w:val="auto"/>
              </w:rPr>
            </w:pPr>
          </w:p>
        </w:tc>
        <w:tc>
          <w:tcPr>
            <w:tcW w:w="220" w:type="dxa"/>
            <w:vAlign w:val="bottom"/>
            <w:shd w:val="clear" w:color="auto" w:fill="F2F2F2"/>
          </w:tcPr>
          <w:p>
            <w:pPr>
              <w:spacing w:after="0"/>
              <w:rPr>
                <w:sz w:val="23"/>
                <w:szCs w:val="23"/>
                <w:color w:val="auto"/>
              </w:rPr>
            </w:pPr>
          </w:p>
        </w:tc>
        <w:tc>
          <w:tcPr>
            <w:tcW w:w="1480" w:type="dxa"/>
            <w:vAlign w:val="bottom"/>
            <w:gridSpan w:val="4"/>
            <w:vMerge w:val="continue"/>
            <w:shd w:val="clear" w:color="auto" w:fill="F2F2F2"/>
          </w:tcPr>
          <w:p>
            <w:pPr>
              <w:spacing w:after="0"/>
              <w:rPr>
                <w:sz w:val="23"/>
                <w:szCs w:val="23"/>
                <w:color w:val="auto"/>
              </w:rPr>
            </w:pPr>
          </w:p>
        </w:tc>
        <w:tc>
          <w:tcPr>
            <w:tcW w:w="760" w:type="dxa"/>
            <w:vAlign w:val="bottom"/>
            <w:shd w:val="clear" w:color="auto" w:fill="F2F2F2"/>
          </w:tcPr>
          <w:p>
            <w:pPr>
              <w:spacing w:after="0"/>
              <w:rPr>
                <w:sz w:val="23"/>
                <w:szCs w:val="23"/>
                <w:color w:val="auto"/>
              </w:rPr>
            </w:pPr>
          </w:p>
        </w:tc>
        <w:tc>
          <w:tcPr>
            <w:tcW w:w="820" w:type="dxa"/>
            <w:vAlign w:val="bottom"/>
            <w:shd w:val="clear" w:color="auto" w:fill="F2F2F2"/>
          </w:tcPr>
          <w:p>
            <w:pPr>
              <w:spacing w:after="0"/>
              <w:rPr>
                <w:sz w:val="23"/>
                <w:szCs w:val="23"/>
                <w:color w:val="auto"/>
              </w:rPr>
            </w:pPr>
          </w:p>
        </w:tc>
        <w:tc>
          <w:tcPr>
            <w:tcW w:w="520" w:type="dxa"/>
            <w:vAlign w:val="bottom"/>
            <w:shd w:val="clear" w:color="auto" w:fill="F2F2F2"/>
          </w:tcPr>
          <w:p>
            <w:pPr>
              <w:spacing w:after="0"/>
              <w:rPr>
                <w:sz w:val="23"/>
                <w:szCs w:val="23"/>
                <w:color w:val="auto"/>
              </w:rPr>
            </w:pPr>
          </w:p>
        </w:tc>
        <w:tc>
          <w:tcPr>
            <w:tcW w:w="500" w:type="dxa"/>
            <w:vAlign w:val="bottom"/>
            <w:shd w:val="clear" w:color="auto" w:fill="F2F2F2"/>
          </w:tcPr>
          <w:p>
            <w:pPr>
              <w:spacing w:after="0"/>
              <w:rPr>
                <w:sz w:val="23"/>
                <w:szCs w:val="23"/>
                <w:color w:val="auto"/>
              </w:rPr>
            </w:pPr>
          </w:p>
        </w:tc>
        <w:tc>
          <w:tcPr>
            <w:tcW w:w="640" w:type="dxa"/>
            <w:vAlign w:val="bottom"/>
            <w:shd w:val="clear" w:color="auto" w:fill="F2F2F2"/>
          </w:tcPr>
          <w:p>
            <w:pPr>
              <w:spacing w:after="0"/>
              <w:rPr>
                <w:sz w:val="23"/>
                <w:szCs w:val="23"/>
                <w:color w:val="auto"/>
              </w:rPr>
            </w:pPr>
          </w:p>
        </w:tc>
        <w:tc>
          <w:tcPr>
            <w:tcW w:w="120" w:type="dxa"/>
            <w:vAlign w:val="bottom"/>
            <w:shd w:val="clear" w:color="auto" w:fill="E8E8E8"/>
          </w:tcPr>
          <w:p>
            <w:pPr>
              <w:spacing w:after="0"/>
              <w:rPr>
                <w:sz w:val="23"/>
                <w:szCs w:val="23"/>
                <w:color w:val="auto"/>
              </w:rPr>
            </w:pPr>
          </w:p>
        </w:tc>
        <w:tc>
          <w:tcPr>
            <w:tcW w:w="5840" w:type="dxa"/>
            <w:vAlign w:val="bottom"/>
            <w:gridSpan w:val="4"/>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 Develops and recommends to the Board the criteria for identifying</w:t>
            </w: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4720" w:type="dxa"/>
            <w:vAlign w:val="bottom"/>
            <w:gridSpan w:val="9"/>
            <w:shd w:val="clear" w:color="auto" w:fill="F2F2F2"/>
          </w:tcPr>
          <w:p>
            <w:pPr>
              <w:ind w:left="120"/>
              <w:spacing w:after="0" w:line="202" w:lineRule="exact"/>
              <w:rPr>
                <w:sz w:val="20"/>
                <w:szCs w:val="20"/>
                <w:color w:val="auto"/>
              </w:rPr>
            </w:pPr>
            <w:r>
              <w:rPr>
                <w:rFonts w:ascii="Arial" w:cs="Arial" w:eastAsia="Arial" w:hAnsi="Arial"/>
                <w:sz w:val="18"/>
                <w:szCs w:val="18"/>
                <w:color w:val="auto"/>
              </w:rPr>
              <w:t>Each member of the Governance, Nominating and</w:t>
            </w:r>
          </w:p>
        </w:tc>
        <w:tc>
          <w:tcPr>
            <w:tcW w:w="120" w:type="dxa"/>
            <w:vAlign w:val="bottom"/>
            <w:shd w:val="clear" w:color="auto" w:fill="E8E8E8"/>
          </w:tcPr>
          <w:p>
            <w:pPr>
              <w:spacing w:after="0"/>
              <w:rPr>
                <w:sz w:val="17"/>
                <w:szCs w:val="17"/>
                <w:color w:val="auto"/>
              </w:rPr>
            </w:pPr>
          </w:p>
        </w:tc>
        <w:tc>
          <w:tcPr>
            <w:tcW w:w="5840" w:type="dxa"/>
            <w:vAlign w:val="bottom"/>
            <w:gridSpan w:val="4"/>
            <w:shd w:val="clear" w:color="auto" w:fill="E8E8E8"/>
          </w:tcPr>
          <w:p>
            <w:pPr>
              <w:ind w:left="200"/>
              <w:spacing w:after="0" w:line="202" w:lineRule="exact"/>
              <w:rPr>
                <w:sz w:val="20"/>
                <w:szCs w:val="20"/>
                <w:color w:val="auto"/>
              </w:rPr>
            </w:pPr>
            <w:r>
              <w:rPr>
                <w:rFonts w:ascii="Arial" w:cs="Arial" w:eastAsia="Arial" w:hAnsi="Arial"/>
                <w:sz w:val="18"/>
                <w:szCs w:val="18"/>
                <w:color w:val="auto"/>
              </w:rPr>
              <w:t>and evaluating director candidates, and recommends candidates for</w:t>
            </w: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4720" w:type="dxa"/>
            <w:vAlign w:val="bottom"/>
            <w:gridSpan w:val="9"/>
            <w:shd w:val="clear" w:color="auto" w:fill="F2F2F2"/>
          </w:tcPr>
          <w:p>
            <w:pPr>
              <w:ind w:left="120"/>
              <w:spacing w:after="0" w:line="202" w:lineRule="exact"/>
              <w:rPr>
                <w:sz w:val="20"/>
                <w:szCs w:val="20"/>
                <w:color w:val="auto"/>
              </w:rPr>
            </w:pPr>
            <w:r>
              <w:rPr>
                <w:rFonts w:ascii="Arial" w:cs="Arial" w:eastAsia="Arial" w:hAnsi="Arial"/>
                <w:sz w:val="18"/>
                <w:szCs w:val="18"/>
                <w:color w:val="auto"/>
              </w:rPr>
              <w:t>Executive Committee is independent as required by</w:t>
            </w:r>
          </w:p>
        </w:tc>
        <w:tc>
          <w:tcPr>
            <w:tcW w:w="120" w:type="dxa"/>
            <w:vAlign w:val="bottom"/>
            <w:shd w:val="clear" w:color="auto" w:fill="E8E8E8"/>
          </w:tcPr>
          <w:p>
            <w:pPr>
              <w:spacing w:after="0"/>
              <w:rPr>
                <w:sz w:val="17"/>
                <w:szCs w:val="17"/>
                <w:color w:val="auto"/>
              </w:rPr>
            </w:pPr>
          </w:p>
        </w:tc>
        <w:tc>
          <w:tcPr>
            <w:tcW w:w="3220" w:type="dxa"/>
            <w:vAlign w:val="bottom"/>
            <w:gridSpan w:val="2"/>
            <w:shd w:val="clear" w:color="auto" w:fill="E8E8E8"/>
          </w:tcPr>
          <w:p>
            <w:pPr>
              <w:ind w:left="200"/>
              <w:spacing w:after="0" w:line="202" w:lineRule="exact"/>
              <w:rPr>
                <w:sz w:val="20"/>
                <w:szCs w:val="20"/>
                <w:color w:val="auto"/>
              </w:rPr>
            </w:pPr>
            <w:r>
              <w:rPr>
                <w:rFonts w:ascii="Arial" w:cs="Arial" w:eastAsia="Arial" w:hAnsi="Arial"/>
                <w:sz w:val="18"/>
                <w:szCs w:val="18"/>
                <w:color w:val="auto"/>
              </w:rPr>
              <w:t>election or reelection to the Board</w:t>
            </w:r>
          </w:p>
        </w:tc>
        <w:tc>
          <w:tcPr>
            <w:tcW w:w="1140" w:type="dxa"/>
            <w:vAlign w:val="bottom"/>
            <w:shd w:val="clear" w:color="auto" w:fill="E8E8E8"/>
          </w:tcPr>
          <w:p>
            <w:pPr>
              <w:spacing w:after="0"/>
              <w:rPr>
                <w:sz w:val="17"/>
                <w:szCs w:val="17"/>
                <w:color w:val="auto"/>
              </w:rPr>
            </w:pPr>
          </w:p>
        </w:tc>
        <w:tc>
          <w:tcPr>
            <w:tcW w:w="1480" w:type="dxa"/>
            <w:vAlign w:val="bottom"/>
            <w:shd w:val="clear" w:color="auto" w:fill="E8E8E8"/>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 w:type="dxa"/>
            <w:vAlign w:val="bottom"/>
            <w:shd w:val="clear" w:color="auto" w:fill="F2F2F2"/>
          </w:tcPr>
          <w:p>
            <w:pPr>
              <w:spacing w:after="0"/>
              <w:rPr>
                <w:sz w:val="20"/>
                <w:szCs w:val="20"/>
                <w:color w:val="auto"/>
              </w:rPr>
            </w:pPr>
          </w:p>
        </w:tc>
        <w:tc>
          <w:tcPr>
            <w:tcW w:w="220" w:type="dxa"/>
            <w:vAlign w:val="bottom"/>
            <w:shd w:val="clear" w:color="auto" w:fill="F2F2F2"/>
          </w:tcPr>
          <w:p>
            <w:pPr>
              <w:spacing w:after="0"/>
              <w:rPr>
                <w:sz w:val="20"/>
                <w:szCs w:val="20"/>
                <w:color w:val="auto"/>
              </w:rPr>
            </w:pPr>
          </w:p>
        </w:tc>
        <w:tc>
          <w:tcPr>
            <w:tcW w:w="2240" w:type="dxa"/>
            <w:vAlign w:val="bottom"/>
            <w:gridSpan w:val="5"/>
            <w:shd w:val="clear" w:color="auto" w:fill="F2F2F2"/>
          </w:tcPr>
          <w:p>
            <w:pPr>
              <w:ind w:left="120"/>
              <w:spacing w:after="0"/>
              <w:rPr>
                <w:sz w:val="20"/>
                <w:szCs w:val="20"/>
                <w:color w:val="auto"/>
              </w:rPr>
            </w:pPr>
            <w:r>
              <w:rPr>
                <w:rFonts w:ascii="Arial" w:cs="Arial" w:eastAsia="Arial" w:hAnsi="Arial"/>
                <w:sz w:val="18"/>
                <w:szCs w:val="18"/>
                <w:color w:val="auto"/>
              </w:rPr>
              <w:t>the NYSE listing rules.</w:t>
            </w:r>
          </w:p>
        </w:tc>
        <w:tc>
          <w:tcPr>
            <w:tcW w:w="820" w:type="dxa"/>
            <w:vAlign w:val="bottom"/>
            <w:shd w:val="clear" w:color="auto" w:fill="F2F2F2"/>
          </w:tcPr>
          <w:p>
            <w:pPr>
              <w:spacing w:after="0"/>
              <w:rPr>
                <w:sz w:val="20"/>
                <w:szCs w:val="20"/>
                <w:color w:val="auto"/>
              </w:rPr>
            </w:pPr>
          </w:p>
        </w:tc>
        <w:tc>
          <w:tcPr>
            <w:tcW w:w="520" w:type="dxa"/>
            <w:vAlign w:val="bottom"/>
            <w:shd w:val="clear" w:color="auto" w:fill="F2F2F2"/>
          </w:tcPr>
          <w:p>
            <w:pPr>
              <w:spacing w:after="0"/>
              <w:rPr>
                <w:sz w:val="20"/>
                <w:szCs w:val="20"/>
                <w:color w:val="auto"/>
              </w:rPr>
            </w:pPr>
          </w:p>
        </w:tc>
        <w:tc>
          <w:tcPr>
            <w:tcW w:w="500" w:type="dxa"/>
            <w:vAlign w:val="bottom"/>
            <w:shd w:val="clear" w:color="auto" w:fill="F2F2F2"/>
          </w:tcPr>
          <w:p>
            <w:pPr>
              <w:spacing w:after="0"/>
              <w:rPr>
                <w:sz w:val="20"/>
                <w:szCs w:val="20"/>
                <w:color w:val="auto"/>
              </w:rPr>
            </w:pPr>
          </w:p>
        </w:tc>
        <w:tc>
          <w:tcPr>
            <w:tcW w:w="640" w:type="dxa"/>
            <w:vAlign w:val="bottom"/>
            <w:shd w:val="clear" w:color="auto" w:fill="F2F2F2"/>
          </w:tcPr>
          <w:p>
            <w:pPr>
              <w:spacing w:after="0"/>
              <w:rPr>
                <w:sz w:val="20"/>
                <w:szCs w:val="20"/>
                <w:color w:val="auto"/>
              </w:rPr>
            </w:pPr>
          </w:p>
        </w:tc>
        <w:tc>
          <w:tcPr>
            <w:tcW w:w="120" w:type="dxa"/>
            <w:vAlign w:val="bottom"/>
            <w:shd w:val="clear" w:color="auto" w:fill="E8E8E8"/>
          </w:tcPr>
          <w:p>
            <w:pPr>
              <w:spacing w:after="0"/>
              <w:rPr>
                <w:sz w:val="20"/>
                <w:szCs w:val="20"/>
                <w:color w:val="auto"/>
              </w:rPr>
            </w:pPr>
          </w:p>
        </w:tc>
        <w:tc>
          <w:tcPr>
            <w:tcW w:w="5840" w:type="dxa"/>
            <w:vAlign w:val="bottom"/>
            <w:gridSpan w:val="4"/>
            <w:vMerge w:val="restart"/>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 Leads the Board in an annual evaluation of the Board’s performance,</w:t>
            </w:r>
          </w:p>
        </w:tc>
        <w:tc>
          <w:tcPr>
            <w:tcW w:w="0" w:type="dxa"/>
            <w:vAlign w:val="bottom"/>
          </w:tcPr>
          <w:p>
            <w:pPr>
              <w:spacing w:after="0"/>
              <w:rPr>
                <w:sz w:val="1"/>
                <w:szCs w:val="1"/>
                <w:color w:val="auto"/>
              </w:rPr>
            </w:pPr>
          </w:p>
        </w:tc>
      </w:tr>
      <w:tr>
        <w:trPr>
          <w:trHeight w:val="107"/>
        </w:trPr>
        <w:tc>
          <w:tcPr>
            <w:tcW w:w="120" w:type="dxa"/>
            <w:vAlign w:val="bottom"/>
            <w:shd w:val="clear" w:color="auto" w:fill="F2F2F2"/>
          </w:tcPr>
          <w:p>
            <w:pPr>
              <w:spacing w:after="0"/>
              <w:rPr>
                <w:sz w:val="9"/>
                <w:szCs w:val="9"/>
                <w:color w:val="auto"/>
              </w:rPr>
            </w:pPr>
          </w:p>
        </w:tc>
        <w:tc>
          <w:tcPr>
            <w:tcW w:w="220" w:type="dxa"/>
            <w:vAlign w:val="bottom"/>
            <w:shd w:val="clear" w:color="auto" w:fill="F2F2F2"/>
          </w:tcPr>
          <w:p>
            <w:pPr>
              <w:spacing w:after="0"/>
              <w:rPr>
                <w:sz w:val="9"/>
                <w:szCs w:val="9"/>
                <w:color w:val="auto"/>
              </w:rPr>
            </w:pPr>
          </w:p>
        </w:tc>
        <w:tc>
          <w:tcPr>
            <w:tcW w:w="160" w:type="dxa"/>
            <w:vAlign w:val="bottom"/>
            <w:shd w:val="clear" w:color="auto" w:fill="F2F2F2"/>
          </w:tcPr>
          <w:p>
            <w:pPr>
              <w:spacing w:after="0"/>
              <w:rPr>
                <w:sz w:val="9"/>
                <w:szCs w:val="9"/>
                <w:color w:val="auto"/>
              </w:rPr>
            </w:pPr>
          </w:p>
        </w:tc>
        <w:tc>
          <w:tcPr>
            <w:tcW w:w="120" w:type="dxa"/>
            <w:vAlign w:val="bottom"/>
            <w:shd w:val="clear" w:color="auto" w:fill="F2F2F2"/>
          </w:tcPr>
          <w:p>
            <w:pPr>
              <w:spacing w:after="0"/>
              <w:rPr>
                <w:sz w:val="9"/>
                <w:szCs w:val="9"/>
                <w:color w:val="auto"/>
              </w:rPr>
            </w:pPr>
          </w:p>
        </w:tc>
        <w:tc>
          <w:tcPr>
            <w:tcW w:w="780" w:type="dxa"/>
            <w:vAlign w:val="bottom"/>
            <w:shd w:val="clear" w:color="auto" w:fill="F2F2F2"/>
          </w:tcPr>
          <w:p>
            <w:pPr>
              <w:spacing w:after="0"/>
              <w:rPr>
                <w:sz w:val="9"/>
                <w:szCs w:val="9"/>
                <w:color w:val="auto"/>
              </w:rPr>
            </w:pPr>
          </w:p>
        </w:tc>
        <w:tc>
          <w:tcPr>
            <w:tcW w:w="420" w:type="dxa"/>
            <w:vAlign w:val="bottom"/>
            <w:shd w:val="clear" w:color="auto" w:fill="F2F2F2"/>
          </w:tcPr>
          <w:p>
            <w:pPr>
              <w:spacing w:after="0"/>
              <w:rPr>
                <w:sz w:val="9"/>
                <w:szCs w:val="9"/>
                <w:color w:val="auto"/>
              </w:rPr>
            </w:pPr>
          </w:p>
        </w:tc>
        <w:tc>
          <w:tcPr>
            <w:tcW w:w="760" w:type="dxa"/>
            <w:vAlign w:val="bottom"/>
            <w:shd w:val="clear" w:color="auto" w:fill="F2F2F2"/>
          </w:tcPr>
          <w:p>
            <w:pPr>
              <w:spacing w:after="0"/>
              <w:rPr>
                <w:sz w:val="9"/>
                <w:szCs w:val="9"/>
                <w:color w:val="auto"/>
              </w:rPr>
            </w:pPr>
          </w:p>
        </w:tc>
        <w:tc>
          <w:tcPr>
            <w:tcW w:w="820" w:type="dxa"/>
            <w:vAlign w:val="bottom"/>
            <w:shd w:val="clear" w:color="auto" w:fill="F2F2F2"/>
          </w:tcPr>
          <w:p>
            <w:pPr>
              <w:spacing w:after="0"/>
              <w:rPr>
                <w:sz w:val="9"/>
                <w:szCs w:val="9"/>
                <w:color w:val="auto"/>
              </w:rPr>
            </w:pPr>
          </w:p>
        </w:tc>
        <w:tc>
          <w:tcPr>
            <w:tcW w:w="520" w:type="dxa"/>
            <w:vAlign w:val="bottom"/>
            <w:shd w:val="clear" w:color="auto" w:fill="F2F2F2"/>
          </w:tcPr>
          <w:p>
            <w:pPr>
              <w:spacing w:after="0"/>
              <w:rPr>
                <w:sz w:val="9"/>
                <w:szCs w:val="9"/>
                <w:color w:val="auto"/>
              </w:rPr>
            </w:pPr>
          </w:p>
        </w:tc>
        <w:tc>
          <w:tcPr>
            <w:tcW w:w="500" w:type="dxa"/>
            <w:vAlign w:val="bottom"/>
            <w:shd w:val="clear" w:color="auto" w:fill="F2F2F2"/>
          </w:tcPr>
          <w:p>
            <w:pPr>
              <w:spacing w:after="0"/>
              <w:rPr>
                <w:sz w:val="9"/>
                <w:szCs w:val="9"/>
                <w:color w:val="auto"/>
              </w:rPr>
            </w:pPr>
          </w:p>
        </w:tc>
        <w:tc>
          <w:tcPr>
            <w:tcW w:w="640" w:type="dxa"/>
            <w:vAlign w:val="bottom"/>
            <w:shd w:val="clear" w:color="auto" w:fill="F2F2F2"/>
          </w:tcPr>
          <w:p>
            <w:pPr>
              <w:spacing w:after="0"/>
              <w:rPr>
                <w:sz w:val="9"/>
                <w:szCs w:val="9"/>
                <w:color w:val="auto"/>
              </w:rPr>
            </w:pPr>
          </w:p>
        </w:tc>
        <w:tc>
          <w:tcPr>
            <w:tcW w:w="120" w:type="dxa"/>
            <w:vAlign w:val="bottom"/>
            <w:shd w:val="clear" w:color="auto" w:fill="E8E8E8"/>
          </w:tcPr>
          <w:p>
            <w:pPr>
              <w:spacing w:after="0"/>
              <w:rPr>
                <w:sz w:val="9"/>
                <w:szCs w:val="9"/>
                <w:color w:val="auto"/>
              </w:rPr>
            </w:pPr>
          </w:p>
        </w:tc>
        <w:tc>
          <w:tcPr>
            <w:tcW w:w="5840" w:type="dxa"/>
            <w:vAlign w:val="bottom"/>
            <w:gridSpan w:val="4"/>
            <w:vMerge w:val="continue"/>
            <w:shd w:val="clear" w:color="auto" w:fill="E8E8E8"/>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16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780" w:type="dxa"/>
            <w:vAlign w:val="bottom"/>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rPr>
                <w:sz w:val="17"/>
                <w:szCs w:val="17"/>
                <w:color w:val="auto"/>
              </w:rPr>
            </w:pPr>
          </w:p>
        </w:tc>
        <w:tc>
          <w:tcPr>
            <w:tcW w:w="520" w:type="dxa"/>
            <w:vAlign w:val="bottom"/>
            <w:shd w:val="clear" w:color="auto" w:fill="F2F2F2"/>
          </w:tcPr>
          <w:p>
            <w:pPr>
              <w:spacing w:after="0"/>
              <w:rPr>
                <w:sz w:val="17"/>
                <w:szCs w:val="17"/>
                <w:color w:val="auto"/>
              </w:rPr>
            </w:pPr>
          </w:p>
        </w:tc>
        <w:tc>
          <w:tcPr>
            <w:tcW w:w="500" w:type="dxa"/>
            <w:vAlign w:val="bottom"/>
            <w:shd w:val="clear" w:color="auto" w:fill="F2F2F2"/>
          </w:tcPr>
          <w:p>
            <w:pPr>
              <w:spacing w:after="0"/>
              <w:rPr>
                <w:sz w:val="17"/>
                <w:szCs w:val="17"/>
                <w:color w:val="auto"/>
              </w:rPr>
            </w:pPr>
          </w:p>
        </w:tc>
        <w:tc>
          <w:tcPr>
            <w:tcW w:w="640" w:type="dxa"/>
            <w:vAlign w:val="bottom"/>
            <w:shd w:val="clear" w:color="auto" w:fill="F2F2F2"/>
          </w:tcPr>
          <w:p>
            <w:pPr>
              <w:spacing w:after="0"/>
              <w:rPr>
                <w:sz w:val="17"/>
                <w:szCs w:val="17"/>
                <w:color w:val="auto"/>
              </w:rPr>
            </w:pPr>
          </w:p>
        </w:tc>
        <w:tc>
          <w:tcPr>
            <w:tcW w:w="120" w:type="dxa"/>
            <w:vAlign w:val="bottom"/>
            <w:shd w:val="clear" w:color="auto" w:fill="E8E8E8"/>
          </w:tcPr>
          <w:p>
            <w:pPr>
              <w:spacing w:after="0"/>
              <w:rPr>
                <w:sz w:val="17"/>
                <w:szCs w:val="17"/>
                <w:color w:val="auto"/>
              </w:rPr>
            </w:pPr>
          </w:p>
        </w:tc>
        <w:tc>
          <w:tcPr>
            <w:tcW w:w="5840" w:type="dxa"/>
            <w:vAlign w:val="bottom"/>
            <w:gridSpan w:val="4"/>
            <w:shd w:val="clear" w:color="auto" w:fill="E8E8E8"/>
          </w:tcPr>
          <w:p>
            <w:pPr>
              <w:ind w:left="200"/>
              <w:spacing w:after="0" w:line="202" w:lineRule="exact"/>
              <w:rPr>
                <w:sz w:val="20"/>
                <w:szCs w:val="20"/>
                <w:color w:val="auto"/>
              </w:rPr>
            </w:pPr>
            <w:r>
              <w:rPr>
                <w:rFonts w:ascii="Arial" w:cs="Arial" w:eastAsia="Arial" w:hAnsi="Arial"/>
                <w:sz w:val="18"/>
                <w:szCs w:val="18"/>
                <w:color w:val="auto"/>
              </w:rPr>
              <w:t>reports annually to the Board on the results of the evaluation, and</w:t>
            </w: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16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780" w:type="dxa"/>
            <w:vAlign w:val="bottom"/>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rPr>
                <w:sz w:val="17"/>
                <w:szCs w:val="17"/>
                <w:color w:val="auto"/>
              </w:rPr>
            </w:pPr>
          </w:p>
        </w:tc>
        <w:tc>
          <w:tcPr>
            <w:tcW w:w="520" w:type="dxa"/>
            <w:vAlign w:val="bottom"/>
            <w:shd w:val="clear" w:color="auto" w:fill="F2F2F2"/>
          </w:tcPr>
          <w:p>
            <w:pPr>
              <w:spacing w:after="0"/>
              <w:rPr>
                <w:sz w:val="17"/>
                <w:szCs w:val="17"/>
                <w:color w:val="auto"/>
              </w:rPr>
            </w:pPr>
          </w:p>
        </w:tc>
        <w:tc>
          <w:tcPr>
            <w:tcW w:w="500" w:type="dxa"/>
            <w:vAlign w:val="bottom"/>
            <w:shd w:val="clear" w:color="auto" w:fill="F2F2F2"/>
          </w:tcPr>
          <w:p>
            <w:pPr>
              <w:spacing w:after="0"/>
              <w:rPr>
                <w:sz w:val="17"/>
                <w:szCs w:val="17"/>
                <w:color w:val="auto"/>
              </w:rPr>
            </w:pPr>
          </w:p>
        </w:tc>
        <w:tc>
          <w:tcPr>
            <w:tcW w:w="640" w:type="dxa"/>
            <w:vAlign w:val="bottom"/>
            <w:shd w:val="clear" w:color="auto" w:fill="F2F2F2"/>
          </w:tcPr>
          <w:p>
            <w:pPr>
              <w:spacing w:after="0"/>
              <w:rPr>
                <w:sz w:val="17"/>
                <w:szCs w:val="17"/>
                <w:color w:val="auto"/>
              </w:rPr>
            </w:pPr>
          </w:p>
        </w:tc>
        <w:tc>
          <w:tcPr>
            <w:tcW w:w="120" w:type="dxa"/>
            <w:vAlign w:val="bottom"/>
            <w:shd w:val="clear" w:color="auto" w:fill="E8E8E8"/>
          </w:tcPr>
          <w:p>
            <w:pPr>
              <w:spacing w:after="0"/>
              <w:rPr>
                <w:sz w:val="17"/>
                <w:szCs w:val="17"/>
                <w:color w:val="auto"/>
              </w:rPr>
            </w:pPr>
          </w:p>
        </w:tc>
        <w:tc>
          <w:tcPr>
            <w:tcW w:w="5840" w:type="dxa"/>
            <w:vAlign w:val="bottom"/>
            <w:gridSpan w:val="4"/>
            <w:shd w:val="clear" w:color="auto" w:fill="E8E8E8"/>
          </w:tcPr>
          <w:p>
            <w:pPr>
              <w:ind w:left="200"/>
              <w:spacing w:after="0" w:line="202" w:lineRule="exact"/>
              <w:rPr>
                <w:sz w:val="20"/>
                <w:szCs w:val="20"/>
                <w:color w:val="auto"/>
              </w:rPr>
            </w:pPr>
            <w:r>
              <w:rPr>
                <w:rFonts w:ascii="Arial" w:cs="Arial" w:eastAsia="Arial" w:hAnsi="Arial"/>
                <w:sz w:val="18"/>
                <w:szCs w:val="18"/>
                <w:color w:val="auto"/>
              </w:rPr>
              <w:t>oversees the annual evaluation of the Board’s committees, and the</w:t>
            </w:r>
          </w:p>
        </w:tc>
        <w:tc>
          <w:tcPr>
            <w:tcW w:w="0" w:type="dxa"/>
            <w:vAlign w:val="bottom"/>
          </w:tcPr>
          <w:p>
            <w:pPr>
              <w:spacing w:after="0"/>
              <w:rPr>
                <w:sz w:val="1"/>
                <w:szCs w:val="1"/>
                <w:color w:val="auto"/>
              </w:rPr>
            </w:pPr>
          </w:p>
        </w:tc>
      </w:tr>
      <w:tr>
        <w:trPr>
          <w:trHeight w:val="239"/>
        </w:trPr>
        <w:tc>
          <w:tcPr>
            <w:tcW w:w="120" w:type="dxa"/>
            <w:vAlign w:val="bottom"/>
            <w:shd w:val="clear" w:color="auto" w:fill="F2F2F2"/>
          </w:tcPr>
          <w:p>
            <w:pPr>
              <w:spacing w:after="0"/>
              <w:rPr>
                <w:sz w:val="20"/>
                <w:szCs w:val="20"/>
                <w:color w:val="auto"/>
              </w:rPr>
            </w:pPr>
          </w:p>
        </w:tc>
        <w:tc>
          <w:tcPr>
            <w:tcW w:w="220" w:type="dxa"/>
            <w:vAlign w:val="bottom"/>
            <w:shd w:val="clear" w:color="auto" w:fill="F2F2F2"/>
          </w:tcPr>
          <w:p>
            <w:pPr>
              <w:spacing w:after="0"/>
              <w:rPr>
                <w:sz w:val="20"/>
                <w:szCs w:val="20"/>
                <w:color w:val="auto"/>
              </w:rPr>
            </w:pPr>
          </w:p>
        </w:tc>
        <w:tc>
          <w:tcPr>
            <w:tcW w:w="16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780" w:type="dxa"/>
            <w:vAlign w:val="bottom"/>
            <w:shd w:val="clear" w:color="auto" w:fill="F2F2F2"/>
          </w:tcPr>
          <w:p>
            <w:pPr>
              <w:spacing w:after="0"/>
              <w:rPr>
                <w:sz w:val="20"/>
                <w:szCs w:val="20"/>
                <w:color w:val="auto"/>
              </w:rPr>
            </w:pPr>
          </w:p>
        </w:tc>
        <w:tc>
          <w:tcPr>
            <w:tcW w:w="420" w:type="dxa"/>
            <w:vAlign w:val="bottom"/>
            <w:shd w:val="clear" w:color="auto" w:fill="F2F2F2"/>
          </w:tcPr>
          <w:p>
            <w:pPr>
              <w:spacing w:after="0"/>
              <w:rPr>
                <w:sz w:val="20"/>
                <w:szCs w:val="20"/>
                <w:color w:val="auto"/>
              </w:rPr>
            </w:pPr>
          </w:p>
        </w:tc>
        <w:tc>
          <w:tcPr>
            <w:tcW w:w="760" w:type="dxa"/>
            <w:vAlign w:val="bottom"/>
            <w:shd w:val="clear" w:color="auto" w:fill="F2F2F2"/>
          </w:tcPr>
          <w:p>
            <w:pPr>
              <w:spacing w:after="0"/>
              <w:rPr>
                <w:sz w:val="20"/>
                <w:szCs w:val="20"/>
                <w:color w:val="auto"/>
              </w:rPr>
            </w:pPr>
          </w:p>
        </w:tc>
        <w:tc>
          <w:tcPr>
            <w:tcW w:w="820" w:type="dxa"/>
            <w:vAlign w:val="bottom"/>
            <w:shd w:val="clear" w:color="auto" w:fill="F2F2F2"/>
          </w:tcPr>
          <w:p>
            <w:pPr>
              <w:spacing w:after="0"/>
              <w:rPr>
                <w:sz w:val="20"/>
                <w:szCs w:val="20"/>
                <w:color w:val="auto"/>
              </w:rPr>
            </w:pPr>
          </w:p>
        </w:tc>
        <w:tc>
          <w:tcPr>
            <w:tcW w:w="520" w:type="dxa"/>
            <w:vAlign w:val="bottom"/>
            <w:shd w:val="clear" w:color="auto" w:fill="F2F2F2"/>
          </w:tcPr>
          <w:p>
            <w:pPr>
              <w:spacing w:after="0"/>
              <w:rPr>
                <w:sz w:val="20"/>
                <w:szCs w:val="20"/>
                <w:color w:val="auto"/>
              </w:rPr>
            </w:pPr>
          </w:p>
        </w:tc>
        <w:tc>
          <w:tcPr>
            <w:tcW w:w="500" w:type="dxa"/>
            <w:vAlign w:val="bottom"/>
            <w:shd w:val="clear" w:color="auto" w:fill="F2F2F2"/>
          </w:tcPr>
          <w:p>
            <w:pPr>
              <w:spacing w:after="0"/>
              <w:rPr>
                <w:sz w:val="20"/>
                <w:szCs w:val="20"/>
                <w:color w:val="auto"/>
              </w:rPr>
            </w:pPr>
          </w:p>
        </w:tc>
        <w:tc>
          <w:tcPr>
            <w:tcW w:w="640" w:type="dxa"/>
            <w:vAlign w:val="bottom"/>
            <w:shd w:val="clear" w:color="auto" w:fill="F2F2F2"/>
          </w:tcPr>
          <w:p>
            <w:pPr>
              <w:spacing w:after="0"/>
              <w:rPr>
                <w:sz w:val="20"/>
                <w:szCs w:val="20"/>
                <w:color w:val="auto"/>
              </w:rPr>
            </w:pPr>
          </w:p>
        </w:tc>
        <w:tc>
          <w:tcPr>
            <w:tcW w:w="120" w:type="dxa"/>
            <w:vAlign w:val="bottom"/>
            <w:shd w:val="clear" w:color="auto" w:fill="E8E8E8"/>
          </w:tcPr>
          <w:p>
            <w:pPr>
              <w:spacing w:after="0"/>
              <w:rPr>
                <w:sz w:val="20"/>
                <w:szCs w:val="20"/>
                <w:color w:val="auto"/>
              </w:rPr>
            </w:pPr>
          </w:p>
        </w:tc>
        <w:tc>
          <w:tcPr>
            <w:tcW w:w="3220" w:type="dxa"/>
            <w:vAlign w:val="bottom"/>
            <w:gridSpan w:val="2"/>
            <w:shd w:val="clear" w:color="auto" w:fill="E8E8E8"/>
          </w:tcPr>
          <w:p>
            <w:pPr>
              <w:ind w:left="200"/>
              <w:spacing w:after="0"/>
              <w:rPr>
                <w:sz w:val="20"/>
                <w:szCs w:val="20"/>
                <w:color w:val="auto"/>
              </w:rPr>
            </w:pPr>
            <w:r>
              <w:rPr>
                <w:rFonts w:ascii="Arial" w:cs="Arial" w:eastAsia="Arial" w:hAnsi="Arial"/>
                <w:sz w:val="18"/>
                <w:szCs w:val="18"/>
                <w:color w:val="auto"/>
              </w:rPr>
              <w:t>self-evaluation of individual directors</w:t>
            </w:r>
          </w:p>
        </w:tc>
        <w:tc>
          <w:tcPr>
            <w:tcW w:w="1140" w:type="dxa"/>
            <w:vAlign w:val="bottom"/>
            <w:shd w:val="clear" w:color="auto" w:fill="E8E8E8"/>
          </w:tcPr>
          <w:p>
            <w:pPr>
              <w:spacing w:after="0"/>
              <w:rPr>
                <w:sz w:val="20"/>
                <w:szCs w:val="20"/>
                <w:color w:val="auto"/>
              </w:rPr>
            </w:pPr>
          </w:p>
        </w:tc>
        <w:tc>
          <w:tcPr>
            <w:tcW w:w="1480" w:type="dxa"/>
            <w:vAlign w:val="bottom"/>
            <w:shd w:val="clear" w:color="auto" w:fill="E8E8E8"/>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20" w:type="dxa"/>
            <w:vAlign w:val="bottom"/>
            <w:shd w:val="clear" w:color="auto" w:fill="F2F2F2"/>
          </w:tcPr>
          <w:p>
            <w:pPr>
              <w:spacing w:after="0"/>
              <w:rPr>
                <w:sz w:val="24"/>
                <w:szCs w:val="24"/>
                <w:color w:val="auto"/>
              </w:rPr>
            </w:pPr>
          </w:p>
        </w:tc>
        <w:tc>
          <w:tcPr>
            <w:tcW w:w="220" w:type="dxa"/>
            <w:vAlign w:val="bottom"/>
            <w:shd w:val="clear" w:color="auto" w:fill="F2F2F2"/>
          </w:tcPr>
          <w:p>
            <w:pPr>
              <w:spacing w:after="0"/>
              <w:rPr>
                <w:sz w:val="24"/>
                <w:szCs w:val="24"/>
                <w:color w:val="auto"/>
              </w:rPr>
            </w:pPr>
          </w:p>
        </w:tc>
        <w:tc>
          <w:tcPr>
            <w:tcW w:w="16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780" w:type="dxa"/>
            <w:vAlign w:val="bottom"/>
            <w:shd w:val="clear" w:color="auto" w:fill="F2F2F2"/>
          </w:tcPr>
          <w:p>
            <w:pPr>
              <w:spacing w:after="0"/>
              <w:rPr>
                <w:sz w:val="24"/>
                <w:szCs w:val="24"/>
                <w:color w:val="auto"/>
              </w:rPr>
            </w:pPr>
          </w:p>
        </w:tc>
        <w:tc>
          <w:tcPr>
            <w:tcW w:w="420" w:type="dxa"/>
            <w:vAlign w:val="bottom"/>
            <w:shd w:val="clear" w:color="auto" w:fill="F2F2F2"/>
          </w:tcPr>
          <w:p>
            <w:pPr>
              <w:spacing w:after="0"/>
              <w:rPr>
                <w:sz w:val="24"/>
                <w:szCs w:val="24"/>
                <w:color w:val="auto"/>
              </w:rPr>
            </w:pPr>
          </w:p>
        </w:tc>
        <w:tc>
          <w:tcPr>
            <w:tcW w:w="760" w:type="dxa"/>
            <w:vAlign w:val="bottom"/>
            <w:shd w:val="clear" w:color="auto" w:fill="F2F2F2"/>
          </w:tcPr>
          <w:p>
            <w:pPr>
              <w:spacing w:after="0"/>
              <w:rPr>
                <w:sz w:val="24"/>
                <w:szCs w:val="24"/>
                <w:color w:val="auto"/>
              </w:rPr>
            </w:pPr>
          </w:p>
        </w:tc>
        <w:tc>
          <w:tcPr>
            <w:tcW w:w="820" w:type="dxa"/>
            <w:vAlign w:val="bottom"/>
            <w:shd w:val="clear" w:color="auto" w:fill="F2F2F2"/>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500" w:type="dxa"/>
            <w:vAlign w:val="bottom"/>
            <w:shd w:val="clear" w:color="auto" w:fill="F2F2F2"/>
          </w:tcPr>
          <w:p>
            <w:pPr>
              <w:spacing w:after="0"/>
              <w:rPr>
                <w:sz w:val="24"/>
                <w:szCs w:val="24"/>
                <w:color w:val="auto"/>
              </w:rPr>
            </w:pPr>
          </w:p>
        </w:tc>
        <w:tc>
          <w:tcPr>
            <w:tcW w:w="640" w:type="dxa"/>
            <w:vAlign w:val="bottom"/>
            <w:shd w:val="clear" w:color="auto" w:fill="F2F2F2"/>
          </w:tcPr>
          <w:p>
            <w:pPr>
              <w:spacing w:after="0"/>
              <w:rPr>
                <w:sz w:val="24"/>
                <w:szCs w:val="24"/>
                <w:color w:val="auto"/>
              </w:rPr>
            </w:pPr>
          </w:p>
        </w:tc>
        <w:tc>
          <w:tcPr>
            <w:tcW w:w="120" w:type="dxa"/>
            <w:vAlign w:val="bottom"/>
            <w:shd w:val="clear" w:color="auto" w:fill="E8E8E8"/>
          </w:tcPr>
          <w:p>
            <w:pPr>
              <w:spacing w:after="0"/>
              <w:rPr>
                <w:sz w:val="24"/>
                <w:szCs w:val="24"/>
                <w:color w:val="auto"/>
              </w:rPr>
            </w:pPr>
          </w:p>
        </w:tc>
        <w:tc>
          <w:tcPr>
            <w:tcW w:w="5840" w:type="dxa"/>
            <w:vAlign w:val="bottom"/>
            <w:gridSpan w:val="4"/>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 Establishes the agenda for each Board meeting in cooperation with</w:t>
            </w:r>
          </w:p>
        </w:tc>
        <w:tc>
          <w:tcPr>
            <w:tcW w:w="0" w:type="dxa"/>
            <w:vAlign w:val="bottom"/>
          </w:tcPr>
          <w:p>
            <w:pPr>
              <w:spacing w:after="0"/>
              <w:rPr>
                <w:sz w:val="1"/>
                <w:szCs w:val="1"/>
                <w:color w:val="auto"/>
              </w:rPr>
            </w:pPr>
          </w:p>
        </w:tc>
      </w:tr>
      <w:tr>
        <w:trPr>
          <w:trHeight w:val="239"/>
        </w:trPr>
        <w:tc>
          <w:tcPr>
            <w:tcW w:w="120" w:type="dxa"/>
            <w:vAlign w:val="bottom"/>
            <w:shd w:val="clear" w:color="auto" w:fill="F2F2F2"/>
          </w:tcPr>
          <w:p>
            <w:pPr>
              <w:spacing w:after="0"/>
              <w:rPr>
                <w:sz w:val="20"/>
                <w:szCs w:val="20"/>
                <w:color w:val="auto"/>
              </w:rPr>
            </w:pPr>
          </w:p>
        </w:tc>
        <w:tc>
          <w:tcPr>
            <w:tcW w:w="220" w:type="dxa"/>
            <w:vAlign w:val="bottom"/>
            <w:shd w:val="clear" w:color="auto" w:fill="F2F2F2"/>
          </w:tcPr>
          <w:p>
            <w:pPr>
              <w:spacing w:after="0"/>
              <w:rPr>
                <w:sz w:val="20"/>
                <w:szCs w:val="20"/>
                <w:color w:val="auto"/>
              </w:rPr>
            </w:pPr>
          </w:p>
        </w:tc>
        <w:tc>
          <w:tcPr>
            <w:tcW w:w="16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780" w:type="dxa"/>
            <w:vAlign w:val="bottom"/>
            <w:shd w:val="clear" w:color="auto" w:fill="F2F2F2"/>
          </w:tcPr>
          <w:p>
            <w:pPr>
              <w:spacing w:after="0"/>
              <w:rPr>
                <w:sz w:val="20"/>
                <w:szCs w:val="20"/>
                <w:color w:val="auto"/>
              </w:rPr>
            </w:pPr>
          </w:p>
        </w:tc>
        <w:tc>
          <w:tcPr>
            <w:tcW w:w="420" w:type="dxa"/>
            <w:vAlign w:val="bottom"/>
            <w:shd w:val="clear" w:color="auto" w:fill="F2F2F2"/>
          </w:tcPr>
          <w:p>
            <w:pPr>
              <w:spacing w:after="0"/>
              <w:rPr>
                <w:sz w:val="20"/>
                <w:szCs w:val="20"/>
                <w:color w:val="auto"/>
              </w:rPr>
            </w:pPr>
          </w:p>
        </w:tc>
        <w:tc>
          <w:tcPr>
            <w:tcW w:w="760" w:type="dxa"/>
            <w:vAlign w:val="bottom"/>
            <w:shd w:val="clear" w:color="auto" w:fill="F2F2F2"/>
          </w:tcPr>
          <w:p>
            <w:pPr>
              <w:spacing w:after="0"/>
              <w:rPr>
                <w:sz w:val="20"/>
                <w:szCs w:val="20"/>
                <w:color w:val="auto"/>
              </w:rPr>
            </w:pPr>
          </w:p>
        </w:tc>
        <w:tc>
          <w:tcPr>
            <w:tcW w:w="820" w:type="dxa"/>
            <w:vAlign w:val="bottom"/>
            <w:shd w:val="clear" w:color="auto" w:fill="F2F2F2"/>
          </w:tcPr>
          <w:p>
            <w:pPr>
              <w:spacing w:after="0"/>
              <w:rPr>
                <w:sz w:val="20"/>
                <w:szCs w:val="20"/>
                <w:color w:val="auto"/>
              </w:rPr>
            </w:pPr>
          </w:p>
        </w:tc>
        <w:tc>
          <w:tcPr>
            <w:tcW w:w="520" w:type="dxa"/>
            <w:vAlign w:val="bottom"/>
            <w:shd w:val="clear" w:color="auto" w:fill="F2F2F2"/>
          </w:tcPr>
          <w:p>
            <w:pPr>
              <w:spacing w:after="0"/>
              <w:rPr>
                <w:sz w:val="20"/>
                <w:szCs w:val="20"/>
                <w:color w:val="auto"/>
              </w:rPr>
            </w:pPr>
          </w:p>
        </w:tc>
        <w:tc>
          <w:tcPr>
            <w:tcW w:w="500" w:type="dxa"/>
            <w:vAlign w:val="bottom"/>
            <w:shd w:val="clear" w:color="auto" w:fill="F2F2F2"/>
          </w:tcPr>
          <w:p>
            <w:pPr>
              <w:spacing w:after="0"/>
              <w:rPr>
                <w:sz w:val="20"/>
                <w:szCs w:val="20"/>
                <w:color w:val="auto"/>
              </w:rPr>
            </w:pPr>
          </w:p>
        </w:tc>
        <w:tc>
          <w:tcPr>
            <w:tcW w:w="640" w:type="dxa"/>
            <w:vAlign w:val="bottom"/>
            <w:shd w:val="clear" w:color="auto" w:fill="F2F2F2"/>
          </w:tcPr>
          <w:p>
            <w:pPr>
              <w:spacing w:after="0"/>
              <w:rPr>
                <w:sz w:val="20"/>
                <w:szCs w:val="20"/>
                <w:color w:val="auto"/>
              </w:rPr>
            </w:pPr>
          </w:p>
        </w:tc>
        <w:tc>
          <w:tcPr>
            <w:tcW w:w="120" w:type="dxa"/>
            <w:vAlign w:val="bottom"/>
            <w:shd w:val="clear" w:color="auto" w:fill="E8E8E8"/>
          </w:tcPr>
          <w:p>
            <w:pPr>
              <w:spacing w:after="0"/>
              <w:rPr>
                <w:sz w:val="20"/>
                <w:szCs w:val="20"/>
                <w:color w:val="auto"/>
              </w:rPr>
            </w:pPr>
          </w:p>
        </w:tc>
        <w:tc>
          <w:tcPr>
            <w:tcW w:w="4360" w:type="dxa"/>
            <w:vAlign w:val="bottom"/>
            <w:gridSpan w:val="3"/>
            <w:shd w:val="clear" w:color="auto" w:fill="E8E8E8"/>
          </w:tcPr>
          <w:p>
            <w:pPr>
              <w:ind w:left="200"/>
              <w:spacing w:after="0"/>
              <w:rPr>
                <w:sz w:val="20"/>
                <w:szCs w:val="20"/>
                <w:color w:val="auto"/>
              </w:rPr>
            </w:pPr>
            <w:r>
              <w:rPr>
                <w:rFonts w:ascii="Arial" w:cs="Arial" w:eastAsia="Arial" w:hAnsi="Arial"/>
                <w:sz w:val="18"/>
                <w:szCs w:val="18"/>
                <w:color w:val="auto"/>
              </w:rPr>
              <w:t>the CEO and appropriate senior management</w:t>
            </w:r>
          </w:p>
        </w:tc>
        <w:tc>
          <w:tcPr>
            <w:tcW w:w="1480" w:type="dxa"/>
            <w:vAlign w:val="bottom"/>
            <w:shd w:val="clear" w:color="auto" w:fill="E8E8E8"/>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20" w:type="dxa"/>
            <w:vAlign w:val="bottom"/>
            <w:shd w:val="clear" w:color="auto" w:fill="F2F2F2"/>
          </w:tcPr>
          <w:p>
            <w:pPr>
              <w:spacing w:after="0"/>
              <w:rPr>
                <w:sz w:val="24"/>
                <w:szCs w:val="24"/>
                <w:color w:val="auto"/>
              </w:rPr>
            </w:pPr>
          </w:p>
        </w:tc>
        <w:tc>
          <w:tcPr>
            <w:tcW w:w="220" w:type="dxa"/>
            <w:vAlign w:val="bottom"/>
            <w:shd w:val="clear" w:color="auto" w:fill="F2F2F2"/>
          </w:tcPr>
          <w:p>
            <w:pPr>
              <w:spacing w:after="0"/>
              <w:rPr>
                <w:sz w:val="24"/>
                <w:szCs w:val="24"/>
                <w:color w:val="auto"/>
              </w:rPr>
            </w:pPr>
          </w:p>
        </w:tc>
        <w:tc>
          <w:tcPr>
            <w:tcW w:w="16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780" w:type="dxa"/>
            <w:vAlign w:val="bottom"/>
            <w:shd w:val="clear" w:color="auto" w:fill="F2F2F2"/>
          </w:tcPr>
          <w:p>
            <w:pPr>
              <w:spacing w:after="0"/>
              <w:rPr>
                <w:sz w:val="24"/>
                <w:szCs w:val="24"/>
                <w:color w:val="auto"/>
              </w:rPr>
            </w:pPr>
          </w:p>
        </w:tc>
        <w:tc>
          <w:tcPr>
            <w:tcW w:w="420" w:type="dxa"/>
            <w:vAlign w:val="bottom"/>
            <w:shd w:val="clear" w:color="auto" w:fill="F2F2F2"/>
          </w:tcPr>
          <w:p>
            <w:pPr>
              <w:spacing w:after="0"/>
              <w:rPr>
                <w:sz w:val="24"/>
                <w:szCs w:val="24"/>
                <w:color w:val="auto"/>
              </w:rPr>
            </w:pPr>
          </w:p>
        </w:tc>
        <w:tc>
          <w:tcPr>
            <w:tcW w:w="760" w:type="dxa"/>
            <w:vAlign w:val="bottom"/>
            <w:shd w:val="clear" w:color="auto" w:fill="F2F2F2"/>
          </w:tcPr>
          <w:p>
            <w:pPr>
              <w:spacing w:after="0"/>
              <w:rPr>
                <w:sz w:val="24"/>
                <w:szCs w:val="24"/>
                <w:color w:val="auto"/>
              </w:rPr>
            </w:pPr>
          </w:p>
        </w:tc>
        <w:tc>
          <w:tcPr>
            <w:tcW w:w="820" w:type="dxa"/>
            <w:vAlign w:val="bottom"/>
            <w:shd w:val="clear" w:color="auto" w:fill="F2F2F2"/>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500" w:type="dxa"/>
            <w:vAlign w:val="bottom"/>
            <w:shd w:val="clear" w:color="auto" w:fill="F2F2F2"/>
          </w:tcPr>
          <w:p>
            <w:pPr>
              <w:spacing w:after="0"/>
              <w:rPr>
                <w:sz w:val="24"/>
                <w:szCs w:val="24"/>
                <w:color w:val="auto"/>
              </w:rPr>
            </w:pPr>
          </w:p>
        </w:tc>
        <w:tc>
          <w:tcPr>
            <w:tcW w:w="640" w:type="dxa"/>
            <w:vAlign w:val="bottom"/>
            <w:shd w:val="clear" w:color="auto" w:fill="F2F2F2"/>
          </w:tcPr>
          <w:p>
            <w:pPr>
              <w:spacing w:after="0"/>
              <w:rPr>
                <w:sz w:val="24"/>
                <w:szCs w:val="24"/>
                <w:color w:val="auto"/>
              </w:rPr>
            </w:pPr>
          </w:p>
        </w:tc>
        <w:tc>
          <w:tcPr>
            <w:tcW w:w="120" w:type="dxa"/>
            <w:vAlign w:val="bottom"/>
            <w:shd w:val="clear" w:color="auto" w:fill="E8E8E8"/>
          </w:tcPr>
          <w:p>
            <w:pPr>
              <w:spacing w:after="0"/>
              <w:rPr>
                <w:sz w:val="24"/>
                <w:szCs w:val="24"/>
                <w:color w:val="auto"/>
              </w:rPr>
            </w:pPr>
          </w:p>
        </w:tc>
        <w:tc>
          <w:tcPr>
            <w:tcW w:w="5840" w:type="dxa"/>
            <w:vAlign w:val="bottom"/>
            <w:gridSpan w:val="4"/>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 Recommends to the Board the membership of the standing</w:t>
            </w:r>
          </w:p>
        </w:tc>
        <w:tc>
          <w:tcPr>
            <w:tcW w:w="0" w:type="dxa"/>
            <w:vAlign w:val="bottom"/>
          </w:tcPr>
          <w:p>
            <w:pPr>
              <w:spacing w:after="0"/>
              <w:rPr>
                <w:sz w:val="1"/>
                <w:szCs w:val="1"/>
                <w:color w:val="auto"/>
              </w:rPr>
            </w:pPr>
          </w:p>
        </w:tc>
      </w:tr>
      <w:tr>
        <w:trPr>
          <w:trHeight w:val="239"/>
        </w:trPr>
        <w:tc>
          <w:tcPr>
            <w:tcW w:w="120" w:type="dxa"/>
            <w:vAlign w:val="bottom"/>
            <w:shd w:val="clear" w:color="auto" w:fill="F2F2F2"/>
          </w:tcPr>
          <w:p>
            <w:pPr>
              <w:spacing w:after="0"/>
              <w:rPr>
                <w:sz w:val="20"/>
                <w:szCs w:val="20"/>
                <w:color w:val="auto"/>
              </w:rPr>
            </w:pPr>
          </w:p>
        </w:tc>
        <w:tc>
          <w:tcPr>
            <w:tcW w:w="220" w:type="dxa"/>
            <w:vAlign w:val="bottom"/>
            <w:shd w:val="clear" w:color="auto" w:fill="F2F2F2"/>
          </w:tcPr>
          <w:p>
            <w:pPr>
              <w:spacing w:after="0"/>
              <w:rPr>
                <w:sz w:val="20"/>
                <w:szCs w:val="20"/>
                <w:color w:val="auto"/>
              </w:rPr>
            </w:pPr>
          </w:p>
        </w:tc>
        <w:tc>
          <w:tcPr>
            <w:tcW w:w="16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780" w:type="dxa"/>
            <w:vAlign w:val="bottom"/>
            <w:shd w:val="clear" w:color="auto" w:fill="F2F2F2"/>
          </w:tcPr>
          <w:p>
            <w:pPr>
              <w:spacing w:after="0"/>
              <w:rPr>
                <w:sz w:val="20"/>
                <w:szCs w:val="20"/>
                <w:color w:val="auto"/>
              </w:rPr>
            </w:pPr>
          </w:p>
        </w:tc>
        <w:tc>
          <w:tcPr>
            <w:tcW w:w="420" w:type="dxa"/>
            <w:vAlign w:val="bottom"/>
            <w:shd w:val="clear" w:color="auto" w:fill="F2F2F2"/>
          </w:tcPr>
          <w:p>
            <w:pPr>
              <w:spacing w:after="0"/>
              <w:rPr>
                <w:sz w:val="20"/>
                <w:szCs w:val="20"/>
                <w:color w:val="auto"/>
              </w:rPr>
            </w:pPr>
          </w:p>
        </w:tc>
        <w:tc>
          <w:tcPr>
            <w:tcW w:w="760" w:type="dxa"/>
            <w:vAlign w:val="bottom"/>
            <w:shd w:val="clear" w:color="auto" w:fill="F2F2F2"/>
          </w:tcPr>
          <w:p>
            <w:pPr>
              <w:spacing w:after="0"/>
              <w:rPr>
                <w:sz w:val="20"/>
                <w:szCs w:val="20"/>
                <w:color w:val="auto"/>
              </w:rPr>
            </w:pPr>
          </w:p>
        </w:tc>
        <w:tc>
          <w:tcPr>
            <w:tcW w:w="820" w:type="dxa"/>
            <w:vAlign w:val="bottom"/>
            <w:shd w:val="clear" w:color="auto" w:fill="F2F2F2"/>
          </w:tcPr>
          <w:p>
            <w:pPr>
              <w:spacing w:after="0"/>
              <w:rPr>
                <w:sz w:val="20"/>
                <w:szCs w:val="20"/>
                <w:color w:val="auto"/>
              </w:rPr>
            </w:pPr>
          </w:p>
        </w:tc>
        <w:tc>
          <w:tcPr>
            <w:tcW w:w="520" w:type="dxa"/>
            <w:vAlign w:val="bottom"/>
            <w:shd w:val="clear" w:color="auto" w:fill="F2F2F2"/>
          </w:tcPr>
          <w:p>
            <w:pPr>
              <w:spacing w:after="0"/>
              <w:rPr>
                <w:sz w:val="20"/>
                <w:szCs w:val="20"/>
                <w:color w:val="auto"/>
              </w:rPr>
            </w:pPr>
          </w:p>
        </w:tc>
        <w:tc>
          <w:tcPr>
            <w:tcW w:w="500" w:type="dxa"/>
            <w:vAlign w:val="bottom"/>
            <w:shd w:val="clear" w:color="auto" w:fill="F2F2F2"/>
          </w:tcPr>
          <w:p>
            <w:pPr>
              <w:spacing w:after="0"/>
              <w:rPr>
                <w:sz w:val="20"/>
                <w:szCs w:val="20"/>
                <w:color w:val="auto"/>
              </w:rPr>
            </w:pPr>
          </w:p>
        </w:tc>
        <w:tc>
          <w:tcPr>
            <w:tcW w:w="640" w:type="dxa"/>
            <w:vAlign w:val="bottom"/>
            <w:shd w:val="clear" w:color="auto" w:fill="F2F2F2"/>
          </w:tcPr>
          <w:p>
            <w:pPr>
              <w:spacing w:after="0"/>
              <w:rPr>
                <w:sz w:val="20"/>
                <w:szCs w:val="20"/>
                <w:color w:val="auto"/>
              </w:rPr>
            </w:pPr>
          </w:p>
        </w:tc>
        <w:tc>
          <w:tcPr>
            <w:tcW w:w="120" w:type="dxa"/>
            <w:vAlign w:val="bottom"/>
            <w:shd w:val="clear" w:color="auto" w:fill="E8E8E8"/>
          </w:tcPr>
          <w:p>
            <w:pPr>
              <w:spacing w:after="0"/>
              <w:rPr>
                <w:sz w:val="20"/>
                <w:szCs w:val="20"/>
                <w:color w:val="auto"/>
              </w:rPr>
            </w:pPr>
          </w:p>
        </w:tc>
        <w:tc>
          <w:tcPr>
            <w:tcW w:w="3220" w:type="dxa"/>
            <w:vAlign w:val="bottom"/>
            <w:gridSpan w:val="2"/>
            <w:shd w:val="clear" w:color="auto" w:fill="E8E8E8"/>
          </w:tcPr>
          <w:p>
            <w:pPr>
              <w:ind w:left="200"/>
              <w:spacing w:after="0"/>
              <w:rPr>
                <w:sz w:val="20"/>
                <w:szCs w:val="20"/>
                <w:color w:val="auto"/>
              </w:rPr>
            </w:pPr>
            <w:r>
              <w:rPr>
                <w:rFonts w:ascii="Arial" w:cs="Arial" w:eastAsia="Arial" w:hAnsi="Arial"/>
                <w:sz w:val="18"/>
                <w:szCs w:val="18"/>
                <w:color w:val="auto"/>
              </w:rPr>
              <w:t>committees of the Board</w:t>
            </w:r>
          </w:p>
        </w:tc>
        <w:tc>
          <w:tcPr>
            <w:tcW w:w="1140" w:type="dxa"/>
            <w:vAlign w:val="bottom"/>
            <w:shd w:val="clear" w:color="auto" w:fill="E8E8E8"/>
          </w:tcPr>
          <w:p>
            <w:pPr>
              <w:spacing w:after="0"/>
              <w:rPr>
                <w:sz w:val="20"/>
                <w:szCs w:val="20"/>
                <w:color w:val="auto"/>
              </w:rPr>
            </w:pPr>
          </w:p>
        </w:tc>
        <w:tc>
          <w:tcPr>
            <w:tcW w:w="1480" w:type="dxa"/>
            <w:vAlign w:val="bottom"/>
            <w:shd w:val="clear" w:color="auto" w:fill="E8E8E8"/>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20" w:type="dxa"/>
            <w:vAlign w:val="bottom"/>
            <w:shd w:val="clear" w:color="auto" w:fill="F2F2F2"/>
          </w:tcPr>
          <w:p>
            <w:pPr>
              <w:spacing w:after="0"/>
              <w:rPr>
                <w:sz w:val="24"/>
                <w:szCs w:val="24"/>
                <w:color w:val="auto"/>
              </w:rPr>
            </w:pPr>
          </w:p>
        </w:tc>
        <w:tc>
          <w:tcPr>
            <w:tcW w:w="220" w:type="dxa"/>
            <w:vAlign w:val="bottom"/>
            <w:shd w:val="clear" w:color="auto" w:fill="F2F2F2"/>
          </w:tcPr>
          <w:p>
            <w:pPr>
              <w:spacing w:after="0"/>
              <w:rPr>
                <w:sz w:val="24"/>
                <w:szCs w:val="24"/>
                <w:color w:val="auto"/>
              </w:rPr>
            </w:pPr>
          </w:p>
        </w:tc>
        <w:tc>
          <w:tcPr>
            <w:tcW w:w="16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780" w:type="dxa"/>
            <w:vAlign w:val="bottom"/>
            <w:shd w:val="clear" w:color="auto" w:fill="F2F2F2"/>
          </w:tcPr>
          <w:p>
            <w:pPr>
              <w:spacing w:after="0"/>
              <w:rPr>
                <w:sz w:val="24"/>
                <w:szCs w:val="24"/>
                <w:color w:val="auto"/>
              </w:rPr>
            </w:pPr>
          </w:p>
        </w:tc>
        <w:tc>
          <w:tcPr>
            <w:tcW w:w="420" w:type="dxa"/>
            <w:vAlign w:val="bottom"/>
            <w:shd w:val="clear" w:color="auto" w:fill="F2F2F2"/>
          </w:tcPr>
          <w:p>
            <w:pPr>
              <w:spacing w:after="0"/>
              <w:rPr>
                <w:sz w:val="24"/>
                <w:szCs w:val="24"/>
                <w:color w:val="auto"/>
              </w:rPr>
            </w:pPr>
          </w:p>
        </w:tc>
        <w:tc>
          <w:tcPr>
            <w:tcW w:w="760" w:type="dxa"/>
            <w:vAlign w:val="bottom"/>
            <w:shd w:val="clear" w:color="auto" w:fill="F2F2F2"/>
          </w:tcPr>
          <w:p>
            <w:pPr>
              <w:spacing w:after="0"/>
              <w:rPr>
                <w:sz w:val="24"/>
                <w:szCs w:val="24"/>
                <w:color w:val="auto"/>
              </w:rPr>
            </w:pPr>
          </w:p>
        </w:tc>
        <w:tc>
          <w:tcPr>
            <w:tcW w:w="820" w:type="dxa"/>
            <w:vAlign w:val="bottom"/>
            <w:shd w:val="clear" w:color="auto" w:fill="F2F2F2"/>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500" w:type="dxa"/>
            <w:vAlign w:val="bottom"/>
            <w:shd w:val="clear" w:color="auto" w:fill="F2F2F2"/>
          </w:tcPr>
          <w:p>
            <w:pPr>
              <w:spacing w:after="0"/>
              <w:rPr>
                <w:sz w:val="24"/>
                <w:szCs w:val="24"/>
                <w:color w:val="auto"/>
              </w:rPr>
            </w:pPr>
          </w:p>
        </w:tc>
        <w:tc>
          <w:tcPr>
            <w:tcW w:w="640" w:type="dxa"/>
            <w:vAlign w:val="bottom"/>
            <w:shd w:val="clear" w:color="auto" w:fill="F2F2F2"/>
          </w:tcPr>
          <w:p>
            <w:pPr>
              <w:spacing w:after="0"/>
              <w:rPr>
                <w:sz w:val="24"/>
                <w:szCs w:val="24"/>
                <w:color w:val="auto"/>
              </w:rPr>
            </w:pPr>
          </w:p>
        </w:tc>
        <w:tc>
          <w:tcPr>
            <w:tcW w:w="120" w:type="dxa"/>
            <w:vAlign w:val="bottom"/>
            <w:shd w:val="clear" w:color="auto" w:fill="E8E8E8"/>
          </w:tcPr>
          <w:p>
            <w:pPr>
              <w:spacing w:after="0"/>
              <w:rPr>
                <w:sz w:val="24"/>
                <w:szCs w:val="24"/>
                <w:color w:val="auto"/>
              </w:rPr>
            </w:pPr>
          </w:p>
        </w:tc>
        <w:tc>
          <w:tcPr>
            <w:tcW w:w="5840" w:type="dxa"/>
            <w:vAlign w:val="bottom"/>
            <w:gridSpan w:val="4"/>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 Annually reviews and reassesses the adequacy of the Corporate</w:t>
            </w: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16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780" w:type="dxa"/>
            <w:vAlign w:val="bottom"/>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rPr>
                <w:sz w:val="17"/>
                <w:szCs w:val="17"/>
                <w:color w:val="auto"/>
              </w:rPr>
            </w:pPr>
          </w:p>
        </w:tc>
        <w:tc>
          <w:tcPr>
            <w:tcW w:w="520" w:type="dxa"/>
            <w:vAlign w:val="bottom"/>
            <w:shd w:val="clear" w:color="auto" w:fill="F2F2F2"/>
          </w:tcPr>
          <w:p>
            <w:pPr>
              <w:spacing w:after="0"/>
              <w:rPr>
                <w:sz w:val="17"/>
                <w:szCs w:val="17"/>
                <w:color w:val="auto"/>
              </w:rPr>
            </w:pPr>
          </w:p>
        </w:tc>
        <w:tc>
          <w:tcPr>
            <w:tcW w:w="500" w:type="dxa"/>
            <w:vAlign w:val="bottom"/>
            <w:shd w:val="clear" w:color="auto" w:fill="F2F2F2"/>
          </w:tcPr>
          <w:p>
            <w:pPr>
              <w:spacing w:after="0"/>
              <w:rPr>
                <w:sz w:val="17"/>
                <w:szCs w:val="17"/>
                <w:color w:val="auto"/>
              </w:rPr>
            </w:pPr>
          </w:p>
        </w:tc>
        <w:tc>
          <w:tcPr>
            <w:tcW w:w="640" w:type="dxa"/>
            <w:vAlign w:val="bottom"/>
            <w:shd w:val="clear" w:color="auto" w:fill="F2F2F2"/>
          </w:tcPr>
          <w:p>
            <w:pPr>
              <w:spacing w:after="0"/>
              <w:rPr>
                <w:sz w:val="17"/>
                <w:szCs w:val="17"/>
                <w:color w:val="auto"/>
              </w:rPr>
            </w:pPr>
          </w:p>
        </w:tc>
        <w:tc>
          <w:tcPr>
            <w:tcW w:w="120" w:type="dxa"/>
            <w:vAlign w:val="bottom"/>
            <w:shd w:val="clear" w:color="auto" w:fill="E8E8E8"/>
          </w:tcPr>
          <w:p>
            <w:pPr>
              <w:spacing w:after="0"/>
              <w:rPr>
                <w:sz w:val="17"/>
                <w:szCs w:val="17"/>
                <w:color w:val="auto"/>
              </w:rPr>
            </w:pPr>
          </w:p>
        </w:tc>
        <w:tc>
          <w:tcPr>
            <w:tcW w:w="5840" w:type="dxa"/>
            <w:vAlign w:val="bottom"/>
            <w:gridSpan w:val="4"/>
            <w:shd w:val="clear" w:color="auto" w:fill="E8E8E8"/>
          </w:tcPr>
          <w:p>
            <w:pPr>
              <w:ind w:left="200"/>
              <w:spacing w:after="0" w:line="202" w:lineRule="exact"/>
              <w:rPr>
                <w:sz w:val="20"/>
                <w:szCs w:val="20"/>
                <w:color w:val="auto"/>
              </w:rPr>
            </w:pPr>
            <w:r>
              <w:rPr>
                <w:rFonts w:ascii="Arial" w:cs="Arial" w:eastAsia="Arial" w:hAnsi="Arial"/>
                <w:sz w:val="18"/>
                <w:szCs w:val="18"/>
                <w:color w:val="auto"/>
              </w:rPr>
              <w:t>Governance Guidelines and recommends any proposed changes to</w:t>
            </w:r>
          </w:p>
        </w:tc>
        <w:tc>
          <w:tcPr>
            <w:tcW w:w="0" w:type="dxa"/>
            <w:vAlign w:val="bottom"/>
          </w:tcPr>
          <w:p>
            <w:pPr>
              <w:spacing w:after="0"/>
              <w:rPr>
                <w:sz w:val="1"/>
                <w:szCs w:val="1"/>
                <w:color w:val="auto"/>
              </w:rPr>
            </w:pPr>
          </w:p>
        </w:tc>
      </w:tr>
      <w:tr>
        <w:trPr>
          <w:trHeight w:val="239"/>
        </w:trPr>
        <w:tc>
          <w:tcPr>
            <w:tcW w:w="120" w:type="dxa"/>
            <w:vAlign w:val="bottom"/>
            <w:shd w:val="clear" w:color="auto" w:fill="F2F2F2"/>
          </w:tcPr>
          <w:p>
            <w:pPr>
              <w:spacing w:after="0"/>
              <w:rPr>
                <w:sz w:val="20"/>
                <w:szCs w:val="20"/>
                <w:color w:val="auto"/>
              </w:rPr>
            </w:pPr>
          </w:p>
        </w:tc>
        <w:tc>
          <w:tcPr>
            <w:tcW w:w="220" w:type="dxa"/>
            <w:vAlign w:val="bottom"/>
            <w:shd w:val="clear" w:color="auto" w:fill="F2F2F2"/>
          </w:tcPr>
          <w:p>
            <w:pPr>
              <w:spacing w:after="0"/>
              <w:rPr>
                <w:sz w:val="20"/>
                <w:szCs w:val="20"/>
                <w:color w:val="auto"/>
              </w:rPr>
            </w:pPr>
          </w:p>
        </w:tc>
        <w:tc>
          <w:tcPr>
            <w:tcW w:w="16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780" w:type="dxa"/>
            <w:vAlign w:val="bottom"/>
            <w:shd w:val="clear" w:color="auto" w:fill="F2F2F2"/>
          </w:tcPr>
          <w:p>
            <w:pPr>
              <w:spacing w:after="0"/>
              <w:rPr>
                <w:sz w:val="20"/>
                <w:szCs w:val="20"/>
                <w:color w:val="auto"/>
              </w:rPr>
            </w:pPr>
          </w:p>
        </w:tc>
        <w:tc>
          <w:tcPr>
            <w:tcW w:w="420" w:type="dxa"/>
            <w:vAlign w:val="bottom"/>
            <w:shd w:val="clear" w:color="auto" w:fill="F2F2F2"/>
          </w:tcPr>
          <w:p>
            <w:pPr>
              <w:spacing w:after="0"/>
              <w:rPr>
                <w:sz w:val="20"/>
                <w:szCs w:val="20"/>
                <w:color w:val="auto"/>
              </w:rPr>
            </w:pPr>
          </w:p>
        </w:tc>
        <w:tc>
          <w:tcPr>
            <w:tcW w:w="760" w:type="dxa"/>
            <w:vAlign w:val="bottom"/>
            <w:shd w:val="clear" w:color="auto" w:fill="F2F2F2"/>
          </w:tcPr>
          <w:p>
            <w:pPr>
              <w:spacing w:after="0"/>
              <w:rPr>
                <w:sz w:val="20"/>
                <w:szCs w:val="20"/>
                <w:color w:val="auto"/>
              </w:rPr>
            </w:pPr>
          </w:p>
        </w:tc>
        <w:tc>
          <w:tcPr>
            <w:tcW w:w="820" w:type="dxa"/>
            <w:vAlign w:val="bottom"/>
            <w:shd w:val="clear" w:color="auto" w:fill="F2F2F2"/>
          </w:tcPr>
          <w:p>
            <w:pPr>
              <w:spacing w:after="0"/>
              <w:rPr>
                <w:sz w:val="20"/>
                <w:szCs w:val="20"/>
                <w:color w:val="auto"/>
              </w:rPr>
            </w:pPr>
          </w:p>
        </w:tc>
        <w:tc>
          <w:tcPr>
            <w:tcW w:w="520" w:type="dxa"/>
            <w:vAlign w:val="bottom"/>
            <w:shd w:val="clear" w:color="auto" w:fill="F2F2F2"/>
          </w:tcPr>
          <w:p>
            <w:pPr>
              <w:spacing w:after="0"/>
              <w:rPr>
                <w:sz w:val="20"/>
                <w:szCs w:val="20"/>
                <w:color w:val="auto"/>
              </w:rPr>
            </w:pPr>
          </w:p>
        </w:tc>
        <w:tc>
          <w:tcPr>
            <w:tcW w:w="500" w:type="dxa"/>
            <w:vAlign w:val="bottom"/>
            <w:shd w:val="clear" w:color="auto" w:fill="F2F2F2"/>
          </w:tcPr>
          <w:p>
            <w:pPr>
              <w:spacing w:after="0"/>
              <w:rPr>
                <w:sz w:val="20"/>
                <w:szCs w:val="20"/>
                <w:color w:val="auto"/>
              </w:rPr>
            </w:pPr>
          </w:p>
        </w:tc>
        <w:tc>
          <w:tcPr>
            <w:tcW w:w="640" w:type="dxa"/>
            <w:vAlign w:val="bottom"/>
            <w:shd w:val="clear" w:color="auto" w:fill="F2F2F2"/>
          </w:tcPr>
          <w:p>
            <w:pPr>
              <w:spacing w:after="0"/>
              <w:rPr>
                <w:sz w:val="20"/>
                <w:szCs w:val="20"/>
                <w:color w:val="auto"/>
              </w:rPr>
            </w:pPr>
          </w:p>
        </w:tc>
        <w:tc>
          <w:tcPr>
            <w:tcW w:w="120" w:type="dxa"/>
            <w:vAlign w:val="bottom"/>
            <w:shd w:val="clear" w:color="auto" w:fill="E8E8E8"/>
          </w:tcPr>
          <w:p>
            <w:pPr>
              <w:spacing w:after="0"/>
              <w:rPr>
                <w:sz w:val="20"/>
                <w:szCs w:val="20"/>
                <w:color w:val="auto"/>
              </w:rPr>
            </w:pPr>
          </w:p>
        </w:tc>
        <w:tc>
          <w:tcPr>
            <w:tcW w:w="3220" w:type="dxa"/>
            <w:vAlign w:val="bottom"/>
            <w:gridSpan w:val="2"/>
            <w:shd w:val="clear" w:color="auto" w:fill="E8E8E8"/>
          </w:tcPr>
          <w:p>
            <w:pPr>
              <w:ind w:left="200"/>
              <w:spacing w:after="0"/>
              <w:rPr>
                <w:sz w:val="20"/>
                <w:szCs w:val="20"/>
                <w:color w:val="auto"/>
              </w:rPr>
            </w:pPr>
            <w:r>
              <w:rPr>
                <w:rFonts w:ascii="Arial" w:cs="Arial" w:eastAsia="Arial" w:hAnsi="Arial"/>
                <w:sz w:val="18"/>
                <w:szCs w:val="18"/>
                <w:color w:val="auto"/>
              </w:rPr>
              <w:t>the Board for approval</w:t>
            </w:r>
          </w:p>
        </w:tc>
        <w:tc>
          <w:tcPr>
            <w:tcW w:w="1140" w:type="dxa"/>
            <w:vAlign w:val="bottom"/>
            <w:shd w:val="clear" w:color="auto" w:fill="E8E8E8"/>
          </w:tcPr>
          <w:p>
            <w:pPr>
              <w:spacing w:after="0"/>
              <w:rPr>
                <w:sz w:val="20"/>
                <w:szCs w:val="20"/>
                <w:color w:val="auto"/>
              </w:rPr>
            </w:pPr>
          </w:p>
        </w:tc>
        <w:tc>
          <w:tcPr>
            <w:tcW w:w="1480" w:type="dxa"/>
            <w:vAlign w:val="bottom"/>
            <w:shd w:val="clear" w:color="auto" w:fill="E8E8E8"/>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20" w:type="dxa"/>
            <w:vAlign w:val="bottom"/>
            <w:shd w:val="clear" w:color="auto" w:fill="F2F2F2"/>
          </w:tcPr>
          <w:p>
            <w:pPr>
              <w:spacing w:after="0"/>
              <w:rPr>
                <w:sz w:val="24"/>
                <w:szCs w:val="24"/>
                <w:color w:val="auto"/>
              </w:rPr>
            </w:pPr>
          </w:p>
        </w:tc>
        <w:tc>
          <w:tcPr>
            <w:tcW w:w="220" w:type="dxa"/>
            <w:vAlign w:val="bottom"/>
            <w:shd w:val="clear" w:color="auto" w:fill="F2F2F2"/>
          </w:tcPr>
          <w:p>
            <w:pPr>
              <w:spacing w:after="0"/>
              <w:rPr>
                <w:sz w:val="24"/>
                <w:szCs w:val="24"/>
                <w:color w:val="auto"/>
              </w:rPr>
            </w:pPr>
          </w:p>
        </w:tc>
        <w:tc>
          <w:tcPr>
            <w:tcW w:w="16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780" w:type="dxa"/>
            <w:vAlign w:val="bottom"/>
            <w:shd w:val="clear" w:color="auto" w:fill="F2F2F2"/>
          </w:tcPr>
          <w:p>
            <w:pPr>
              <w:spacing w:after="0"/>
              <w:rPr>
                <w:sz w:val="24"/>
                <w:szCs w:val="24"/>
                <w:color w:val="auto"/>
              </w:rPr>
            </w:pPr>
          </w:p>
        </w:tc>
        <w:tc>
          <w:tcPr>
            <w:tcW w:w="420" w:type="dxa"/>
            <w:vAlign w:val="bottom"/>
            <w:shd w:val="clear" w:color="auto" w:fill="F2F2F2"/>
          </w:tcPr>
          <w:p>
            <w:pPr>
              <w:spacing w:after="0"/>
              <w:rPr>
                <w:sz w:val="24"/>
                <w:szCs w:val="24"/>
                <w:color w:val="auto"/>
              </w:rPr>
            </w:pPr>
          </w:p>
        </w:tc>
        <w:tc>
          <w:tcPr>
            <w:tcW w:w="760" w:type="dxa"/>
            <w:vAlign w:val="bottom"/>
            <w:shd w:val="clear" w:color="auto" w:fill="F2F2F2"/>
          </w:tcPr>
          <w:p>
            <w:pPr>
              <w:spacing w:after="0"/>
              <w:rPr>
                <w:sz w:val="24"/>
                <w:szCs w:val="24"/>
                <w:color w:val="auto"/>
              </w:rPr>
            </w:pPr>
          </w:p>
        </w:tc>
        <w:tc>
          <w:tcPr>
            <w:tcW w:w="820" w:type="dxa"/>
            <w:vAlign w:val="bottom"/>
            <w:shd w:val="clear" w:color="auto" w:fill="F2F2F2"/>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500" w:type="dxa"/>
            <w:vAlign w:val="bottom"/>
            <w:shd w:val="clear" w:color="auto" w:fill="F2F2F2"/>
          </w:tcPr>
          <w:p>
            <w:pPr>
              <w:spacing w:after="0"/>
              <w:rPr>
                <w:sz w:val="24"/>
                <w:szCs w:val="24"/>
                <w:color w:val="auto"/>
              </w:rPr>
            </w:pPr>
          </w:p>
        </w:tc>
        <w:tc>
          <w:tcPr>
            <w:tcW w:w="640" w:type="dxa"/>
            <w:vAlign w:val="bottom"/>
            <w:shd w:val="clear" w:color="auto" w:fill="F2F2F2"/>
          </w:tcPr>
          <w:p>
            <w:pPr>
              <w:spacing w:after="0"/>
              <w:rPr>
                <w:sz w:val="24"/>
                <w:szCs w:val="24"/>
                <w:color w:val="auto"/>
              </w:rPr>
            </w:pPr>
          </w:p>
        </w:tc>
        <w:tc>
          <w:tcPr>
            <w:tcW w:w="120" w:type="dxa"/>
            <w:vAlign w:val="bottom"/>
            <w:shd w:val="clear" w:color="auto" w:fill="E8E8E8"/>
          </w:tcPr>
          <w:p>
            <w:pPr>
              <w:spacing w:after="0"/>
              <w:rPr>
                <w:sz w:val="24"/>
                <w:szCs w:val="24"/>
                <w:color w:val="auto"/>
              </w:rPr>
            </w:pPr>
          </w:p>
        </w:tc>
        <w:tc>
          <w:tcPr>
            <w:tcW w:w="5840" w:type="dxa"/>
            <w:vAlign w:val="bottom"/>
            <w:gridSpan w:val="4"/>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 Has general oversight of the Company’s objectives, policies and</w:t>
            </w: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16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780" w:type="dxa"/>
            <w:vAlign w:val="bottom"/>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rPr>
                <w:sz w:val="17"/>
                <w:szCs w:val="17"/>
                <w:color w:val="auto"/>
              </w:rPr>
            </w:pPr>
          </w:p>
        </w:tc>
        <w:tc>
          <w:tcPr>
            <w:tcW w:w="520" w:type="dxa"/>
            <w:vAlign w:val="bottom"/>
            <w:shd w:val="clear" w:color="auto" w:fill="F2F2F2"/>
          </w:tcPr>
          <w:p>
            <w:pPr>
              <w:spacing w:after="0"/>
              <w:rPr>
                <w:sz w:val="17"/>
                <w:szCs w:val="17"/>
                <w:color w:val="auto"/>
              </w:rPr>
            </w:pPr>
          </w:p>
        </w:tc>
        <w:tc>
          <w:tcPr>
            <w:tcW w:w="500" w:type="dxa"/>
            <w:vAlign w:val="bottom"/>
            <w:shd w:val="clear" w:color="auto" w:fill="F2F2F2"/>
          </w:tcPr>
          <w:p>
            <w:pPr>
              <w:spacing w:after="0"/>
              <w:rPr>
                <w:sz w:val="17"/>
                <w:szCs w:val="17"/>
                <w:color w:val="auto"/>
              </w:rPr>
            </w:pPr>
          </w:p>
        </w:tc>
        <w:tc>
          <w:tcPr>
            <w:tcW w:w="640" w:type="dxa"/>
            <w:vAlign w:val="bottom"/>
            <w:shd w:val="clear" w:color="auto" w:fill="F2F2F2"/>
          </w:tcPr>
          <w:p>
            <w:pPr>
              <w:spacing w:after="0"/>
              <w:rPr>
                <w:sz w:val="17"/>
                <w:szCs w:val="17"/>
                <w:color w:val="auto"/>
              </w:rPr>
            </w:pPr>
          </w:p>
        </w:tc>
        <w:tc>
          <w:tcPr>
            <w:tcW w:w="120" w:type="dxa"/>
            <w:vAlign w:val="bottom"/>
            <w:shd w:val="clear" w:color="auto" w:fill="E8E8E8"/>
          </w:tcPr>
          <w:p>
            <w:pPr>
              <w:spacing w:after="0"/>
              <w:rPr>
                <w:sz w:val="17"/>
                <w:szCs w:val="17"/>
                <w:color w:val="auto"/>
              </w:rPr>
            </w:pPr>
          </w:p>
        </w:tc>
        <w:tc>
          <w:tcPr>
            <w:tcW w:w="5840" w:type="dxa"/>
            <w:vAlign w:val="bottom"/>
            <w:gridSpan w:val="4"/>
            <w:shd w:val="clear" w:color="auto" w:fill="E8E8E8"/>
          </w:tcPr>
          <w:p>
            <w:pPr>
              <w:ind w:left="200"/>
              <w:spacing w:after="0" w:line="202" w:lineRule="exact"/>
              <w:rPr>
                <w:sz w:val="20"/>
                <w:szCs w:val="20"/>
                <w:color w:val="auto"/>
              </w:rPr>
            </w:pPr>
            <w:r>
              <w:rPr>
                <w:rFonts w:ascii="Arial" w:cs="Arial" w:eastAsia="Arial" w:hAnsi="Arial"/>
                <w:sz w:val="18"/>
                <w:szCs w:val="18"/>
                <w:color w:val="auto"/>
              </w:rPr>
              <w:t>efforts related to corporate responsibility matters, including</w:t>
            </w: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16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780" w:type="dxa"/>
            <w:vAlign w:val="bottom"/>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rPr>
                <w:sz w:val="17"/>
                <w:szCs w:val="17"/>
                <w:color w:val="auto"/>
              </w:rPr>
            </w:pPr>
          </w:p>
        </w:tc>
        <w:tc>
          <w:tcPr>
            <w:tcW w:w="520" w:type="dxa"/>
            <w:vAlign w:val="bottom"/>
            <w:shd w:val="clear" w:color="auto" w:fill="F2F2F2"/>
          </w:tcPr>
          <w:p>
            <w:pPr>
              <w:spacing w:after="0"/>
              <w:rPr>
                <w:sz w:val="17"/>
                <w:szCs w:val="17"/>
                <w:color w:val="auto"/>
              </w:rPr>
            </w:pPr>
          </w:p>
        </w:tc>
        <w:tc>
          <w:tcPr>
            <w:tcW w:w="500" w:type="dxa"/>
            <w:vAlign w:val="bottom"/>
            <w:shd w:val="clear" w:color="auto" w:fill="F2F2F2"/>
          </w:tcPr>
          <w:p>
            <w:pPr>
              <w:spacing w:after="0"/>
              <w:rPr>
                <w:sz w:val="17"/>
                <w:szCs w:val="17"/>
                <w:color w:val="auto"/>
              </w:rPr>
            </w:pPr>
          </w:p>
        </w:tc>
        <w:tc>
          <w:tcPr>
            <w:tcW w:w="640" w:type="dxa"/>
            <w:vAlign w:val="bottom"/>
            <w:shd w:val="clear" w:color="auto" w:fill="F2F2F2"/>
          </w:tcPr>
          <w:p>
            <w:pPr>
              <w:spacing w:after="0"/>
              <w:rPr>
                <w:sz w:val="17"/>
                <w:szCs w:val="17"/>
                <w:color w:val="auto"/>
              </w:rPr>
            </w:pPr>
          </w:p>
        </w:tc>
        <w:tc>
          <w:tcPr>
            <w:tcW w:w="120" w:type="dxa"/>
            <w:vAlign w:val="bottom"/>
            <w:shd w:val="clear" w:color="auto" w:fill="E8E8E8"/>
          </w:tcPr>
          <w:p>
            <w:pPr>
              <w:spacing w:after="0"/>
              <w:rPr>
                <w:sz w:val="17"/>
                <w:szCs w:val="17"/>
                <w:color w:val="auto"/>
              </w:rPr>
            </w:pPr>
          </w:p>
        </w:tc>
        <w:tc>
          <w:tcPr>
            <w:tcW w:w="5840" w:type="dxa"/>
            <w:vAlign w:val="bottom"/>
            <w:gridSpan w:val="4"/>
            <w:shd w:val="clear" w:color="auto" w:fill="E8E8E8"/>
          </w:tcPr>
          <w:p>
            <w:pPr>
              <w:ind w:left="200"/>
              <w:spacing w:after="0" w:line="202" w:lineRule="exact"/>
              <w:rPr>
                <w:sz w:val="20"/>
                <w:szCs w:val="20"/>
                <w:color w:val="auto"/>
              </w:rPr>
            </w:pPr>
            <w:r>
              <w:rPr>
                <w:rFonts w:ascii="Arial" w:cs="Arial" w:eastAsia="Arial" w:hAnsi="Arial"/>
                <w:sz w:val="18"/>
                <w:szCs w:val="18"/>
                <w:color w:val="auto"/>
              </w:rPr>
              <w:t>sustainability, environmental, corporate citizenship, social</w:t>
            </w:r>
          </w:p>
        </w:tc>
        <w:tc>
          <w:tcPr>
            <w:tcW w:w="0" w:type="dxa"/>
            <w:vAlign w:val="bottom"/>
          </w:tcPr>
          <w:p>
            <w:pPr>
              <w:spacing w:after="0"/>
              <w:rPr>
                <w:sz w:val="1"/>
                <w:szCs w:val="1"/>
                <w:color w:val="auto"/>
              </w:rPr>
            </w:pPr>
          </w:p>
        </w:tc>
      </w:tr>
      <w:tr>
        <w:trPr>
          <w:trHeight w:val="239"/>
        </w:trPr>
        <w:tc>
          <w:tcPr>
            <w:tcW w:w="120" w:type="dxa"/>
            <w:vAlign w:val="bottom"/>
            <w:shd w:val="clear" w:color="auto" w:fill="F2F2F2"/>
          </w:tcPr>
          <w:p>
            <w:pPr>
              <w:spacing w:after="0"/>
              <w:rPr>
                <w:sz w:val="20"/>
                <w:szCs w:val="20"/>
                <w:color w:val="auto"/>
              </w:rPr>
            </w:pPr>
          </w:p>
        </w:tc>
        <w:tc>
          <w:tcPr>
            <w:tcW w:w="220" w:type="dxa"/>
            <w:vAlign w:val="bottom"/>
            <w:shd w:val="clear" w:color="auto" w:fill="F2F2F2"/>
          </w:tcPr>
          <w:p>
            <w:pPr>
              <w:spacing w:after="0"/>
              <w:rPr>
                <w:sz w:val="20"/>
                <w:szCs w:val="20"/>
                <w:color w:val="auto"/>
              </w:rPr>
            </w:pPr>
          </w:p>
        </w:tc>
        <w:tc>
          <w:tcPr>
            <w:tcW w:w="16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780" w:type="dxa"/>
            <w:vAlign w:val="bottom"/>
            <w:shd w:val="clear" w:color="auto" w:fill="F2F2F2"/>
          </w:tcPr>
          <w:p>
            <w:pPr>
              <w:spacing w:after="0"/>
              <w:rPr>
                <w:sz w:val="20"/>
                <w:szCs w:val="20"/>
                <w:color w:val="auto"/>
              </w:rPr>
            </w:pPr>
          </w:p>
        </w:tc>
        <w:tc>
          <w:tcPr>
            <w:tcW w:w="420" w:type="dxa"/>
            <w:vAlign w:val="bottom"/>
            <w:shd w:val="clear" w:color="auto" w:fill="F2F2F2"/>
          </w:tcPr>
          <w:p>
            <w:pPr>
              <w:spacing w:after="0"/>
              <w:rPr>
                <w:sz w:val="20"/>
                <w:szCs w:val="20"/>
                <w:color w:val="auto"/>
              </w:rPr>
            </w:pPr>
          </w:p>
        </w:tc>
        <w:tc>
          <w:tcPr>
            <w:tcW w:w="760" w:type="dxa"/>
            <w:vAlign w:val="bottom"/>
            <w:shd w:val="clear" w:color="auto" w:fill="F2F2F2"/>
          </w:tcPr>
          <w:p>
            <w:pPr>
              <w:spacing w:after="0"/>
              <w:rPr>
                <w:sz w:val="20"/>
                <w:szCs w:val="20"/>
                <w:color w:val="auto"/>
              </w:rPr>
            </w:pPr>
          </w:p>
        </w:tc>
        <w:tc>
          <w:tcPr>
            <w:tcW w:w="820" w:type="dxa"/>
            <w:vAlign w:val="bottom"/>
            <w:shd w:val="clear" w:color="auto" w:fill="F2F2F2"/>
          </w:tcPr>
          <w:p>
            <w:pPr>
              <w:spacing w:after="0"/>
              <w:rPr>
                <w:sz w:val="20"/>
                <w:szCs w:val="20"/>
                <w:color w:val="auto"/>
              </w:rPr>
            </w:pPr>
          </w:p>
        </w:tc>
        <w:tc>
          <w:tcPr>
            <w:tcW w:w="520" w:type="dxa"/>
            <w:vAlign w:val="bottom"/>
            <w:shd w:val="clear" w:color="auto" w:fill="F2F2F2"/>
          </w:tcPr>
          <w:p>
            <w:pPr>
              <w:spacing w:after="0"/>
              <w:rPr>
                <w:sz w:val="20"/>
                <w:szCs w:val="20"/>
                <w:color w:val="auto"/>
              </w:rPr>
            </w:pPr>
          </w:p>
        </w:tc>
        <w:tc>
          <w:tcPr>
            <w:tcW w:w="500" w:type="dxa"/>
            <w:vAlign w:val="bottom"/>
            <w:shd w:val="clear" w:color="auto" w:fill="F2F2F2"/>
          </w:tcPr>
          <w:p>
            <w:pPr>
              <w:spacing w:after="0"/>
              <w:rPr>
                <w:sz w:val="20"/>
                <w:szCs w:val="20"/>
                <w:color w:val="auto"/>
              </w:rPr>
            </w:pPr>
          </w:p>
        </w:tc>
        <w:tc>
          <w:tcPr>
            <w:tcW w:w="640" w:type="dxa"/>
            <w:vAlign w:val="bottom"/>
            <w:shd w:val="clear" w:color="auto" w:fill="F2F2F2"/>
          </w:tcPr>
          <w:p>
            <w:pPr>
              <w:spacing w:after="0"/>
              <w:rPr>
                <w:sz w:val="20"/>
                <w:szCs w:val="20"/>
                <w:color w:val="auto"/>
              </w:rPr>
            </w:pPr>
          </w:p>
        </w:tc>
        <w:tc>
          <w:tcPr>
            <w:tcW w:w="120" w:type="dxa"/>
            <w:vAlign w:val="bottom"/>
            <w:shd w:val="clear" w:color="auto" w:fill="E8E8E8"/>
          </w:tcPr>
          <w:p>
            <w:pPr>
              <w:spacing w:after="0"/>
              <w:rPr>
                <w:sz w:val="20"/>
                <w:szCs w:val="20"/>
                <w:color w:val="auto"/>
              </w:rPr>
            </w:pPr>
          </w:p>
        </w:tc>
        <w:tc>
          <w:tcPr>
            <w:tcW w:w="4360" w:type="dxa"/>
            <w:vAlign w:val="bottom"/>
            <w:gridSpan w:val="3"/>
            <w:shd w:val="clear" w:color="auto" w:fill="E8E8E8"/>
          </w:tcPr>
          <w:p>
            <w:pPr>
              <w:ind w:left="200"/>
              <w:spacing w:after="0"/>
              <w:rPr>
                <w:sz w:val="20"/>
                <w:szCs w:val="20"/>
                <w:color w:val="auto"/>
              </w:rPr>
            </w:pPr>
            <w:r>
              <w:rPr>
                <w:rFonts w:ascii="Arial" w:cs="Arial" w:eastAsia="Arial" w:hAnsi="Arial"/>
                <w:sz w:val="18"/>
                <w:szCs w:val="18"/>
                <w:color w:val="auto"/>
              </w:rPr>
              <w:t>responsibility, political and public policy matters</w:t>
            </w:r>
          </w:p>
        </w:tc>
        <w:tc>
          <w:tcPr>
            <w:tcW w:w="1480" w:type="dxa"/>
            <w:vAlign w:val="bottom"/>
            <w:shd w:val="clear" w:color="auto" w:fill="E8E8E8"/>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20" w:type="dxa"/>
            <w:vAlign w:val="bottom"/>
            <w:shd w:val="clear" w:color="auto" w:fill="F2F2F2"/>
          </w:tcPr>
          <w:p>
            <w:pPr>
              <w:spacing w:after="0"/>
              <w:rPr>
                <w:sz w:val="24"/>
                <w:szCs w:val="24"/>
                <w:color w:val="auto"/>
              </w:rPr>
            </w:pPr>
          </w:p>
        </w:tc>
        <w:tc>
          <w:tcPr>
            <w:tcW w:w="220" w:type="dxa"/>
            <w:vAlign w:val="bottom"/>
            <w:shd w:val="clear" w:color="auto" w:fill="F2F2F2"/>
          </w:tcPr>
          <w:p>
            <w:pPr>
              <w:spacing w:after="0"/>
              <w:rPr>
                <w:sz w:val="24"/>
                <w:szCs w:val="24"/>
                <w:color w:val="auto"/>
              </w:rPr>
            </w:pPr>
          </w:p>
        </w:tc>
        <w:tc>
          <w:tcPr>
            <w:tcW w:w="16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780" w:type="dxa"/>
            <w:vAlign w:val="bottom"/>
            <w:shd w:val="clear" w:color="auto" w:fill="F2F2F2"/>
          </w:tcPr>
          <w:p>
            <w:pPr>
              <w:spacing w:after="0"/>
              <w:rPr>
                <w:sz w:val="24"/>
                <w:szCs w:val="24"/>
                <w:color w:val="auto"/>
              </w:rPr>
            </w:pPr>
          </w:p>
        </w:tc>
        <w:tc>
          <w:tcPr>
            <w:tcW w:w="420" w:type="dxa"/>
            <w:vAlign w:val="bottom"/>
            <w:shd w:val="clear" w:color="auto" w:fill="F2F2F2"/>
          </w:tcPr>
          <w:p>
            <w:pPr>
              <w:spacing w:after="0"/>
              <w:rPr>
                <w:sz w:val="24"/>
                <w:szCs w:val="24"/>
                <w:color w:val="auto"/>
              </w:rPr>
            </w:pPr>
          </w:p>
        </w:tc>
        <w:tc>
          <w:tcPr>
            <w:tcW w:w="760" w:type="dxa"/>
            <w:vAlign w:val="bottom"/>
            <w:shd w:val="clear" w:color="auto" w:fill="F2F2F2"/>
          </w:tcPr>
          <w:p>
            <w:pPr>
              <w:spacing w:after="0"/>
              <w:rPr>
                <w:sz w:val="24"/>
                <w:szCs w:val="24"/>
                <w:color w:val="auto"/>
              </w:rPr>
            </w:pPr>
          </w:p>
        </w:tc>
        <w:tc>
          <w:tcPr>
            <w:tcW w:w="820" w:type="dxa"/>
            <w:vAlign w:val="bottom"/>
            <w:shd w:val="clear" w:color="auto" w:fill="F2F2F2"/>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500" w:type="dxa"/>
            <w:vAlign w:val="bottom"/>
            <w:shd w:val="clear" w:color="auto" w:fill="F2F2F2"/>
          </w:tcPr>
          <w:p>
            <w:pPr>
              <w:spacing w:after="0"/>
              <w:rPr>
                <w:sz w:val="24"/>
                <w:szCs w:val="24"/>
                <w:color w:val="auto"/>
              </w:rPr>
            </w:pPr>
          </w:p>
        </w:tc>
        <w:tc>
          <w:tcPr>
            <w:tcW w:w="640" w:type="dxa"/>
            <w:vAlign w:val="bottom"/>
            <w:shd w:val="clear" w:color="auto" w:fill="F2F2F2"/>
          </w:tcPr>
          <w:p>
            <w:pPr>
              <w:spacing w:after="0"/>
              <w:rPr>
                <w:sz w:val="24"/>
                <w:szCs w:val="24"/>
                <w:color w:val="auto"/>
              </w:rPr>
            </w:pPr>
          </w:p>
        </w:tc>
        <w:tc>
          <w:tcPr>
            <w:tcW w:w="120" w:type="dxa"/>
            <w:vAlign w:val="bottom"/>
            <w:shd w:val="clear" w:color="auto" w:fill="E8E8E8"/>
          </w:tcPr>
          <w:p>
            <w:pPr>
              <w:spacing w:after="0"/>
              <w:rPr>
                <w:sz w:val="24"/>
                <w:szCs w:val="24"/>
                <w:color w:val="auto"/>
              </w:rPr>
            </w:pPr>
          </w:p>
        </w:tc>
        <w:tc>
          <w:tcPr>
            <w:tcW w:w="5840" w:type="dxa"/>
            <w:vAlign w:val="bottom"/>
            <w:gridSpan w:val="4"/>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 Receives recommendations of the Leadership Development and</w:t>
            </w: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16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780" w:type="dxa"/>
            <w:vAlign w:val="bottom"/>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rPr>
                <w:sz w:val="17"/>
                <w:szCs w:val="17"/>
                <w:color w:val="auto"/>
              </w:rPr>
            </w:pPr>
          </w:p>
        </w:tc>
        <w:tc>
          <w:tcPr>
            <w:tcW w:w="520" w:type="dxa"/>
            <w:vAlign w:val="bottom"/>
            <w:shd w:val="clear" w:color="auto" w:fill="F2F2F2"/>
          </w:tcPr>
          <w:p>
            <w:pPr>
              <w:spacing w:after="0"/>
              <w:rPr>
                <w:sz w:val="17"/>
                <w:szCs w:val="17"/>
                <w:color w:val="auto"/>
              </w:rPr>
            </w:pPr>
          </w:p>
        </w:tc>
        <w:tc>
          <w:tcPr>
            <w:tcW w:w="500" w:type="dxa"/>
            <w:vAlign w:val="bottom"/>
            <w:shd w:val="clear" w:color="auto" w:fill="F2F2F2"/>
          </w:tcPr>
          <w:p>
            <w:pPr>
              <w:spacing w:after="0"/>
              <w:rPr>
                <w:sz w:val="17"/>
                <w:szCs w:val="17"/>
                <w:color w:val="auto"/>
              </w:rPr>
            </w:pPr>
          </w:p>
        </w:tc>
        <w:tc>
          <w:tcPr>
            <w:tcW w:w="640" w:type="dxa"/>
            <w:vAlign w:val="bottom"/>
            <w:shd w:val="clear" w:color="auto" w:fill="F2F2F2"/>
          </w:tcPr>
          <w:p>
            <w:pPr>
              <w:spacing w:after="0"/>
              <w:rPr>
                <w:sz w:val="17"/>
                <w:szCs w:val="17"/>
                <w:color w:val="auto"/>
              </w:rPr>
            </w:pPr>
          </w:p>
        </w:tc>
        <w:tc>
          <w:tcPr>
            <w:tcW w:w="120" w:type="dxa"/>
            <w:vAlign w:val="bottom"/>
            <w:shd w:val="clear" w:color="auto" w:fill="E8E8E8"/>
          </w:tcPr>
          <w:p>
            <w:pPr>
              <w:spacing w:after="0"/>
              <w:rPr>
                <w:sz w:val="17"/>
                <w:szCs w:val="17"/>
                <w:color w:val="auto"/>
              </w:rPr>
            </w:pPr>
          </w:p>
        </w:tc>
        <w:tc>
          <w:tcPr>
            <w:tcW w:w="5840" w:type="dxa"/>
            <w:vAlign w:val="bottom"/>
            <w:gridSpan w:val="4"/>
            <w:shd w:val="clear" w:color="auto" w:fill="E8E8E8"/>
          </w:tcPr>
          <w:p>
            <w:pPr>
              <w:ind w:left="200"/>
              <w:spacing w:after="0" w:line="202" w:lineRule="exact"/>
              <w:rPr>
                <w:sz w:val="20"/>
                <w:szCs w:val="20"/>
                <w:color w:val="auto"/>
              </w:rPr>
            </w:pPr>
            <w:r>
              <w:rPr>
                <w:rFonts w:ascii="Arial" w:cs="Arial" w:eastAsia="Arial" w:hAnsi="Arial"/>
                <w:sz w:val="18"/>
                <w:szCs w:val="18"/>
                <w:color w:val="auto"/>
              </w:rPr>
              <w:t>Compensation Committee with respect to the form and amount of</w:t>
            </w: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16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780" w:type="dxa"/>
            <w:vAlign w:val="bottom"/>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rPr>
                <w:sz w:val="17"/>
                <w:szCs w:val="17"/>
                <w:color w:val="auto"/>
              </w:rPr>
            </w:pPr>
          </w:p>
        </w:tc>
        <w:tc>
          <w:tcPr>
            <w:tcW w:w="520" w:type="dxa"/>
            <w:vAlign w:val="bottom"/>
            <w:shd w:val="clear" w:color="auto" w:fill="F2F2F2"/>
          </w:tcPr>
          <w:p>
            <w:pPr>
              <w:spacing w:after="0"/>
              <w:rPr>
                <w:sz w:val="17"/>
                <w:szCs w:val="17"/>
                <w:color w:val="auto"/>
              </w:rPr>
            </w:pPr>
          </w:p>
        </w:tc>
        <w:tc>
          <w:tcPr>
            <w:tcW w:w="500" w:type="dxa"/>
            <w:vAlign w:val="bottom"/>
            <w:shd w:val="clear" w:color="auto" w:fill="F2F2F2"/>
          </w:tcPr>
          <w:p>
            <w:pPr>
              <w:spacing w:after="0"/>
              <w:rPr>
                <w:sz w:val="17"/>
                <w:szCs w:val="17"/>
                <w:color w:val="auto"/>
              </w:rPr>
            </w:pPr>
          </w:p>
        </w:tc>
        <w:tc>
          <w:tcPr>
            <w:tcW w:w="640" w:type="dxa"/>
            <w:vAlign w:val="bottom"/>
            <w:shd w:val="clear" w:color="auto" w:fill="F2F2F2"/>
          </w:tcPr>
          <w:p>
            <w:pPr>
              <w:spacing w:after="0"/>
              <w:rPr>
                <w:sz w:val="17"/>
                <w:szCs w:val="17"/>
                <w:color w:val="auto"/>
              </w:rPr>
            </w:pPr>
          </w:p>
        </w:tc>
        <w:tc>
          <w:tcPr>
            <w:tcW w:w="120" w:type="dxa"/>
            <w:vAlign w:val="bottom"/>
            <w:shd w:val="clear" w:color="auto" w:fill="E8E8E8"/>
          </w:tcPr>
          <w:p>
            <w:pPr>
              <w:spacing w:after="0"/>
              <w:rPr>
                <w:sz w:val="17"/>
                <w:szCs w:val="17"/>
                <w:color w:val="auto"/>
              </w:rPr>
            </w:pPr>
          </w:p>
        </w:tc>
        <w:tc>
          <w:tcPr>
            <w:tcW w:w="5840" w:type="dxa"/>
            <w:vAlign w:val="bottom"/>
            <w:gridSpan w:val="4"/>
            <w:shd w:val="clear" w:color="auto" w:fill="E8E8E8"/>
          </w:tcPr>
          <w:p>
            <w:pPr>
              <w:ind w:left="200"/>
              <w:spacing w:after="0" w:line="202" w:lineRule="exact"/>
              <w:rPr>
                <w:sz w:val="20"/>
                <w:szCs w:val="20"/>
                <w:color w:val="auto"/>
              </w:rPr>
            </w:pPr>
            <w:r>
              <w:rPr>
                <w:rFonts w:ascii="Arial" w:cs="Arial" w:eastAsia="Arial" w:hAnsi="Arial"/>
                <w:sz w:val="18"/>
                <w:szCs w:val="18"/>
                <w:color w:val="auto"/>
              </w:rPr>
              <w:t>director compensation, and, jointly with the Leadership Development</w:t>
            </w: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16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780" w:type="dxa"/>
            <w:vAlign w:val="bottom"/>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rPr>
                <w:sz w:val="17"/>
                <w:szCs w:val="17"/>
                <w:color w:val="auto"/>
              </w:rPr>
            </w:pPr>
          </w:p>
        </w:tc>
        <w:tc>
          <w:tcPr>
            <w:tcW w:w="520" w:type="dxa"/>
            <w:vAlign w:val="bottom"/>
            <w:shd w:val="clear" w:color="auto" w:fill="F2F2F2"/>
          </w:tcPr>
          <w:p>
            <w:pPr>
              <w:spacing w:after="0"/>
              <w:rPr>
                <w:sz w:val="17"/>
                <w:szCs w:val="17"/>
                <w:color w:val="auto"/>
              </w:rPr>
            </w:pPr>
          </w:p>
        </w:tc>
        <w:tc>
          <w:tcPr>
            <w:tcW w:w="500" w:type="dxa"/>
            <w:vAlign w:val="bottom"/>
            <w:shd w:val="clear" w:color="auto" w:fill="F2F2F2"/>
          </w:tcPr>
          <w:p>
            <w:pPr>
              <w:spacing w:after="0"/>
              <w:rPr>
                <w:sz w:val="17"/>
                <w:szCs w:val="17"/>
                <w:color w:val="auto"/>
              </w:rPr>
            </w:pPr>
          </w:p>
        </w:tc>
        <w:tc>
          <w:tcPr>
            <w:tcW w:w="640" w:type="dxa"/>
            <w:vAlign w:val="bottom"/>
            <w:shd w:val="clear" w:color="auto" w:fill="F2F2F2"/>
          </w:tcPr>
          <w:p>
            <w:pPr>
              <w:spacing w:after="0"/>
              <w:rPr>
                <w:sz w:val="17"/>
                <w:szCs w:val="17"/>
                <w:color w:val="auto"/>
              </w:rPr>
            </w:pPr>
          </w:p>
        </w:tc>
        <w:tc>
          <w:tcPr>
            <w:tcW w:w="120" w:type="dxa"/>
            <w:vAlign w:val="bottom"/>
            <w:shd w:val="clear" w:color="auto" w:fill="E8E8E8"/>
          </w:tcPr>
          <w:p>
            <w:pPr>
              <w:spacing w:after="0"/>
              <w:rPr>
                <w:sz w:val="17"/>
                <w:szCs w:val="17"/>
                <w:color w:val="auto"/>
              </w:rPr>
            </w:pPr>
          </w:p>
        </w:tc>
        <w:tc>
          <w:tcPr>
            <w:tcW w:w="5840" w:type="dxa"/>
            <w:vAlign w:val="bottom"/>
            <w:gridSpan w:val="4"/>
            <w:shd w:val="clear" w:color="auto" w:fill="E8E8E8"/>
          </w:tcPr>
          <w:p>
            <w:pPr>
              <w:ind w:left="200"/>
              <w:spacing w:after="0" w:line="202" w:lineRule="exact"/>
              <w:rPr>
                <w:sz w:val="20"/>
                <w:szCs w:val="20"/>
                <w:color w:val="auto"/>
              </w:rPr>
            </w:pPr>
            <w:r>
              <w:rPr>
                <w:rFonts w:ascii="Arial" w:cs="Arial" w:eastAsia="Arial" w:hAnsi="Arial"/>
                <w:sz w:val="18"/>
                <w:szCs w:val="18"/>
                <w:color w:val="auto"/>
              </w:rPr>
              <w:t>and Compensation Committee, recommends changes in director</w:t>
            </w:r>
          </w:p>
        </w:tc>
        <w:tc>
          <w:tcPr>
            <w:tcW w:w="0" w:type="dxa"/>
            <w:vAlign w:val="bottom"/>
          </w:tcPr>
          <w:p>
            <w:pPr>
              <w:spacing w:after="0"/>
              <w:rPr>
                <w:sz w:val="1"/>
                <w:szCs w:val="1"/>
                <w:color w:val="auto"/>
              </w:rPr>
            </w:pPr>
          </w:p>
        </w:tc>
      </w:tr>
      <w:tr>
        <w:trPr>
          <w:trHeight w:val="239"/>
        </w:trPr>
        <w:tc>
          <w:tcPr>
            <w:tcW w:w="120" w:type="dxa"/>
            <w:vAlign w:val="bottom"/>
            <w:shd w:val="clear" w:color="auto" w:fill="F2F2F2"/>
          </w:tcPr>
          <w:p>
            <w:pPr>
              <w:spacing w:after="0"/>
              <w:rPr>
                <w:sz w:val="20"/>
                <w:szCs w:val="20"/>
                <w:color w:val="auto"/>
              </w:rPr>
            </w:pPr>
          </w:p>
        </w:tc>
        <w:tc>
          <w:tcPr>
            <w:tcW w:w="220" w:type="dxa"/>
            <w:vAlign w:val="bottom"/>
            <w:shd w:val="clear" w:color="auto" w:fill="F2F2F2"/>
          </w:tcPr>
          <w:p>
            <w:pPr>
              <w:spacing w:after="0"/>
              <w:rPr>
                <w:sz w:val="20"/>
                <w:szCs w:val="20"/>
                <w:color w:val="auto"/>
              </w:rPr>
            </w:pPr>
          </w:p>
        </w:tc>
        <w:tc>
          <w:tcPr>
            <w:tcW w:w="16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780" w:type="dxa"/>
            <w:vAlign w:val="bottom"/>
            <w:shd w:val="clear" w:color="auto" w:fill="F2F2F2"/>
          </w:tcPr>
          <w:p>
            <w:pPr>
              <w:spacing w:after="0"/>
              <w:rPr>
                <w:sz w:val="20"/>
                <w:szCs w:val="20"/>
                <w:color w:val="auto"/>
              </w:rPr>
            </w:pPr>
          </w:p>
        </w:tc>
        <w:tc>
          <w:tcPr>
            <w:tcW w:w="420" w:type="dxa"/>
            <w:vAlign w:val="bottom"/>
            <w:shd w:val="clear" w:color="auto" w:fill="F2F2F2"/>
          </w:tcPr>
          <w:p>
            <w:pPr>
              <w:spacing w:after="0"/>
              <w:rPr>
                <w:sz w:val="20"/>
                <w:szCs w:val="20"/>
                <w:color w:val="auto"/>
              </w:rPr>
            </w:pPr>
          </w:p>
        </w:tc>
        <w:tc>
          <w:tcPr>
            <w:tcW w:w="760" w:type="dxa"/>
            <w:vAlign w:val="bottom"/>
            <w:shd w:val="clear" w:color="auto" w:fill="F2F2F2"/>
          </w:tcPr>
          <w:p>
            <w:pPr>
              <w:spacing w:after="0"/>
              <w:rPr>
                <w:sz w:val="20"/>
                <w:szCs w:val="20"/>
                <w:color w:val="auto"/>
              </w:rPr>
            </w:pPr>
          </w:p>
        </w:tc>
        <w:tc>
          <w:tcPr>
            <w:tcW w:w="820" w:type="dxa"/>
            <w:vAlign w:val="bottom"/>
            <w:shd w:val="clear" w:color="auto" w:fill="F2F2F2"/>
          </w:tcPr>
          <w:p>
            <w:pPr>
              <w:spacing w:after="0"/>
              <w:rPr>
                <w:sz w:val="20"/>
                <w:szCs w:val="20"/>
                <w:color w:val="auto"/>
              </w:rPr>
            </w:pPr>
          </w:p>
        </w:tc>
        <w:tc>
          <w:tcPr>
            <w:tcW w:w="520" w:type="dxa"/>
            <w:vAlign w:val="bottom"/>
            <w:shd w:val="clear" w:color="auto" w:fill="F2F2F2"/>
          </w:tcPr>
          <w:p>
            <w:pPr>
              <w:spacing w:after="0"/>
              <w:rPr>
                <w:sz w:val="20"/>
                <w:szCs w:val="20"/>
                <w:color w:val="auto"/>
              </w:rPr>
            </w:pPr>
          </w:p>
        </w:tc>
        <w:tc>
          <w:tcPr>
            <w:tcW w:w="500" w:type="dxa"/>
            <w:vAlign w:val="bottom"/>
            <w:shd w:val="clear" w:color="auto" w:fill="F2F2F2"/>
          </w:tcPr>
          <w:p>
            <w:pPr>
              <w:spacing w:after="0"/>
              <w:rPr>
                <w:sz w:val="20"/>
                <w:szCs w:val="20"/>
                <w:color w:val="auto"/>
              </w:rPr>
            </w:pPr>
          </w:p>
        </w:tc>
        <w:tc>
          <w:tcPr>
            <w:tcW w:w="640" w:type="dxa"/>
            <w:vAlign w:val="bottom"/>
            <w:shd w:val="clear" w:color="auto" w:fill="F2F2F2"/>
          </w:tcPr>
          <w:p>
            <w:pPr>
              <w:spacing w:after="0"/>
              <w:rPr>
                <w:sz w:val="20"/>
                <w:szCs w:val="20"/>
                <w:color w:val="auto"/>
              </w:rPr>
            </w:pPr>
          </w:p>
        </w:tc>
        <w:tc>
          <w:tcPr>
            <w:tcW w:w="120" w:type="dxa"/>
            <w:vAlign w:val="bottom"/>
            <w:shd w:val="clear" w:color="auto" w:fill="E8E8E8"/>
          </w:tcPr>
          <w:p>
            <w:pPr>
              <w:spacing w:after="0"/>
              <w:rPr>
                <w:sz w:val="20"/>
                <w:szCs w:val="20"/>
                <w:color w:val="auto"/>
              </w:rPr>
            </w:pPr>
          </w:p>
        </w:tc>
        <w:tc>
          <w:tcPr>
            <w:tcW w:w="3220" w:type="dxa"/>
            <w:vAlign w:val="bottom"/>
            <w:gridSpan w:val="2"/>
            <w:shd w:val="clear" w:color="auto" w:fill="E8E8E8"/>
          </w:tcPr>
          <w:p>
            <w:pPr>
              <w:ind w:left="200"/>
              <w:spacing w:after="0"/>
              <w:rPr>
                <w:sz w:val="20"/>
                <w:szCs w:val="20"/>
                <w:color w:val="auto"/>
              </w:rPr>
            </w:pPr>
            <w:r>
              <w:rPr>
                <w:rFonts w:ascii="Arial" w:cs="Arial" w:eastAsia="Arial" w:hAnsi="Arial"/>
                <w:sz w:val="18"/>
                <w:szCs w:val="18"/>
                <w:color w:val="auto"/>
              </w:rPr>
              <w:t>compensation to the Board</w:t>
            </w:r>
          </w:p>
        </w:tc>
        <w:tc>
          <w:tcPr>
            <w:tcW w:w="1140" w:type="dxa"/>
            <w:vAlign w:val="bottom"/>
            <w:shd w:val="clear" w:color="auto" w:fill="E8E8E8"/>
          </w:tcPr>
          <w:p>
            <w:pPr>
              <w:spacing w:after="0"/>
              <w:rPr>
                <w:sz w:val="20"/>
                <w:szCs w:val="20"/>
                <w:color w:val="auto"/>
              </w:rPr>
            </w:pPr>
          </w:p>
        </w:tc>
        <w:tc>
          <w:tcPr>
            <w:tcW w:w="1480" w:type="dxa"/>
            <w:vAlign w:val="bottom"/>
            <w:shd w:val="clear" w:color="auto" w:fill="E8E8E8"/>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20" w:type="dxa"/>
            <w:vAlign w:val="bottom"/>
            <w:shd w:val="clear" w:color="auto" w:fill="F2F2F2"/>
          </w:tcPr>
          <w:p>
            <w:pPr>
              <w:spacing w:after="0"/>
              <w:rPr>
                <w:sz w:val="24"/>
                <w:szCs w:val="24"/>
                <w:color w:val="auto"/>
              </w:rPr>
            </w:pPr>
          </w:p>
        </w:tc>
        <w:tc>
          <w:tcPr>
            <w:tcW w:w="220" w:type="dxa"/>
            <w:vAlign w:val="bottom"/>
            <w:shd w:val="clear" w:color="auto" w:fill="F2F2F2"/>
          </w:tcPr>
          <w:p>
            <w:pPr>
              <w:spacing w:after="0"/>
              <w:rPr>
                <w:sz w:val="24"/>
                <w:szCs w:val="24"/>
                <w:color w:val="auto"/>
              </w:rPr>
            </w:pPr>
          </w:p>
        </w:tc>
        <w:tc>
          <w:tcPr>
            <w:tcW w:w="16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780" w:type="dxa"/>
            <w:vAlign w:val="bottom"/>
            <w:shd w:val="clear" w:color="auto" w:fill="F2F2F2"/>
          </w:tcPr>
          <w:p>
            <w:pPr>
              <w:spacing w:after="0"/>
              <w:rPr>
                <w:sz w:val="24"/>
                <w:szCs w:val="24"/>
                <w:color w:val="auto"/>
              </w:rPr>
            </w:pPr>
          </w:p>
        </w:tc>
        <w:tc>
          <w:tcPr>
            <w:tcW w:w="420" w:type="dxa"/>
            <w:vAlign w:val="bottom"/>
            <w:shd w:val="clear" w:color="auto" w:fill="F2F2F2"/>
          </w:tcPr>
          <w:p>
            <w:pPr>
              <w:spacing w:after="0"/>
              <w:rPr>
                <w:sz w:val="24"/>
                <w:szCs w:val="24"/>
                <w:color w:val="auto"/>
              </w:rPr>
            </w:pPr>
          </w:p>
        </w:tc>
        <w:tc>
          <w:tcPr>
            <w:tcW w:w="760" w:type="dxa"/>
            <w:vAlign w:val="bottom"/>
            <w:shd w:val="clear" w:color="auto" w:fill="F2F2F2"/>
          </w:tcPr>
          <w:p>
            <w:pPr>
              <w:spacing w:after="0"/>
              <w:rPr>
                <w:sz w:val="24"/>
                <w:szCs w:val="24"/>
                <w:color w:val="auto"/>
              </w:rPr>
            </w:pPr>
          </w:p>
        </w:tc>
        <w:tc>
          <w:tcPr>
            <w:tcW w:w="820" w:type="dxa"/>
            <w:vAlign w:val="bottom"/>
            <w:shd w:val="clear" w:color="auto" w:fill="F2F2F2"/>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500" w:type="dxa"/>
            <w:vAlign w:val="bottom"/>
            <w:shd w:val="clear" w:color="auto" w:fill="F2F2F2"/>
          </w:tcPr>
          <w:p>
            <w:pPr>
              <w:spacing w:after="0"/>
              <w:rPr>
                <w:sz w:val="24"/>
                <w:szCs w:val="24"/>
                <w:color w:val="auto"/>
              </w:rPr>
            </w:pPr>
          </w:p>
        </w:tc>
        <w:tc>
          <w:tcPr>
            <w:tcW w:w="640" w:type="dxa"/>
            <w:vAlign w:val="bottom"/>
            <w:shd w:val="clear" w:color="auto" w:fill="F2F2F2"/>
          </w:tcPr>
          <w:p>
            <w:pPr>
              <w:spacing w:after="0"/>
              <w:rPr>
                <w:sz w:val="24"/>
                <w:szCs w:val="24"/>
                <w:color w:val="auto"/>
              </w:rPr>
            </w:pPr>
          </w:p>
        </w:tc>
        <w:tc>
          <w:tcPr>
            <w:tcW w:w="120" w:type="dxa"/>
            <w:vAlign w:val="bottom"/>
            <w:shd w:val="clear" w:color="auto" w:fill="E8E8E8"/>
          </w:tcPr>
          <w:p>
            <w:pPr>
              <w:spacing w:after="0"/>
              <w:rPr>
                <w:sz w:val="24"/>
                <w:szCs w:val="24"/>
                <w:color w:val="auto"/>
              </w:rPr>
            </w:pPr>
          </w:p>
        </w:tc>
        <w:tc>
          <w:tcPr>
            <w:tcW w:w="5840" w:type="dxa"/>
            <w:vAlign w:val="bottom"/>
            <w:gridSpan w:val="4"/>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 Takes action in accordance with Board policy with respect to</w:t>
            </w: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16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780" w:type="dxa"/>
            <w:vAlign w:val="bottom"/>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rPr>
                <w:sz w:val="17"/>
                <w:szCs w:val="17"/>
                <w:color w:val="auto"/>
              </w:rPr>
            </w:pPr>
          </w:p>
        </w:tc>
        <w:tc>
          <w:tcPr>
            <w:tcW w:w="520" w:type="dxa"/>
            <w:vAlign w:val="bottom"/>
            <w:shd w:val="clear" w:color="auto" w:fill="F2F2F2"/>
          </w:tcPr>
          <w:p>
            <w:pPr>
              <w:spacing w:after="0"/>
              <w:rPr>
                <w:sz w:val="17"/>
                <w:szCs w:val="17"/>
                <w:color w:val="auto"/>
              </w:rPr>
            </w:pPr>
          </w:p>
        </w:tc>
        <w:tc>
          <w:tcPr>
            <w:tcW w:w="500" w:type="dxa"/>
            <w:vAlign w:val="bottom"/>
            <w:shd w:val="clear" w:color="auto" w:fill="F2F2F2"/>
          </w:tcPr>
          <w:p>
            <w:pPr>
              <w:spacing w:after="0"/>
              <w:rPr>
                <w:sz w:val="17"/>
                <w:szCs w:val="17"/>
                <w:color w:val="auto"/>
              </w:rPr>
            </w:pPr>
          </w:p>
        </w:tc>
        <w:tc>
          <w:tcPr>
            <w:tcW w:w="640" w:type="dxa"/>
            <w:vAlign w:val="bottom"/>
            <w:shd w:val="clear" w:color="auto" w:fill="F2F2F2"/>
          </w:tcPr>
          <w:p>
            <w:pPr>
              <w:spacing w:after="0"/>
              <w:rPr>
                <w:sz w:val="17"/>
                <w:szCs w:val="17"/>
                <w:color w:val="auto"/>
              </w:rPr>
            </w:pPr>
          </w:p>
        </w:tc>
        <w:tc>
          <w:tcPr>
            <w:tcW w:w="120" w:type="dxa"/>
            <w:vAlign w:val="bottom"/>
            <w:shd w:val="clear" w:color="auto" w:fill="E8E8E8"/>
          </w:tcPr>
          <w:p>
            <w:pPr>
              <w:spacing w:after="0"/>
              <w:rPr>
                <w:sz w:val="17"/>
                <w:szCs w:val="17"/>
                <w:color w:val="auto"/>
              </w:rPr>
            </w:pPr>
          </w:p>
        </w:tc>
        <w:tc>
          <w:tcPr>
            <w:tcW w:w="5840" w:type="dxa"/>
            <w:vAlign w:val="bottom"/>
            <w:gridSpan w:val="4"/>
            <w:shd w:val="clear" w:color="auto" w:fill="E8E8E8"/>
          </w:tcPr>
          <w:p>
            <w:pPr>
              <w:ind w:left="200"/>
              <w:spacing w:after="0" w:line="202" w:lineRule="exact"/>
              <w:rPr>
                <w:sz w:val="20"/>
                <w:szCs w:val="20"/>
                <w:color w:val="auto"/>
              </w:rPr>
            </w:pPr>
            <w:r>
              <w:rPr>
                <w:rFonts w:ascii="Arial" w:cs="Arial" w:eastAsia="Arial" w:hAnsi="Arial"/>
                <w:sz w:val="18"/>
                <w:szCs w:val="18"/>
                <w:color w:val="auto"/>
              </w:rPr>
              <w:t>investment, budget and capital and exploratory expenditure matters</w:t>
            </w: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16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780" w:type="dxa"/>
            <w:vAlign w:val="bottom"/>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rPr>
                <w:sz w:val="17"/>
                <w:szCs w:val="17"/>
                <w:color w:val="auto"/>
              </w:rPr>
            </w:pPr>
          </w:p>
        </w:tc>
        <w:tc>
          <w:tcPr>
            <w:tcW w:w="520" w:type="dxa"/>
            <w:vAlign w:val="bottom"/>
            <w:shd w:val="clear" w:color="auto" w:fill="F2F2F2"/>
          </w:tcPr>
          <w:p>
            <w:pPr>
              <w:spacing w:after="0"/>
              <w:rPr>
                <w:sz w:val="17"/>
                <w:szCs w:val="17"/>
                <w:color w:val="auto"/>
              </w:rPr>
            </w:pPr>
          </w:p>
        </w:tc>
        <w:tc>
          <w:tcPr>
            <w:tcW w:w="500" w:type="dxa"/>
            <w:vAlign w:val="bottom"/>
            <w:shd w:val="clear" w:color="auto" w:fill="F2F2F2"/>
          </w:tcPr>
          <w:p>
            <w:pPr>
              <w:spacing w:after="0"/>
              <w:rPr>
                <w:sz w:val="17"/>
                <w:szCs w:val="17"/>
                <w:color w:val="auto"/>
              </w:rPr>
            </w:pPr>
          </w:p>
        </w:tc>
        <w:tc>
          <w:tcPr>
            <w:tcW w:w="640" w:type="dxa"/>
            <w:vAlign w:val="bottom"/>
            <w:shd w:val="clear" w:color="auto" w:fill="F2F2F2"/>
          </w:tcPr>
          <w:p>
            <w:pPr>
              <w:spacing w:after="0"/>
              <w:rPr>
                <w:sz w:val="17"/>
                <w:szCs w:val="17"/>
                <w:color w:val="auto"/>
              </w:rPr>
            </w:pPr>
          </w:p>
        </w:tc>
        <w:tc>
          <w:tcPr>
            <w:tcW w:w="120" w:type="dxa"/>
            <w:vAlign w:val="bottom"/>
            <w:shd w:val="clear" w:color="auto" w:fill="E8E8E8"/>
          </w:tcPr>
          <w:p>
            <w:pPr>
              <w:spacing w:after="0"/>
              <w:rPr>
                <w:sz w:val="17"/>
                <w:szCs w:val="17"/>
                <w:color w:val="auto"/>
              </w:rPr>
            </w:pPr>
          </w:p>
        </w:tc>
        <w:tc>
          <w:tcPr>
            <w:tcW w:w="5840" w:type="dxa"/>
            <w:vAlign w:val="bottom"/>
            <w:gridSpan w:val="4"/>
            <w:shd w:val="clear" w:color="auto" w:fill="E8E8E8"/>
          </w:tcPr>
          <w:p>
            <w:pPr>
              <w:ind w:left="200"/>
              <w:spacing w:after="0" w:line="202" w:lineRule="exact"/>
              <w:rPr>
                <w:sz w:val="20"/>
                <w:szCs w:val="20"/>
                <w:color w:val="auto"/>
              </w:rPr>
            </w:pPr>
            <w:r>
              <w:rPr>
                <w:rFonts w:ascii="Arial" w:cs="Arial" w:eastAsia="Arial" w:hAnsi="Arial"/>
                <w:sz w:val="18"/>
                <w:szCs w:val="18"/>
                <w:color w:val="auto"/>
              </w:rPr>
              <w:t>arising in the normal course of the Company’s business as the same</w:t>
            </w: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16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780" w:type="dxa"/>
            <w:vAlign w:val="bottom"/>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rPr>
                <w:sz w:val="17"/>
                <w:szCs w:val="17"/>
                <w:color w:val="auto"/>
              </w:rPr>
            </w:pPr>
          </w:p>
        </w:tc>
        <w:tc>
          <w:tcPr>
            <w:tcW w:w="520" w:type="dxa"/>
            <w:vAlign w:val="bottom"/>
            <w:shd w:val="clear" w:color="auto" w:fill="F2F2F2"/>
          </w:tcPr>
          <w:p>
            <w:pPr>
              <w:spacing w:after="0"/>
              <w:rPr>
                <w:sz w:val="17"/>
                <w:szCs w:val="17"/>
                <w:color w:val="auto"/>
              </w:rPr>
            </w:pPr>
          </w:p>
        </w:tc>
        <w:tc>
          <w:tcPr>
            <w:tcW w:w="500" w:type="dxa"/>
            <w:vAlign w:val="bottom"/>
            <w:shd w:val="clear" w:color="auto" w:fill="F2F2F2"/>
          </w:tcPr>
          <w:p>
            <w:pPr>
              <w:spacing w:after="0"/>
              <w:rPr>
                <w:sz w:val="17"/>
                <w:szCs w:val="17"/>
                <w:color w:val="auto"/>
              </w:rPr>
            </w:pPr>
          </w:p>
        </w:tc>
        <w:tc>
          <w:tcPr>
            <w:tcW w:w="640" w:type="dxa"/>
            <w:vAlign w:val="bottom"/>
            <w:shd w:val="clear" w:color="auto" w:fill="F2F2F2"/>
          </w:tcPr>
          <w:p>
            <w:pPr>
              <w:spacing w:after="0"/>
              <w:rPr>
                <w:sz w:val="17"/>
                <w:szCs w:val="17"/>
                <w:color w:val="auto"/>
              </w:rPr>
            </w:pPr>
          </w:p>
        </w:tc>
        <w:tc>
          <w:tcPr>
            <w:tcW w:w="120" w:type="dxa"/>
            <w:vAlign w:val="bottom"/>
            <w:shd w:val="clear" w:color="auto" w:fill="E8E8E8"/>
          </w:tcPr>
          <w:p>
            <w:pPr>
              <w:spacing w:after="0"/>
              <w:rPr>
                <w:sz w:val="17"/>
                <w:szCs w:val="17"/>
                <w:color w:val="auto"/>
              </w:rPr>
            </w:pPr>
          </w:p>
        </w:tc>
        <w:tc>
          <w:tcPr>
            <w:tcW w:w="5840" w:type="dxa"/>
            <w:vAlign w:val="bottom"/>
            <w:gridSpan w:val="4"/>
            <w:shd w:val="clear" w:color="auto" w:fill="E8E8E8"/>
          </w:tcPr>
          <w:p>
            <w:pPr>
              <w:ind w:left="200"/>
              <w:spacing w:after="0" w:line="202" w:lineRule="exact"/>
              <w:rPr>
                <w:sz w:val="20"/>
                <w:szCs w:val="20"/>
                <w:color w:val="auto"/>
              </w:rPr>
            </w:pPr>
            <w:r>
              <w:rPr>
                <w:rFonts w:ascii="Arial" w:cs="Arial" w:eastAsia="Arial" w:hAnsi="Arial"/>
                <w:sz w:val="18"/>
                <w:szCs w:val="18"/>
                <w:color w:val="auto"/>
              </w:rPr>
              <w:t>may from time to time be conducted, subject to such threshold limits</w:t>
            </w:r>
          </w:p>
        </w:tc>
        <w:tc>
          <w:tcPr>
            <w:tcW w:w="0" w:type="dxa"/>
            <w:vAlign w:val="bottom"/>
          </w:tcPr>
          <w:p>
            <w:pPr>
              <w:spacing w:after="0"/>
              <w:rPr>
                <w:sz w:val="1"/>
                <w:szCs w:val="1"/>
                <w:color w:val="auto"/>
              </w:rPr>
            </w:pPr>
          </w:p>
        </w:tc>
      </w:tr>
      <w:tr>
        <w:trPr>
          <w:trHeight w:val="239"/>
        </w:trPr>
        <w:tc>
          <w:tcPr>
            <w:tcW w:w="120" w:type="dxa"/>
            <w:vAlign w:val="bottom"/>
            <w:shd w:val="clear" w:color="auto" w:fill="F2F2F2"/>
          </w:tcPr>
          <w:p>
            <w:pPr>
              <w:spacing w:after="0"/>
              <w:rPr>
                <w:sz w:val="20"/>
                <w:szCs w:val="20"/>
                <w:color w:val="auto"/>
              </w:rPr>
            </w:pPr>
          </w:p>
        </w:tc>
        <w:tc>
          <w:tcPr>
            <w:tcW w:w="220" w:type="dxa"/>
            <w:vAlign w:val="bottom"/>
            <w:shd w:val="clear" w:color="auto" w:fill="F2F2F2"/>
          </w:tcPr>
          <w:p>
            <w:pPr>
              <w:spacing w:after="0"/>
              <w:rPr>
                <w:sz w:val="20"/>
                <w:szCs w:val="20"/>
                <w:color w:val="auto"/>
              </w:rPr>
            </w:pPr>
          </w:p>
        </w:tc>
        <w:tc>
          <w:tcPr>
            <w:tcW w:w="16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780" w:type="dxa"/>
            <w:vAlign w:val="bottom"/>
            <w:shd w:val="clear" w:color="auto" w:fill="F2F2F2"/>
          </w:tcPr>
          <w:p>
            <w:pPr>
              <w:spacing w:after="0"/>
              <w:rPr>
                <w:sz w:val="20"/>
                <w:szCs w:val="20"/>
                <w:color w:val="auto"/>
              </w:rPr>
            </w:pPr>
          </w:p>
        </w:tc>
        <w:tc>
          <w:tcPr>
            <w:tcW w:w="420" w:type="dxa"/>
            <w:vAlign w:val="bottom"/>
            <w:shd w:val="clear" w:color="auto" w:fill="F2F2F2"/>
          </w:tcPr>
          <w:p>
            <w:pPr>
              <w:spacing w:after="0"/>
              <w:rPr>
                <w:sz w:val="20"/>
                <w:szCs w:val="20"/>
                <w:color w:val="auto"/>
              </w:rPr>
            </w:pPr>
          </w:p>
        </w:tc>
        <w:tc>
          <w:tcPr>
            <w:tcW w:w="760" w:type="dxa"/>
            <w:vAlign w:val="bottom"/>
            <w:shd w:val="clear" w:color="auto" w:fill="F2F2F2"/>
          </w:tcPr>
          <w:p>
            <w:pPr>
              <w:spacing w:after="0"/>
              <w:rPr>
                <w:sz w:val="20"/>
                <w:szCs w:val="20"/>
                <w:color w:val="auto"/>
              </w:rPr>
            </w:pPr>
          </w:p>
        </w:tc>
        <w:tc>
          <w:tcPr>
            <w:tcW w:w="820" w:type="dxa"/>
            <w:vAlign w:val="bottom"/>
            <w:shd w:val="clear" w:color="auto" w:fill="F2F2F2"/>
          </w:tcPr>
          <w:p>
            <w:pPr>
              <w:spacing w:after="0"/>
              <w:rPr>
                <w:sz w:val="20"/>
                <w:szCs w:val="20"/>
                <w:color w:val="auto"/>
              </w:rPr>
            </w:pPr>
          </w:p>
        </w:tc>
        <w:tc>
          <w:tcPr>
            <w:tcW w:w="520" w:type="dxa"/>
            <w:vAlign w:val="bottom"/>
            <w:shd w:val="clear" w:color="auto" w:fill="F2F2F2"/>
          </w:tcPr>
          <w:p>
            <w:pPr>
              <w:spacing w:after="0"/>
              <w:rPr>
                <w:sz w:val="20"/>
                <w:szCs w:val="20"/>
                <w:color w:val="auto"/>
              </w:rPr>
            </w:pPr>
          </w:p>
        </w:tc>
        <w:tc>
          <w:tcPr>
            <w:tcW w:w="500" w:type="dxa"/>
            <w:vAlign w:val="bottom"/>
            <w:shd w:val="clear" w:color="auto" w:fill="F2F2F2"/>
          </w:tcPr>
          <w:p>
            <w:pPr>
              <w:spacing w:after="0"/>
              <w:rPr>
                <w:sz w:val="20"/>
                <w:szCs w:val="20"/>
                <w:color w:val="auto"/>
              </w:rPr>
            </w:pPr>
          </w:p>
        </w:tc>
        <w:tc>
          <w:tcPr>
            <w:tcW w:w="640" w:type="dxa"/>
            <w:vAlign w:val="bottom"/>
            <w:shd w:val="clear" w:color="auto" w:fill="F2F2F2"/>
          </w:tcPr>
          <w:p>
            <w:pPr>
              <w:spacing w:after="0"/>
              <w:rPr>
                <w:sz w:val="20"/>
                <w:szCs w:val="20"/>
                <w:color w:val="auto"/>
              </w:rPr>
            </w:pPr>
          </w:p>
        </w:tc>
        <w:tc>
          <w:tcPr>
            <w:tcW w:w="120" w:type="dxa"/>
            <w:vAlign w:val="bottom"/>
            <w:shd w:val="clear" w:color="auto" w:fill="E8E8E8"/>
          </w:tcPr>
          <w:p>
            <w:pPr>
              <w:spacing w:after="0"/>
              <w:rPr>
                <w:sz w:val="20"/>
                <w:szCs w:val="20"/>
                <w:color w:val="auto"/>
              </w:rPr>
            </w:pPr>
          </w:p>
        </w:tc>
        <w:tc>
          <w:tcPr>
            <w:tcW w:w="4360" w:type="dxa"/>
            <w:vAlign w:val="bottom"/>
            <w:gridSpan w:val="3"/>
            <w:shd w:val="clear" w:color="auto" w:fill="E8E8E8"/>
          </w:tcPr>
          <w:p>
            <w:pPr>
              <w:ind w:left="200"/>
              <w:spacing w:after="0"/>
              <w:rPr>
                <w:sz w:val="20"/>
                <w:szCs w:val="20"/>
                <w:color w:val="auto"/>
              </w:rPr>
            </w:pPr>
            <w:r>
              <w:rPr>
                <w:rFonts w:ascii="Arial" w:cs="Arial" w:eastAsia="Arial" w:hAnsi="Arial"/>
                <w:sz w:val="18"/>
                <w:szCs w:val="18"/>
                <w:color w:val="auto"/>
              </w:rPr>
              <w:t>as are set from time to time by the Board</w:t>
            </w:r>
          </w:p>
        </w:tc>
        <w:tc>
          <w:tcPr>
            <w:tcW w:w="1480" w:type="dxa"/>
            <w:vAlign w:val="bottom"/>
            <w:shd w:val="clear" w:color="auto" w:fill="E8E8E8"/>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20" w:type="dxa"/>
            <w:vAlign w:val="bottom"/>
            <w:shd w:val="clear" w:color="auto" w:fill="F2F2F2"/>
          </w:tcPr>
          <w:p>
            <w:pPr>
              <w:spacing w:after="0"/>
              <w:rPr>
                <w:sz w:val="24"/>
                <w:szCs w:val="24"/>
                <w:color w:val="auto"/>
              </w:rPr>
            </w:pPr>
          </w:p>
        </w:tc>
        <w:tc>
          <w:tcPr>
            <w:tcW w:w="220" w:type="dxa"/>
            <w:vAlign w:val="bottom"/>
            <w:shd w:val="clear" w:color="auto" w:fill="F2F2F2"/>
          </w:tcPr>
          <w:p>
            <w:pPr>
              <w:spacing w:after="0"/>
              <w:rPr>
                <w:sz w:val="24"/>
                <w:szCs w:val="24"/>
                <w:color w:val="auto"/>
              </w:rPr>
            </w:pPr>
          </w:p>
        </w:tc>
        <w:tc>
          <w:tcPr>
            <w:tcW w:w="16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780" w:type="dxa"/>
            <w:vAlign w:val="bottom"/>
            <w:shd w:val="clear" w:color="auto" w:fill="F2F2F2"/>
          </w:tcPr>
          <w:p>
            <w:pPr>
              <w:spacing w:after="0"/>
              <w:rPr>
                <w:sz w:val="24"/>
                <w:szCs w:val="24"/>
                <w:color w:val="auto"/>
              </w:rPr>
            </w:pPr>
          </w:p>
        </w:tc>
        <w:tc>
          <w:tcPr>
            <w:tcW w:w="420" w:type="dxa"/>
            <w:vAlign w:val="bottom"/>
            <w:shd w:val="clear" w:color="auto" w:fill="F2F2F2"/>
          </w:tcPr>
          <w:p>
            <w:pPr>
              <w:spacing w:after="0"/>
              <w:rPr>
                <w:sz w:val="24"/>
                <w:szCs w:val="24"/>
                <w:color w:val="auto"/>
              </w:rPr>
            </w:pPr>
          </w:p>
        </w:tc>
        <w:tc>
          <w:tcPr>
            <w:tcW w:w="760" w:type="dxa"/>
            <w:vAlign w:val="bottom"/>
            <w:shd w:val="clear" w:color="auto" w:fill="F2F2F2"/>
          </w:tcPr>
          <w:p>
            <w:pPr>
              <w:spacing w:after="0"/>
              <w:rPr>
                <w:sz w:val="24"/>
                <w:szCs w:val="24"/>
                <w:color w:val="auto"/>
              </w:rPr>
            </w:pPr>
          </w:p>
        </w:tc>
        <w:tc>
          <w:tcPr>
            <w:tcW w:w="820" w:type="dxa"/>
            <w:vAlign w:val="bottom"/>
            <w:shd w:val="clear" w:color="auto" w:fill="F2F2F2"/>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500" w:type="dxa"/>
            <w:vAlign w:val="bottom"/>
            <w:shd w:val="clear" w:color="auto" w:fill="F2F2F2"/>
          </w:tcPr>
          <w:p>
            <w:pPr>
              <w:spacing w:after="0"/>
              <w:rPr>
                <w:sz w:val="24"/>
                <w:szCs w:val="24"/>
                <w:color w:val="auto"/>
              </w:rPr>
            </w:pPr>
          </w:p>
        </w:tc>
        <w:tc>
          <w:tcPr>
            <w:tcW w:w="640" w:type="dxa"/>
            <w:vAlign w:val="bottom"/>
            <w:shd w:val="clear" w:color="auto" w:fill="F2F2F2"/>
          </w:tcPr>
          <w:p>
            <w:pPr>
              <w:spacing w:after="0"/>
              <w:rPr>
                <w:sz w:val="24"/>
                <w:szCs w:val="24"/>
                <w:color w:val="auto"/>
              </w:rPr>
            </w:pPr>
          </w:p>
        </w:tc>
        <w:tc>
          <w:tcPr>
            <w:tcW w:w="120" w:type="dxa"/>
            <w:vAlign w:val="bottom"/>
            <w:shd w:val="clear" w:color="auto" w:fill="E8E8E8"/>
          </w:tcPr>
          <w:p>
            <w:pPr>
              <w:spacing w:after="0"/>
              <w:rPr>
                <w:sz w:val="24"/>
                <w:szCs w:val="24"/>
                <w:color w:val="auto"/>
              </w:rPr>
            </w:pPr>
          </w:p>
        </w:tc>
        <w:tc>
          <w:tcPr>
            <w:tcW w:w="5840" w:type="dxa"/>
            <w:vAlign w:val="bottom"/>
            <w:gridSpan w:val="4"/>
            <w:shd w:val="clear" w:color="auto" w:fill="E8E8E8"/>
          </w:tcPr>
          <w:p>
            <w:pPr>
              <w:spacing w:after="0"/>
              <w:rPr>
                <w:sz w:val="20"/>
                <w:szCs w:val="20"/>
                <w:color w:val="auto"/>
              </w:rPr>
            </w:pPr>
            <w:r>
              <w:rPr>
                <w:rFonts w:ascii="Times New Roman" w:cs="Times New Roman" w:eastAsia="Times New Roman" w:hAnsi="Times New Roman"/>
                <w:sz w:val="14"/>
                <w:szCs w:val="14"/>
                <w:color w:val="376DB5"/>
              </w:rPr>
              <w:t>●</w:t>
            </w:r>
            <w:r>
              <w:rPr>
                <w:rFonts w:ascii="Arial" w:cs="Arial" w:eastAsia="Arial" w:hAnsi="Arial"/>
                <w:sz w:val="17"/>
                <w:szCs w:val="17"/>
                <w:color w:val="000000"/>
              </w:rPr>
              <w:t xml:space="preserve">   Takes action pertaining to selling, leasing, pledging, mortgaging or</w:t>
            </w: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16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780" w:type="dxa"/>
            <w:vAlign w:val="bottom"/>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rPr>
                <w:sz w:val="17"/>
                <w:szCs w:val="17"/>
                <w:color w:val="auto"/>
              </w:rPr>
            </w:pPr>
          </w:p>
        </w:tc>
        <w:tc>
          <w:tcPr>
            <w:tcW w:w="520" w:type="dxa"/>
            <w:vAlign w:val="bottom"/>
            <w:shd w:val="clear" w:color="auto" w:fill="F2F2F2"/>
          </w:tcPr>
          <w:p>
            <w:pPr>
              <w:spacing w:after="0"/>
              <w:rPr>
                <w:sz w:val="17"/>
                <w:szCs w:val="17"/>
                <w:color w:val="auto"/>
              </w:rPr>
            </w:pPr>
          </w:p>
        </w:tc>
        <w:tc>
          <w:tcPr>
            <w:tcW w:w="500" w:type="dxa"/>
            <w:vAlign w:val="bottom"/>
            <w:shd w:val="clear" w:color="auto" w:fill="F2F2F2"/>
          </w:tcPr>
          <w:p>
            <w:pPr>
              <w:spacing w:after="0"/>
              <w:rPr>
                <w:sz w:val="17"/>
                <w:szCs w:val="17"/>
                <w:color w:val="auto"/>
              </w:rPr>
            </w:pPr>
          </w:p>
        </w:tc>
        <w:tc>
          <w:tcPr>
            <w:tcW w:w="640" w:type="dxa"/>
            <w:vAlign w:val="bottom"/>
            <w:shd w:val="clear" w:color="auto" w:fill="F2F2F2"/>
          </w:tcPr>
          <w:p>
            <w:pPr>
              <w:spacing w:after="0"/>
              <w:rPr>
                <w:sz w:val="17"/>
                <w:szCs w:val="17"/>
                <w:color w:val="auto"/>
              </w:rPr>
            </w:pPr>
          </w:p>
        </w:tc>
        <w:tc>
          <w:tcPr>
            <w:tcW w:w="120" w:type="dxa"/>
            <w:vAlign w:val="bottom"/>
            <w:shd w:val="clear" w:color="auto" w:fill="E8E8E8"/>
          </w:tcPr>
          <w:p>
            <w:pPr>
              <w:spacing w:after="0"/>
              <w:rPr>
                <w:sz w:val="17"/>
                <w:szCs w:val="17"/>
                <w:color w:val="auto"/>
              </w:rPr>
            </w:pPr>
          </w:p>
        </w:tc>
        <w:tc>
          <w:tcPr>
            <w:tcW w:w="5840" w:type="dxa"/>
            <w:vAlign w:val="bottom"/>
            <w:gridSpan w:val="4"/>
            <w:shd w:val="clear" w:color="auto" w:fill="E8E8E8"/>
          </w:tcPr>
          <w:p>
            <w:pPr>
              <w:ind w:left="200"/>
              <w:spacing w:after="0" w:line="202" w:lineRule="exact"/>
              <w:rPr>
                <w:sz w:val="20"/>
                <w:szCs w:val="20"/>
                <w:color w:val="auto"/>
              </w:rPr>
            </w:pPr>
            <w:r>
              <w:rPr>
                <w:rFonts w:ascii="Arial" w:cs="Arial" w:eastAsia="Arial" w:hAnsi="Arial"/>
                <w:sz w:val="18"/>
                <w:szCs w:val="18"/>
                <w:color w:val="auto"/>
              </w:rPr>
              <w:t>otherwise disposing of property or assets of the Company, subject to</w:t>
            </w:r>
          </w:p>
        </w:tc>
        <w:tc>
          <w:tcPr>
            <w:tcW w:w="0" w:type="dxa"/>
            <w:vAlign w:val="bottom"/>
          </w:tcPr>
          <w:p>
            <w:pPr>
              <w:spacing w:after="0"/>
              <w:rPr>
                <w:sz w:val="1"/>
                <w:szCs w:val="1"/>
                <w:color w:val="auto"/>
              </w:rPr>
            </w:pPr>
          </w:p>
        </w:tc>
      </w:tr>
      <w:tr>
        <w:trPr>
          <w:trHeight w:val="239"/>
        </w:trPr>
        <w:tc>
          <w:tcPr>
            <w:tcW w:w="120" w:type="dxa"/>
            <w:vAlign w:val="bottom"/>
            <w:shd w:val="clear" w:color="auto" w:fill="F2F2F2"/>
          </w:tcPr>
          <w:p>
            <w:pPr>
              <w:spacing w:after="0"/>
              <w:rPr>
                <w:sz w:val="20"/>
                <w:szCs w:val="20"/>
                <w:color w:val="auto"/>
              </w:rPr>
            </w:pPr>
          </w:p>
        </w:tc>
        <w:tc>
          <w:tcPr>
            <w:tcW w:w="220" w:type="dxa"/>
            <w:vAlign w:val="bottom"/>
            <w:shd w:val="clear" w:color="auto" w:fill="F2F2F2"/>
          </w:tcPr>
          <w:p>
            <w:pPr>
              <w:spacing w:after="0"/>
              <w:rPr>
                <w:sz w:val="20"/>
                <w:szCs w:val="20"/>
                <w:color w:val="auto"/>
              </w:rPr>
            </w:pPr>
          </w:p>
        </w:tc>
        <w:tc>
          <w:tcPr>
            <w:tcW w:w="16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780" w:type="dxa"/>
            <w:vAlign w:val="bottom"/>
            <w:shd w:val="clear" w:color="auto" w:fill="F2F2F2"/>
          </w:tcPr>
          <w:p>
            <w:pPr>
              <w:spacing w:after="0"/>
              <w:rPr>
                <w:sz w:val="20"/>
                <w:szCs w:val="20"/>
                <w:color w:val="auto"/>
              </w:rPr>
            </w:pPr>
          </w:p>
        </w:tc>
        <w:tc>
          <w:tcPr>
            <w:tcW w:w="420" w:type="dxa"/>
            <w:vAlign w:val="bottom"/>
            <w:shd w:val="clear" w:color="auto" w:fill="F2F2F2"/>
          </w:tcPr>
          <w:p>
            <w:pPr>
              <w:spacing w:after="0"/>
              <w:rPr>
                <w:sz w:val="20"/>
                <w:szCs w:val="20"/>
                <w:color w:val="auto"/>
              </w:rPr>
            </w:pPr>
          </w:p>
        </w:tc>
        <w:tc>
          <w:tcPr>
            <w:tcW w:w="760" w:type="dxa"/>
            <w:vAlign w:val="bottom"/>
            <w:shd w:val="clear" w:color="auto" w:fill="F2F2F2"/>
          </w:tcPr>
          <w:p>
            <w:pPr>
              <w:spacing w:after="0"/>
              <w:rPr>
                <w:sz w:val="20"/>
                <w:szCs w:val="20"/>
                <w:color w:val="auto"/>
              </w:rPr>
            </w:pPr>
          </w:p>
        </w:tc>
        <w:tc>
          <w:tcPr>
            <w:tcW w:w="820" w:type="dxa"/>
            <w:vAlign w:val="bottom"/>
            <w:shd w:val="clear" w:color="auto" w:fill="F2F2F2"/>
          </w:tcPr>
          <w:p>
            <w:pPr>
              <w:spacing w:after="0"/>
              <w:rPr>
                <w:sz w:val="20"/>
                <w:szCs w:val="20"/>
                <w:color w:val="auto"/>
              </w:rPr>
            </w:pPr>
          </w:p>
        </w:tc>
        <w:tc>
          <w:tcPr>
            <w:tcW w:w="520" w:type="dxa"/>
            <w:vAlign w:val="bottom"/>
            <w:shd w:val="clear" w:color="auto" w:fill="F2F2F2"/>
          </w:tcPr>
          <w:p>
            <w:pPr>
              <w:spacing w:after="0"/>
              <w:rPr>
                <w:sz w:val="20"/>
                <w:szCs w:val="20"/>
                <w:color w:val="auto"/>
              </w:rPr>
            </w:pPr>
          </w:p>
        </w:tc>
        <w:tc>
          <w:tcPr>
            <w:tcW w:w="500" w:type="dxa"/>
            <w:vAlign w:val="bottom"/>
            <w:shd w:val="clear" w:color="auto" w:fill="F2F2F2"/>
          </w:tcPr>
          <w:p>
            <w:pPr>
              <w:spacing w:after="0"/>
              <w:rPr>
                <w:sz w:val="20"/>
                <w:szCs w:val="20"/>
                <w:color w:val="auto"/>
              </w:rPr>
            </w:pPr>
          </w:p>
        </w:tc>
        <w:tc>
          <w:tcPr>
            <w:tcW w:w="640" w:type="dxa"/>
            <w:vAlign w:val="bottom"/>
            <w:shd w:val="clear" w:color="auto" w:fill="F2F2F2"/>
          </w:tcPr>
          <w:p>
            <w:pPr>
              <w:spacing w:after="0"/>
              <w:rPr>
                <w:sz w:val="20"/>
                <w:szCs w:val="20"/>
                <w:color w:val="auto"/>
              </w:rPr>
            </w:pPr>
          </w:p>
        </w:tc>
        <w:tc>
          <w:tcPr>
            <w:tcW w:w="120" w:type="dxa"/>
            <w:vAlign w:val="bottom"/>
            <w:shd w:val="clear" w:color="auto" w:fill="E8E8E8"/>
          </w:tcPr>
          <w:p>
            <w:pPr>
              <w:spacing w:after="0"/>
              <w:rPr>
                <w:sz w:val="20"/>
                <w:szCs w:val="20"/>
                <w:color w:val="auto"/>
              </w:rPr>
            </w:pPr>
          </w:p>
        </w:tc>
        <w:tc>
          <w:tcPr>
            <w:tcW w:w="5840" w:type="dxa"/>
            <w:vAlign w:val="bottom"/>
            <w:gridSpan w:val="4"/>
            <w:shd w:val="clear" w:color="auto" w:fill="E8E8E8"/>
          </w:tcPr>
          <w:p>
            <w:pPr>
              <w:ind w:left="200"/>
              <w:spacing w:after="0"/>
              <w:rPr>
                <w:sz w:val="20"/>
                <w:szCs w:val="20"/>
                <w:color w:val="auto"/>
              </w:rPr>
            </w:pPr>
            <w:r>
              <w:rPr>
                <w:rFonts w:ascii="Arial" w:cs="Arial" w:eastAsia="Arial" w:hAnsi="Arial"/>
                <w:sz w:val="18"/>
                <w:szCs w:val="18"/>
                <w:color w:val="auto"/>
              </w:rPr>
              <w:t>such threshold limits as are set forth from time to time by the Board</w:t>
            </w:r>
          </w:p>
        </w:tc>
        <w:tc>
          <w:tcPr>
            <w:tcW w:w="0" w:type="dxa"/>
            <w:vAlign w:val="bottom"/>
          </w:tcPr>
          <w:p>
            <w:pPr>
              <w:spacing w:after="0"/>
              <w:rPr>
                <w:sz w:val="1"/>
                <w:szCs w:val="1"/>
                <w:color w:val="auto"/>
              </w:rPr>
            </w:pPr>
          </w:p>
        </w:tc>
      </w:tr>
      <w:tr>
        <w:trPr>
          <w:trHeight w:val="165"/>
        </w:trPr>
        <w:tc>
          <w:tcPr>
            <w:tcW w:w="120" w:type="dxa"/>
            <w:vAlign w:val="bottom"/>
            <w:tcBorders>
              <w:bottom w:val="single" w:sz="8" w:color="376DB5"/>
            </w:tcBorders>
            <w:shd w:val="clear" w:color="auto" w:fill="F2F2F2"/>
          </w:tcPr>
          <w:p>
            <w:pPr>
              <w:spacing w:after="0"/>
              <w:rPr>
                <w:sz w:val="14"/>
                <w:szCs w:val="14"/>
                <w:color w:val="auto"/>
              </w:rPr>
            </w:pPr>
          </w:p>
        </w:tc>
        <w:tc>
          <w:tcPr>
            <w:tcW w:w="220" w:type="dxa"/>
            <w:vAlign w:val="bottom"/>
            <w:tcBorders>
              <w:bottom w:val="single" w:sz="8" w:color="376DB5"/>
            </w:tcBorders>
            <w:shd w:val="clear" w:color="auto" w:fill="F2F2F2"/>
          </w:tcPr>
          <w:p>
            <w:pPr>
              <w:spacing w:after="0"/>
              <w:rPr>
                <w:sz w:val="14"/>
                <w:szCs w:val="14"/>
                <w:color w:val="auto"/>
              </w:rPr>
            </w:pPr>
          </w:p>
        </w:tc>
        <w:tc>
          <w:tcPr>
            <w:tcW w:w="160" w:type="dxa"/>
            <w:vAlign w:val="bottom"/>
            <w:tcBorders>
              <w:bottom w:val="single" w:sz="8" w:color="376DB5"/>
            </w:tcBorders>
            <w:shd w:val="clear" w:color="auto" w:fill="F2F2F2"/>
          </w:tcPr>
          <w:p>
            <w:pPr>
              <w:spacing w:after="0"/>
              <w:rPr>
                <w:sz w:val="14"/>
                <w:szCs w:val="14"/>
                <w:color w:val="auto"/>
              </w:rPr>
            </w:pPr>
          </w:p>
        </w:tc>
        <w:tc>
          <w:tcPr>
            <w:tcW w:w="120" w:type="dxa"/>
            <w:vAlign w:val="bottom"/>
            <w:tcBorders>
              <w:bottom w:val="single" w:sz="8" w:color="376DB5"/>
            </w:tcBorders>
            <w:shd w:val="clear" w:color="auto" w:fill="F2F2F2"/>
          </w:tcPr>
          <w:p>
            <w:pPr>
              <w:spacing w:after="0"/>
              <w:rPr>
                <w:sz w:val="14"/>
                <w:szCs w:val="14"/>
                <w:color w:val="auto"/>
              </w:rPr>
            </w:pPr>
          </w:p>
        </w:tc>
        <w:tc>
          <w:tcPr>
            <w:tcW w:w="780" w:type="dxa"/>
            <w:vAlign w:val="bottom"/>
            <w:tcBorders>
              <w:bottom w:val="single" w:sz="8" w:color="376DB5"/>
            </w:tcBorders>
            <w:shd w:val="clear" w:color="auto" w:fill="F2F2F2"/>
          </w:tcPr>
          <w:p>
            <w:pPr>
              <w:spacing w:after="0"/>
              <w:rPr>
                <w:sz w:val="14"/>
                <w:szCs w:val="14"/>
                <w:color w:val="auto"/>
              </w:rPr>
            </w:pPr>
          </w:p>
        </w:tc>
        <w:tc>
          <w:tcPr>
            <w:tcW w:w="420" w:type="dxa"/>
            <w:vAlign w:val="bottom"/>
            <w:tcBorders>
              <w:bottom w:val="single" w:sz="8" w:color="376DB5"/>
            </w:tcBorders>
            <w:shd w:val="clear" w:color="auto" w:fill="F2F2F2"/>
          </w:tcPr>
          <w:p>
            <w:pPr>
              <w:spacing w:after="0"/>
              <w:rPr>
                <w:sz w:val="14"/>
                <w:szCs w:val="14"/>
                <w:color w:val="auto"/>
              </w:rPr>
            </w:pPr>
          </w:p>
        </w:tc>
        <w:tc>
          <w:tcPr>
            <w:tcW w:w="760" w:type="dxa"/>
            <w:vAlign w:val="bottom"/>
            <w:tcBorders>
              <w:bottom w:val="single" w:sz="8" w:color="376DB5"/>
            </w:tcBorders>
            <w:shd w:val="clear" w:color="auto" w:fill="F2F2F2"/>
          </w:tcPr>
          <w:p>
            <w:pPr>
              <w:spacing w:after="0"/>
              <w:rPr>
                <w:sz w:val="14"/>
                <w:szCs w:val="14"/>
                <w:color w:val="auto"/>
              </w:rPr>
            </w:pPr>
          </w:p>
        </w:tc>
        <w:tc>
          <w:tcPr>
            <w:tcW w:w="820" w:type="dxa"/>
            <w:vAlign w:val="bottom"/>
            <w:tcBorders>
              <w:bottom w:val="single" w:sz="8" w:color="376DB5"/>
            </w:tcBorders>
            <w:shd w:val="clear" w:color="auto" w:fill="F2F2F2"/>
          </w:tcPr>
          <w:p>
            <w:pPr>
              <w:spacing w:after="0"/>
              <w:rPr>
                <w:sz w:val="14"/>
                <w:szCs w:val="14"/>
                <w:color w:val="auto"/>
              </w:rPr>
            </w:pPr>
          </w:p>
        </w:tc>
        <w:tc>
          <w:tcPr>
            <w:tcW w:w="520" w:type="dxa"/>
            <w:vAlign w:val="bottom"/>
            <w:tcBorders>
              <w:bottom w:val="single" w:sz="8" w:color="376DB5"/>
            </w:tcBorders>
            <w:shd w:val="clear" w:color="auto" w:fill="F2F2F2"/>
          </w:tcPr>
          <w:p>
            <w:pPr>
              <w:spacing w:after="0"/>
              <w:rPr>
                <w:sz w:val="14"/>
                <w:szCs w:val="14"/>
                <w:color w:val="auto"/>
              </w:rPr>
            </w:pPr>
          </w:p>
        </w:tc>
        <w:tc>
          <w:tcPr>
            <w:tcW w:w="500" w:type="dxa"/>
            <w:vAlign w:val="bottom"/>
            <w:tcBorders>
              <w:bottom w:val="single" w:sz="8" w:color="376DB5"/>
            </w:tcBorders>
            <w:shd w:val="clear" w:color="auto" w:fill="F2F2F2"/>
          </w:tcPr>
          <w:p>
            <w:pPr>
              <w:spacing w:after="0"/>
              <w:rPr>
                <w:sz w:val="14"/>
                <w:szCs w:val="14"/>
                <w:color w:val="auto"/>
              </w:rPr>
            </w:pPr>
          </w:p>
        </w:tc>
        <w:tc>
          <w:tcPr>
            <w:tcW w:w="640" w:type="dxa"/>
            <w:vAlign w:val="bottom"/>
            <w:tcBorders>
              <w:bottom w:val="single" w:sz="8" w:color="376DB5"/>
            </w:tcBorders>
            <w:shd w:val="clear" w:color="auto" w:fill="F2F2F2"/>
          </w:tcPr>
          <w:p>
            <w:pPr>
              <w:spacing w:after="0"/>
              <w:rPr>
                <w:sz w:val="14"/>
                <w:szCs w:val="14"/>
                <w:color w:val="auto"/>
              </w:rPr>
            </w:pPr>
          </w:p>
        </w:tc>
        <w:tc>
          <w:tcPr>
            <w:tcW w:w="120" w:type="dxa"/>
            <w:vAlign w:val="bottom"/>
            <w:tcBorders>
              <w:bottom w:val="single" w:sz="8" w:color="376DB5"/>
            </w:tcBorders>
            <w:shd w:val="clear" w:color="auto" w:fill="E8E8E8"/>
          </w:tcPr>
          <w:p>
            <w:pPr>
              <w:spacing w:after="0"/>
              <w:rPr>
                <w:sz w:val="14"/>
                <w:szCs w:val="14"/>
                <w:color w:val="auto"/>
              </w:rPr>
            </w:pPr>
          </w:p>
        </w:tc>
        <w:tc>
          <w:tcPr>
            <w:tcW w:w="5840" w:type="dxa"/>
            <w:vAlign w:val="bottom"/>
            <w:tcBorders>
              <w:bottom w:val="single" w:sz="8" w:color="376DB5"/>
            </w:tcBorders>
            <w:gridSpan w:val="4"/>
            <w:shd w:val="clear" w:color="auto" w:fill="E8E8E8"/>
          </w:tcPr>
          <w:p>
            <w:pPr>
              <w:spacing w:after="0"/>
              <w:rPr>
                <w:sz w:val="14"/>
                <w:szCs w:val="14"/>
                <w:color w:val="auto"/>
              </w:rPr>
            </w:pPr>
          </w:p>
        </w:tc>
        <w:tc>
          <w:tcPr>
            <w:tcW w:w="0" w:type="dxa"/>
            <w:vAlign w:val="bottom"/>
          </w:tcPr>
          <w:p>
            <w:pPr>
              <w:spacing w:after="0"/>
              <w:rPr>
                <w:sz w:val="1"/>
                <w:szCs w:val="1"/>
                <w:color w:val="auto"/>
              </w:rPr>
            </w:pPr>
          </w:p>
        </w:tc>
      </w:tr>
      <w:tr>
        <w:trPr>
          <w:trHeight w:val="409"/>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40" w:type="dxa"/>
            <w:vAlign w:val="bottom"/>
            <w:gridSpan w:val="4"/>
          </w:tcPr>
          <w:p>
            <w:pPr>
              <w:ind w:left="1580"/>
              <w:spacing w:after="0"/>
              <w:rPr>
                <w:sz w:val="20"/>
                <w:szCs w:val="20"/>
                <w:color w:val="auto"/>
              </w:rPr>
            </w:pPr>
            <w:r>
              <w:rPr>
                <w:rFonts w:ascii="Arial" w:cs="Arial" w:eastAsia="Arial" w:hAnsi="Arial"/>
                <w:sz w:val="18"/>
                <w:szCs w:val="18"/>
                <w:color w:val="376DB5"/>
                <w:w w:val="97"/>
              </w:rPr>
              <w:t xml:space="preserve">Fair Isaac Corporation </w:t>
            </w:r>
            <w:r>
              <w:rPr>
                <w:rFonts w:ascii="Arial" w:cs="Arial" w:eastAsia="Arial" w:hAnsi="Arial"/>
                <w:sz w:val="18"/>
                <w:szCs w:val="18"/>
                <w:color w:val="000000"/>
                <w:w w:val="97"/>
              </w:rPr>
              <w:t>l 2026 Proxy Statement      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-6697345</wp:posOffset>
            </wp:positionV>
            <wp:extent cx="2974340" cy="64211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74340" cy="642112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0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Proxy</w:t>
            </w:r>
          </w:p>
        </w:tc>
        <w:tc>
          <w:tcPr>
            <w:tcW w:w="11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22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Corporate</w:t>
            </w:r>
          </w:p>
        </w:tc>
        <w:tc>
          <w:tcPr>
            <w:tcW w:w="1520" w:type="dxa"/>
            <w:vAlign w:val="bottom"/>
            <w:shd w:val="clear" w:color="auto" w:fill="F2F2F2"/>
          </w:tcPr>
          <w:p>
            <w:pPr>
              <w:ind w:left="18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00" w:type="dxa"/>
            <w:vAlign w:val="bottom"/>
            <w:shd w:val="clear" w:color="auto" w:fill="F2F2F2"/>
          </w:tcPr>
          <w:p>
            <w:pPr>
              <w:ind w:left="620"/>
              <w:spacing w:after="0" w:line="202" w:lineRule="exact"/>
              <w:rPr>
                <w:sz w:val="20"/>
                <w:szCs w:val="20"/>
                <w:color w:val="auto"/>
              </w:rPr>
            </w:pPr>
            <w:r>
              <w:rPr>
                <w:rFonts w:ascii="Arial" w:cs="Arial" w:eastAsia="Arial" w:hAnsi="Arial"/>
                <w:sz w:val="18"/>
                <w:szCs w:val="18"/>
                <w:color w:val="auto"/>
                <w:w w:val="98"/>
              </w:rPr>
              <w:t>Summary</w:t>
            </w:r>
          </w:p>
        </w:tc>
        <w:tc>
          <w:tcPr>
            <w:tcW w:w="118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22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Governance</w:t>
            </w:r>
          </w:p>
        </w:tc>
        <w:tc>
          <w:tcPr>
            <w:tcW w:w="152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00" w:type="dxa"/>
            <w:vAlign w:val="bottom"/>
            <w:shd w:val="clear" w:color="auto" w:fill="F2F2F2"/>
          </w:tcPr>
          <w:p>
            <w:pPr>
              <w:spacing w:after="0"/>
              <w:rPr>
                <w:sz w:val="16"/>
                <w:szCs w:val="16"/>
                <w:color w:val="auto"/>
              </w:rPr>
            </w:pPr>
          </w:p>
        </w:tc>
        <w:tc>
          <w:tcPr>
            <w:tcW w:w="1180" w:type="dxa"/>
            <w:vAlign w:val="bottom"/>
            <w:shd w:val="clear" w:color="auto" w:fill="F2F2F2"/>
          </w:tcPr>
          <w:p>
            <w:pPr>
              <w:spacing w:after="0"/>
              <w:rPr>
                <w:sz w:val="16"/>
                <w:szCs w:val="16"/>
                <w:color w:val="auto"/>
              </w:rPr>
            </w:pPr>
          </w:p>
        </w:tc>
        <w:tc>
          <w:tcPr>
            <w:tcW w:w="122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520" w:type="dxa"/>
            <w:vAlign w:val="bottom"/>
            <w:shd w:val="clear" w:color="auto" w:fill="F2F2F2"/>
          </w:tcPr>
          <w:p>
            <w:pPr>
              <w:spacing w:after="0"/>
              <w:rPr>
                <w:sz w:val="16"/>
                <w:szCs w:val="16"/>
                <w:color w:val="auto"/>
              </w:rPr>
            </w:pP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00" w:type="dxa"/>
            <w:vAlign w:val="bottom"/>
            <w:tcBorders>
              <w:top w:val="single" w:sz="8" w:color="F2F2F2"/>
            </w:tcBorders>
            <w:shd w:val="clear" w:color="auto" w:fill="F2F2F2"/>
          </w:tcPr>
          <w:p>
            <w:pPr>
              <w:spacing w:after="0"/>
              <w:rPr>
                <w:sz w:val="2"/>
                <w:szCs w:val="2"/>
                <w:color w:val="auto"/>
              </w:rPr>
            </w:pPr>
          </w:p>
        </w:tc>
        <w:tc>
          <w:tcPr>
            <w:tcW w:w="118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400" w:type="dxa"/>
            <w:vAlign w:val="bottom"/>
            <w:tcBorders>
              <w:top w:val="single" w:sz="8" w:color="F2F2F2"/>
            </w:tcBorders>
            <w:shd w:val="clear" w:color="auto" w:fill="F2F2F2"/>
          </w:tcPr>
          <w:p>
            <w:pPr>
              <w:spacing w:after="0"/>
              <w:rPr>
                <w:sz w:val="2"/>
                <w:szCs w:val="2"/>
                <w:color w:val="auto"/>
              </w:rPr>
            </w:pPr>
          </w:p>
        </w:tc>
        <w:tc>
          <w:tcPr>
            <w:tcW w:w="15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Stockholder-Recommended Director Candidates</w:t>
      </w:r>
    </w:p>
    <w:p>
      <w:pPr>
        <w:spacing w:after="0" w:line="150"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Our Governance, Nominating and Executive Committee considers director candidates recommended by stockholders who are entitled to vote for the election of directors at the Annual Meeting and comply with the notice procedures described below. An eligible stockholder who wishes to nominate a candidate must send a written notice to the FICO Corporate Secretary, 5 West Mendenhall, Suite 105, Bozeman, Montana 59715. Each notice must include the following information about the nominee:</w:t>
      </w:r>
    </w:p>
    <w:p>
      <w:pPr>
        <w:spacing w:after="0" w:line="79" w:lineRule="exact"/>
        <w:rPr>
          <w:sz w:val="20"/>
          <w:szCs w:val="20"/>
          <w:color w:val="auto"/>
        </w:rPr>
      </w:pPr>
    </w:p>
    <w:p>
      <w:pPr>
        <w:ind w:left="1200" w:hanging="315"/>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 age, and business and residence addresses;</w:t>
      </w:r>
    </w:p>
    <w:p>
      <w:pPr>
        <w:spacing w:after="0" w:line="117" w:lineRule="exact"/>
        <w:rPr>
          <w:rFonts w:ascii="Arial" w:cs="Arial" w:eastAsia="Arial" w:hAnsi="Arial"/>
          <w:sz w:val="18"/>
          <w:szCs w:val="18"/>
          <w:color w:val="auto"/>
        </w:rPr>
      </w:pPr>
    </w:p>
    <w:p>
      <w:pPr>
        <w:ind w:left="1200" w:hanging="315"/>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Principal occupation or employment;</w:t>
      </w:r>
    </w:p>
    <w:p>
      <w:pPr>
        <w:spacing w:after="0" w:line="117" w:lineRule="exact"/>
        <w:rPr>
          <w:rFonts w:ascii="Arial" w:cs="Arial" w:eastAsia="Arial" w:hAnsi="Arial"/>
          <w:sz w:val="18"/>
          <w:szCs w:val="18"/>
          <w:color w:val="auto"/>
        </w:rPr>
      </w:pPr>
    </w:p>
    <w:p>
      <w:pPr>
        <w:ind w:left="1200" w:right="20" w:hanging="315"/>
        <w:spacing w:after="0" w:line="271" w:lineRule="auto"/>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Class, series and number of shares of FICO beneficially owned, and additional detailed “ownership information” regarding derivatives, voting arrangements, dividend interests, and related matters (as described in detail in our Bylaws);</w:t>
      </w:r>
    </w:p>
    <w:p>
      <w:pPr>
        <w:spacing w:after="0" w:line="59" w:lineRule="exact"/>
        <w:rPr>
          <w:rFonts w:ascii="Arial" w:cs="Arial" w:eastAsia="Arial" w:hAnsi="Arial"/>
          <w:sz w:val="18"/>
          <w:szCs w:val="18"/>
          <w:color w:val="auto"/>
        </w:rPr>
      </w:pPr>
    </w:p>
    <w:p>
      <w:pPr>
        <w:ind w:left="1200" w:hanging="315"/>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statement of the person’s citizenship;</w:t>
      </w:r>
    </w:p>
    <w:p>
      <w:pPr>
        <w:spacing w:after="0" w:line="117" w:lineRule="exact"/>
        <w:rPr>
          <w:rFonts w:ascii="Arial" w:cs="Arial" w:eastAsia="Arial" w:hAnsi="Arial"/>
          <w:sz w:val="18"/>
          <w:szCs w:val="18"/>
          <w:color w:val="auto"/>
        </w:rPr>
      </w:pPr>
    </w:p>
    <w:p>
      <w:pPr>
        <w:jc w:val="both"/>
        <w:ind w:left="1200" w:hanging="315"/>
        <w:spacing w:after="0" w:line="253" w:lineRule="auto"/>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information that must be disclosed about nominees in proxy solicitations pursuant to Section 14 of the Securities Exchange Act of 1934, as amended (the “Exchange Act”), and the rules and regulations promulgated thereunder (including the nominee’s written consent to be named as a nominee and to serve as a director if elected); and</w:t>
      </w:r>
    </w:p>
    <w:p>
      <w:pPr>
        <w:spacing w:after="0" w:line="74" w:lineRule="exact"/>
        <w:rPr>
          <w:rFonts w:ascii="Arial" w:cs="Arial" w:eastAsia="Arial" w:hAnsi="Arial"/>
          <w:sz w:val="18"/>
          <w:szCs w:val="18"/>
          <w:color w:val="auto"/>
        </w:rPr>
      </w:pPr>
    </w:p>
    <w:p>
      <w:pPr>
        <w:jc w:val="both"/>
        <w:ind w:left="1200" w:hanging="315"/>
        <w:spacing w:after="0" w:line="253" w:lineRule="auto"/>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written statement from the nominee as to whether such nominee, if elected, intends to tender, promptly following his or her election or re-election, an irrevocable resignation effective upon (i) his or her failure to receive the required vote for re-election at any meeting at which he or she would face re-election and (ii) acceptance of such resignation by the Board.</w:t>
      </w:r>
    </w:p>
    <w:p>
      <w:pPr>
        <w:spacing w:after="0" w:line="169"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Each notice must also include the following information about the nominating stockholder and any beneficial owner on whose behalf the nomination is made:</w:t>
      </w:r>
    </w:p>
    <w:p>
      <w:pPr>
        <w:spacing w:after="0" w:line="59" w:lineRule="exact"/>
        <w:rPr>
          <w:sz w:val="20"/>
          <w:szCs w:val="20"/>
          <w:color w:val="auto"/>
        </w:rPr>
      </w:pPr>
    </w:p>
    <w:p>
      <w:pPr>
        <w:ind w:left="1200" w:hanging="315"/>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name and address, as they appear in our records;</w:t>
      </w:r>
    </w:p>
    <w:p>
      <w:pPr>
        <w:spacing w:after="0" w:line="117" w:lineRule="exact"/>
        <w:rPr>
          <w:rFonts w:ascii="Arial" w:cs="Arial" w:eastAsia="Arial" w:hAnsi="Arial"/>
          <w:sz w:val="18"/>
          <w:szCs w:val="18"/>
          <w:color w:val="auto"/>
        </w:rPr>
      </w:pPr>
    </w:p>
    <w:p>
      <w:pPr>
        <w:ind w:left="1200" w:right="20" w:hanging="315"/>
        <w:spacing w:after="0" w:line="271" w:lineRule="auto"/>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class, series and number of shares of FICO beneficially owned, and additional detailed “ownership information” regarding derivatives, voting arrangements, dividend interests, and related matters (as described in detail in our Bylaws);</w:t>
      </w:r>
    </w:p>
    <w:p>
      <w:pPr>
        <w:spacing w:after="0" w:line="59" w:lineRule="exact"/>
        <w:rPr>
          <w:rFonts w:ascii="Arial" w:cs="Arial" w:eastAsia="Arial" w:hAnsi="Arial"/>
          <w:sz w:val="18"/>
          <w:szCs w:val="18"/>
          <w:color w:val="auto"/>
        </w:rPr>
      </w:pPr>
    </w:p>
    <w:p>
      <w:pPr>
        <w:ind w:left="1200" w:hanging="315"/>
        <w:spacing w:after="0" w:line="271" w:lineRule="auto"/>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description of all agreements pursuant to which the nomination is being made, and any material interest of such stockholder or beneficial owner, or any affiliates or associates of such person, in such nomination;</w:t>
      </w:r>
    </w:p>
    <w:p>
      <w:pPr>
        <w:spacing w:after="0" w:line="59" w:lineRule="exact"/>
        <w:rPr>
          <w:rFonts w:ascii="Arial" w:cs="Arial" w:eastAsia="Arial" w:hAnsi="Arial"/>
          <w:sz w:val="18"/>
          <w:szCs w:val="18"/>
          <w:color w:val="auto"/>
        </w:rPr>
      </w:pPr>
    </w:p>
    <w:p>
      <w:pPr>
        <w:ind w:left="1200" w:right="20" w:hanging="315"/>
        <w:spacing w:after="0" w:line="271" w:lineRule="auto"/>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representation that the stockholder giving notice intends to appear in person or by proxy at the Annual Meeting to nominate the persons named in its notice;</w:t>
      </w:r>
    </w:p>
    <w:p>
      <w:pPr>
        <w:spacing w:after="0" w:line="59" w:lineRule="exact"/>
        <w:rPr>
          <w:rFonts w:ascii="Arial" w:cs="Arial" w:eastAsia="Arial" w:hAnsi="Arial"/>
          <w:sz w:val="18"/>
          <w:szCs w:val="18"/>
          <w:color w:val="auto"/>
        </w:rPr>
      </w:pPr>
    </w:p>
    <w:p>
      <w:pPr>
        <w:jc w:val="both"/>
        <w:ind w:left="1200" w:hanging="315"/>
        <w:spacing w:after="0" w:line="253" w:lineRule="auto"/>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representation whether the stockholder or the beneficial owner intends, or is part of a group that intends, to deliver a proxy statement or form of proxy to holders of at least the percentage of FICO’s outstanding shares required to elect the nominee or otherwise solicit proxies from stockholders in support of the nomination; and</w:t>
      </w:r>
    </w:p>
    <w:p>
      <w:pPr>
        <w:spacing w:after="0" w:line="74" w:lineRule="exact"/>
        <w:rPr>
          <w:rFonts w:ascii="Arial" w:cs="Arial" w:eastAsia="Arial" w:hAnsi="Arial"/>
          <w:sz w:val="18"/>
          <w:szCs w:val="18"/>
          <w:color w:val="auto"/>
        </w:rPr>
      </w:pPr>
    </w:p>
    <w:p>
      <w:pPr>
        <w:ind w:left="1200" w:right="20" w:hanging="315"/>
        <w:spacing w:after="0" w:line="271" w:lineRule="auto"/>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information relating to the person that is required to be disclosed in solicitations for proxies for election of directors pursuant to Section 14 of the Exchange Act, and the rules and regulations promulgated thereunder.</w:t>
      </w:r>
    </w:p>
    <w:p>
      <w:pPr>
        <w:spacing w:after="0" w:line="46"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We may require any proposed nominee to furnish such other information as may reasonably be required by us to determine the eligibility of the proposed nominee to serve as a director.</w:t>
      </w:r>
    </w:p>
    <w:p>
      <w:pPr>
        <w:spacing w:after="0" w:line="46" w:lineRule="exact"/>
        <w:rPr>
          <w:sz w:val="20"/>
          <w:szCs w:val="20"/>
          <w:color w:val="auto"/>
        </w:rPr>
      </w:pPr>
    </w:p>
    <w:p>
      <w:pPr>
        <w:jc w:val="both"/>
        <w:ind w:left="120" w:firstLine="551"/>
        <w:spacing w:after="0" w:line="247" w:lineRule="auto"/>
        <w:rPr>
          <w:sz w:val="20"/>
          <w:szCs w:val="20"/>
          <w:color w:val="auto"/>
        </w:rPr>
      </w:pPr>
      <w:r>
        <w:rPr>
          <w:rFonts w:ascii="Arial" w:cs="Arial" w:eastAsia="Arial" w:hAnsi="Arial"/>
          <w:sz w:val="18"/>
          <w:szCs w:val="18"/>
          <w:color w:val="auto"/>
        </w:rPr>
        <w:t>Our Corporate Secretary must receive this information not less than 90 days nor more than 120 days prior to the anniversary date of the immediately preceding annual meeting. In the case of an annual meeting which is held more than 25 days before or after such anniversary date, in order for notice by the stockholder to be considered timely, it must be received no later than the close of business on the 10th day following the date of the first public announcement of the date of the annual meeting.</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23</w:t>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0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Proxy</w:t>
            </w:r>
          </w:p>
        </w:tc>
        <w:tc>
          <w:tcPr>
            <w:tcW w:w="11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22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Corporate</w:t>
            </w:r>
          </w:p>
        </w:tc>
        <w:tc>
          <w:tcPr>
            <w:tcW w:w="1520" w:type="dxa"/>
            <w:vAlign w:val="bottom"/>
            <w:shd w:val="clear" w:color="auto" w:fill="F2F2F2"/>
          </w:tcPr>
          <w:p>
            <w:pPr>
              <w:ind w:left="18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00" w:type="dxa"/>
            <w:vAlign w:val="bottom"/>
            <w:shd w:val="clear" w:color="auto" w:fill="F2F2F2"/>
          </w:tcPr>
          <w:p>
            <w:pPr>
              <w:ind w:left="620"/>
              <w:spacing w:after="0" w:line="202" w:lineRule="exact"/>
              <w:rPr>
                <w:sz w:val="20"/>
                <w:szCs w:val="20"/>
                <w:color w:val="auto"/>
              </w:rPr>
            </w:pPr>
            <w:r>
              <w:rPr>
                <w:rFonts w:ascii="Arial" w:cs="Arial" w:eastAsia="Arial" w:hAnsi="Arial"/>
                <w:sz w:val="18"/>
                <w:szCs w:val="18"/>
                <w:color w:val="auto"/>
                <w:w w:val="98"/>
              </w:rPr>
              <w:t>Summary</w:t>
            </w:r>
          </w:p>
        </w:tc>
        <w:tc>
          <w:tcPr>
            <w:tcW w:w="118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22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Governance</w:t>
            </w:r>
          </w:p>
        </w:tc>
        <w:tc>
          <w:tcPr>
            <w:tcW w:w="152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00" w:type="dxa"/>
            <w:vAlign w:val="bottom"/>
            <w:shd w:val="clear" w:color="auto" w:fill="F2F2F2"/>
          </w:tcPr>
          <w:p>
            <w:pPr>
              <w:spacing w:after="0"/>
              <w:rPr>
                <w:sz w:val="16"/>
                <w:szCs w:val="16"/>
                <w:color w:val="auto"/>
              </w:rPr>
            </w:pPr>
          </w:p>
        </w:tc>
        <w:tc>
          <w:tcPr>
            <w:tcW w:w="1180" w:type="dxa"/>
            <w:vAlign w:val="bottom"/>
            <w:shd w:val="clear" w:color="auto" w:fill="F2F2F2"/>
          </w:tcPr>
          <w:p>
            <w:pPr>
              <w:spacing w:after="0"/>
              <w:rPr>
                <w:sz w:val="16"/>
                <w:szCs w:val="16"/>
                <w:color w:val="auto"/>
              </w:rPr>
            </w:pPr>
          </w:p>
        </w:tc>
        <w:tc>
          <w:tcPr>
            <w:tcW w:w="122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520" w:type="dxa"/>
            <w:vAlign w:val="bottom"/>
            <w:shd w:val="clear" w:color="auto" w:fill="F2F2F2"/>
          </w:tcPr>
          <w:p>
            <w:pPr>
              <w:spacing w:after="0"/>
              <w:rPr>
                <w:sz w:val="16"/>
                <w:szCs w:val="16"/>
                <w:color w:val="auto"/>
              </w:rPr>
            </w:pP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00" w:type="dxa"/>
            <w:vAlign w:val="bottom"/>
            <w:tcBorders>
              <w:top w:val="single" w:sz="8" w:color="F2F2F2"/>
            </w:tcBorders>
            <w:shd w:val="clear" w:color="auto" w:fill="F2F2F2"/>
          </w:tcPr>
          <w:p>
            <w:pPr>
              <w:spacing w:after="0"/>
              <w:rPr>
                <w:sz w:val="2"/>
                <w:szCs w:val="2"/>
                <w:color w:val="auto"/>
              </w:rPr>
            </w:pPr>
          </w:p>
        </w:tc>
        <w:tc>
          <w:tcPr>
            <w:tcW w:w="118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400" w:type="dxa"/>
            <w:vAlign w:val="bottom"/>
            <w:tcBorders>
              <w:top w:val="single" w:sz="8" w:color="F2F2F2"/>
            </w:tcBorders>
            <w:shd w:val="clear" w:color="auto" w:fill="F2F2F2"/>
          </w:tcPr>
          <w:p>
            <w:pPr>
              <w:spacing w:after="0"/>
              <w:rPr>
                <w:sz w:val="2"/>
                <w:szCs w:val="2"/>
                <w:color w:val="auto"/>
              </w:rPr>
            </w:pPr>
          </w:p>
        </w:tc>
        <w:tc>
          <w:tcPr>
            <w:tcW w:w="15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Environmental, Social and Governance (“ESG”) Matters</w:t>
      </w:r>
    </w:p>
    <w:p>
      <w:pPr>
        <w:spacing w:after="0" w:line="150" w:lineRule="exact"/>
        <w:rPr>
          <w:sz w:val="20"/>
          <w:szCs w:val="20"/>
          <w:color w:val="auto"/>
        </w:rPr>
      </w:pPr>
    </w:p>
    <w:p>
      <w:pPr>
        <w:jc w:val="both"/>
        <w:ind w:left="120" w:right="20" w:firstLine="551"/>
        <w:spacing w:after="0" w:line="244" w:lineRule="auto"/>
        <w:rPr>
          <w:sz w:val="20"/>
          <w:szCs w:val="20"/>
          <w:color w:val="auto"/>
        </w:rPr>
      </w:pPr>
      <w:r>
        <w:rPr>
          <w:rFonts w:ascii="Arial" w:cs="Arial" w:eastAsia="Arial" w:hAnsi="Arial"/>
          <w:sz w:val="18"/>
          <w:szCs w:val="18"/>
          <w:color w:val="auto"/>
        </w:rPr>
        <w:t xml:space="preserve">We recognize the importance of environmental, social, and governance issues. We have a long-standing commitment to the environment, the communities we call home, our employees, and other stakeholders, and we are proud of our strong governance practices. Our Board and certain of its committees oversee our progress on various ESG initiatives. Additional information regarding our commitment and approach to ESG matters appears on the Corporate Responsibility page of our website at </w:t>
      </w:r>
      <w:r>
        <w:rPr>
          <w:rFonts w:ascii="Arial" w:cs="Arial" w:eastAsia="Arial" w:hAnsi="Arial"/>
          <w:sz w:val="18"/>
          <w:szCs w:val="18"/>
          <w:i w:val="1"/>
          <w:iCs w:val="1"/>
          <w:color w:val="auto"/>
        </w:rPr>
        <w:t>www.fico.com/en/corporate-responsibility</w:t>
      </w:r>
      <w:r>
        <w:rPr>
          <w:rFonts w:ascii="Arial" w:cs="Arial" w:eastAsia="Arial" w:hAnsi="Arial"/>
          <w:sz w:val="18"/>
          <w:szCs w:val="18"/>
          <w:color w:val="auto"/>
        </w:rPr>
        <w:t>. The information on our website is not incorporated herein and is not a part of our proxy solicitation materials.</w:t>
      </w:r>
    </w:p>
    <w:p>
      <w:pPr>
        <w:spacing w:after="0" w:line="109"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24</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0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Proxy</w:t>
            </w:r>
          </w:p>
        </w:tc>
        <w:tc>
          <w:tcPr>
            <w:tcW w:w="11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22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Corporate</w:t>
            </w:r>
          </w:p>
        </w:tc>
        <w:tc>
          <w:tcPr>
            <w:tcW w:w="1520" w:type="dxa"/>
            <w:vAlign w:val="bottom"/>
            <w:shd w:val="clear" w:color="auto" w:fill="F2F2F2"/>
          </w:tcPr>
          <w:p>
            <w:pPr>
              <w:ind w:left="18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00" w:type="dxa"/>
            <w:vAlign w:val="bottom"/>
            <w:shd w:val="clear" w:color="auto" w:fill="F2F2F2"/>
          </w:tcPr>
          <w:p>
            <w:pPr>
              <w:ind w:left="620"/>
              <w:spacing w:after="0" w:line="202" w:lineRule="exact"/>
              <w:rPr>
                <w:sz w:val="20"/>
                <w:szCs w:val="20"/>
                <w:color w:val="auto"/>
              </w:rPr>
            </w:pPr>
            <w:r>
              <w:rPr>
                <w:rFonts w:ascii="Arial" w:cs="Arial" w:eastAsia="Arial" w:hAnsi="Arial"/>
                <w:sz w:val="18"/>
                <w:szCs w:val="18"/>
                <w:color w:val="auto"/>
                <w:w w:val="98"/>
              </w:rPr>
              <w:t>Summary</w:t>
            </w:r>
          </w:p>
        </w:tc>
        <w:tc>
          <w:tcPr>
            <w:tcW w:w="118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22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Governance</w:t>
            </w:r>
          </w:p>
        </w:tc>
        <w:tc>
          <w:tcPr>
            <w:tcW w:w="152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00" w:type="dxa"/>
            <w:vAlign w:val="bottom"/>
            <w:shd w:val="clear" w:color="auto" w:fill="F2F2F2"/>
          </w:tcPr>
          <w:p>
            <w:pPr>
              <w:spacing w:after="0"/>
              <w:rPr>
                <w:sz w:val="16"/>
                <w:szCs w:val="16"/>
                <w:color w:val="auto"/>
              </w:rPr>
            </w:pPr>
          </w:p>
        </w:tc>
        <w:tc>
          <w:tcPr>
            <w:tcW w:w="1180" w:type="dxa"/>
            <w:vAlign w:val="bottom"/>
            <w:shd w:val="clear" w:color="auto" w:fill="F2F2F2"/>
          </w:tcPr>
          <w:p>
            <w:pPr>
              <w:spacing w:after="0"/>
              <w:rPr>
                <w:sz w:val="16"/>
                <w:szCs w:val="16"/>
                <w:color w:val="auto"/>
              </w:rPr>
            </w:pPr>
          </w:p>
        </w:tc>
        <w:tc>
          <w:tcPr>
            <w:tcW w:w="122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520" w:type="dxa"/>
            <w:vAlign w:val="bottom"/>
            <w:shd w:val="clear" w:color="auto" w:fill="F2F2F2"/>
          </w:tcPr>
          <w:p>
            <w:pPr>
              <w:spacing w:after="0"/>
              <w:rPr>
                <w:sz w:val="16"/>
                <w:szCs w:val="16"/>
                <w:color w:val="auto"/>
              </w:rPr>
            </w:pP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00" w:type="dxa"/>
            <w:vAlign w:val="bottom"/>
            <w:tcBorders>
              <w:top w:val="single" w:sz="8" w:color="F2F2F2"/>
            </w:tcBorders>
            <w:shd w:val="clear" w:color="auto" w:fill="F2F2F2"/>
          </w:tcPr>
          <w:p>
            <w:pPr>
              <w:spacing w:after="0"/>
              <w:rPr>
                <w:sz w:val="2"/>
                <w:szCs w:val="2"/>
                <w:color w:val="auto"/>
              </w:rPr>
            </w:pPr>
          </w:p>
        </w:tc>
        <w:tc>
          <w:tcPr>
            <w:tcW w:w="118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400" w:type="dxa"/>
            <w:vAlign w:val="bottom"/>
            <w:tcBorders>
              <w:top w:val="single" w:sz="8" w:color="F2F2F2"/>
            </w:tcBorders>
            <w:shd w:val="clear" w:color="auto" w:fill="F2F2F2"/>
          </w:tcPr>
          <w:p>
            <w:pPr>
              <w:spacing w:after="0"/>
              <w:rPr>
                <w:sz w:val="2"/>
                <w:szCs w:val="2"/>
                <w:color w:val="auto"/>
              </w:rPr>
            </w:pPr>
          </w:p>
        </w:tc>
        <w:tc>
          <w:tcPr>
            <w:tcW w:w="15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Human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210185</wp:posOffset>
            </wp:positionV>
            <wp:extent cx="61550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55055" cy="8255"/>
                    </a:xfrm>
                    <a:prstGeom prst="rect">
                      <a:avLst/>
                    </a:prstGeom>
                    <a:noFill/>
                  </pic:spPr>
                </pic:pic>
              </a:graphicData>
            </a:graphic>
          </wp:anchor>
        </w:drawing>
      </w:r>
    </w:p>
    <w:p>
      <w:pPr>
        <w:spacing w:after="0" w:line="400" w:lineRule="exact"/>
        <w:rPr>
          <w:sz w:val="20"/>
          <w:szCs w:val="20"/>
          <w:color w:val="auto"/>
        </w:rPr>
      </w:pPr>
    </w:p>
    <w:tbl>
      <w:tblPr>
        <w:tblLayout w:type="fixed"/>
        <w:tblInd w:w="780" w:type="dxa"/>
        <w:tblCellMar>
          <w:top w:w="0" w:type="dxa"/>
          <w:left w:w="0" w:type="dxa"/>
          <w:bottom w:w="0" w:type="dxa"/>
          <w:right w:w="0" w:type="dxa"/>
        </w:tblCellMar>
      </w:tblPr>
      <w:tr>
        <w:trPr>
          <w:trHeight w:val="247"/>
        </w:trPr>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980" w:type="dxa"/>
            <w:vAlign w:val="bottom"/>
          </w:tcPr>
          <w:p>
            <w:pPr>
              <w:ind w:left="2540"/>
              <w:spacing w:after="0"/>
              <w:rPr>
                <w:sz w:val="20"/>
                <w:szCs w:val="20"/>
                <w:color w:val="auto"/>
              </w:rPr>
            </w:pPr>
            <w:r>
              <w:rPr>
                <w:rFonts w:ascii="Arial" w:cs="Arial" w:eastAsia="Arial" w:hAnsi="Arial"/>
                <w:sz w:val="18"/>
                <w:szCs w:val="18"/>
                <w:b w:val="1"/>
                <w:bCs w:val="1"/>
                <w:color w:val="376DB5"/>
              </w:rPr>
              <w:t>Human Capital Resources Highlights</w:t>
            </w:r>
          </w:p>
        </w:tc>
        <w:tc>
          <w:tcPr>
            <w:tcW w:w="0" w:type="dxa"/>
            <w:vAlign w:val="bottom"/>
          </w:tcPr>
          <w:p>
            <w:pPr>
              <w:spacing w:after="0"/>
              <w:rPr>
                <w:sz w:val="1"/>
                <w:szCs w:val="1"/>
                <w:color w:val="auto"/>
              </w:rPr>
            </w:pPr>
          </w:p>
        </w:tc>
      </w:tr>
      <w:tr>
        <w:trPr>
          <w:trHeight w:val="83"/>
        </w:trPr>
        <w:tc>
          <w:tcPr>
            <w:tcW w:w="260" w:type="dxa"/>
            <w:vAlign w:val="bottom"/>
            <w:tcBorders>
              <w:bottom w:val="single" w:sz="8" w:color="376DB5"/>
            </w:tcBorders>
          </w:tcPr>
          <w:p>
            <w:pPr>
              <w:spacing w:after="0"/>
              <w:rPr>
                <w:sz w:val="7"/>
                <w:szCs w:val="7"/>
                <w:color w:val="auto"/>
              </w:rPr>
            </w:pPr>
          </w:p>
        </w:tc>
        <w:tc>
          <w:tcPr>
            <w:tcW w:w="460" w:type="dxa"/>
            <w:vAlign w:val="bottom"/>
            <w:tcBorders>
              <w:bottom w:val="single" w:sz="8" w:color="376DB5"/>
            </w:tcBorders>
          </w:tcPr>
          <w:p>
            <w:pPr>
              <w:spacing w:after="0"/>
              <w:rPr>
                <w:sz w:val="7"/>
                <w:szCs w:val="7"/>
                <w:color w:val="auto"/>
              </w:rPr>
            </w:pPr>
          </w:p>
        </w:tc>
        <w:tc>
          <w:tcPr>
            <w:tcW w:w="8980" w:type="dxa"/>
            <w:vAlign w:val="bottom"/>
            <w:tcBorders>
              <w:bottom w:val="single" w:sz="8" w:color="376DB5"/>
            </w:tcBorders>
          </w:tcPr>
          <w:p>
            <w:pPr>
              <w:spacing w:after="0"/>
              <w:rPr>
                <w:sz w:val="7"/>
                <w:szCs w:val="7"/>
                <w:color w:val="auto"/>
              </w:rPr>
            </w:pPr>
          </w:p>
        </w:tc>
        <w:tc>
          <w:tcPr>
            <w:tcW w:w="0" w:type="dxa"/>
            <w:vAlign w:val="bottom"/>
          </w:tcPr>
          <w:p>
            <w:pPr>
              <w:spacing w:after="0"/>
              <w:rPr>
                <w:sz w:val="1"/>
                <w:szCs w:val="1"/>
                <w:color w:val="auto"/>
              </w:rPr>
            </w:pPr>
          </w:p>
        </w:tc>
      </w:tr>
      <w:tr>
        <w:trPr>
          <w:trHeight w:val="446"/>
        </w:trPr>
        <w:tc>
          <w:tcPr>
            <w:tcW w:w="26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8"/>
                <w:szCs w:val="18"/>
                <w:color w:val="auto"/>
                <w:w w:val="95"/>
              </w:rPr>
              <w:t xml:space="preserve">  </w:t>
            </w:r>
          </w:p>
        </w:tc>
        <w:tc>
          <w:tcPr>
            <w:tcW w:w="89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8"/>
                <w:szCs w:val="18"/>
                <w:color w:val="auto"/>
              </w:rPr>
              <w:t>Board-level review and oversight of all people programs</w:t>
            </w:r>
          </w:p>
        </w:tc>
        <w:tc>
          <w:tcPr>
            <w:tcW w:w="0" w:type="dxa"/>
            <w:vAlign w:val="bottom"/>
          </w:tcPr>
          <w:p>
            <w:pPr>
              <w:spacing w:after="0"/>
              <w:rPr>
                <w:sz w:val="1"/>
                <w:szCs w:val="1"/>
                <w:color w:val="auto"/>
              </w:rPr>
            </w:pPr>
          </w:p>
        </w:tc>
      </w:tr>
      <w:tr>
        <w:trPr>
          <w:trHeight w:val="409"/>
        </w:trPr>
        <w:tc>
          <w:tcPr>
            <w:tcW w:w="260" w:type="dxa"/>
            <w:vAlign w:val="bottom"/>
          </w:tcPr>
          <w:p>
            <w:pPr>
              <w:ind w:left="20"/>
              <w:spacing w:after="0"/>
              <w:rPr>
                <w:sz w:val="20"/>
                <w:szCs w:val="20"/>
                <w:color w:val="auto"/>
              </w:rPr>
            </w:pPr>
            <w:r>
              <w:rPr>
                <w:rFonts w:ascii="Arial" w:cs="Arial" w:eastAsia="Arial" w:hAnsi="Arial"/>
                <w:sz w:val="18"/>
                <w:szCs w:val="18"/>
                <w:color w:val="auto"/>
              </w:rPr>
              <w:t> </w:t>
            </w:r>
          </w:p>
        </w:tc>
        <w:tc>
          <w:tcPr>
            <w:tcW w:w="460" w:type="dxa"/>
            <w:vAlign w:val="bottom"/>
          </w:tcPr>
          <w:p>
            <w:pPr>
              <w:ind w:left="200"/>
              <w:spacing w:after="0"/>
              <w:rPr>
                <w:sz w:val="20"/>
                <w:szCs w:val="20"/>
                <w:color w:val="auto"/>
              </w:rPr>
            </w:pPr>
            <w:r>
              <w:rPr>
                <w:rFonts w:ascii="Arial" w:cs="Arial" w:eastAsia="Arial" w:hAnsi="Arial"/>
                <w:sz w:val="18"/>
                <w:szCs w:val="18"/>
                <w:color w:val="auto"/>
              </w:rPr>
              <w:t xml:space="preserve">  </w:t>
            </w:r>
          </w:p>
        </w:tc>
        <w:tc>
          <w:tcPr>
            <w:tcW w:w="8980" w:type="dxa"/>
            <w:vAlign w:val="bottom"/>
          </w:tcPr>
          <w:p>
            <w:pPr>
              <w:ind w:left="220"/>
              <w:spacing w:after="0"/>
              <w:rPr>
                <w:sz w:val="20"/>
                <w:szCs w:val="20"/>
                <w:color w:val="auto"/>
              </w:rPr>
            </w:pPr>
            <w:r>
              <w:rPr>
                <w:rFonts w:ascii="Arial" w:cs="Arial" w:eastAsia="Arial" w:hAnsi="Arial"/>
                <w:sz w:val="18"/>
                <w:szCs w:val="18"/>
                <w:color w:val="auto"/>
              </w:rPr>
              <w:t>Accountability for core values in annual performance assessment process</w:t>
            </w:r>
          </w:p>
        </w:tc>
        <w:tc>
          <w:tcPr>
            <w:tcW w:w="0" w:type="dxa"/>
            <w:vAlign w:val="bottom"/>
          </w:tcPr>
          <w:p>
            <w:pPr>
              <w:spacing w:after="0"/>
              <w:rPr>
                <w:sz w:val="1"/>
                <w:szCs w:val="1"/>
                <w:color w:val="auto"/>
              </w:rPr>
            </w:pPr>
          </w:p>
        </w:tc>
      </w:tr>
      <w:tr>
        <w:trPr>
          <w:trHeight w:val="50"/>
        </w:trPr>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26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8"/>
                <w:szCs w:val="18"/>
                <w:color w:val="auto"/>
                <w:w w:val="95"/>
              </w:rPr>
              <w:t xml:space="preserve">  </w:t>
            </w:r>
          </w:p>
        </w:tc>
        <w:tc>
          <w:tcPr>
            <w:tcW w:w="89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8"/>
                <w:szCs w:val="18"/>
                <w:color w:val="auto"/>
              </w:rPr>
              <w:t>Structured and recurring talent management and succession planning</w:t>
            </w:r>
          </w:p>
        </w:tc>
        <w:tc>
          <w:tcPr>
            <w:tcW w:w="0" w:type="dxa"/>
            <w:vAlign w:val="bottom"/>
          </w:tcPr>
          <w:p>
            <w:pPr>
              <w:spacing w:after="0"/>
              <w:rPr>
                <w:sz w:val="1"/>
                <w:szCs w:val="1"/>
                <w:color w:val="auto"/>
              </w:rPr>
            </w:pPr>
          </w:p>
        </w:tc>
      </w:tr>
      <w:tr>
        <w:trPr>
          <w:trHeight w:val="342"/>
        </w:trPr>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 </w:t>
            </w:r>
          </w:p>
        </w:tc>
        <w:tc>
          <w:tcPr>
            <w:tcW w:w="460" w:type="dxa"/>
            <w:vAlign w:val="bottom"/>
            <w:vMerge w:val="restart"/>
          </w:tcPr>
          <w:p>
            <w:pPr>
              <w:ind w:left="200"/>
              <w:spacing w:after="0"/>
              <w:rPr>
                <w:sz w:val="20"/>
                <w:szCs w:val="20"/>
                <w:color w:val="auto"/>
              </w:rPr>
            </w:pPr>
            <w:r>
              <w:rPr>
                <w:rFonts w:ascii="Arial" w:cs="Arial" w:eastAsia="Arial" w:hAnsi="Arial"/>
                <w:sz w:val="18"/>
                <w:szCs w:val="18"/>
                <w:color w:val="auto"/>
              </w:rPr>
              <w:t xml:space="preserve">  </w:t>
            </w:r>
          </w:p>
        </w:tc>
        <w:tc>
          <w:tcPr>
            <w:tcW w:w="8980" w:type="dxa"/>
            <w:vAlign w:val="bottom"/>
          </w:tcPr>
          <w:p>
            <w:pPr>
              <w:ind w:left="220"/>
              <w:spacing w:after="0"/>
              <w:rPr>
                <w:sz w:val="20"/>
                <w:szCs w:val="20"/>
                <w:color w:val="auto"/>
              </w:rPr>
            </w:pPr>
            <w:r>
              <w:rPr>
                <w:rFonts w:ascii="Arial" w:cs="Arial" w:eastAsia="Arial" w:hAnsi="Arial"/>
                <w:sz w:val="18"/>
                <w:szCs w:val="18"/>
                <w:color w:val="auto"/>
              </w:rPr>
              <w:t>Quarterly workforce engagement surveys and action planning</w:t>
            </w:r>
          </w:p>
        </w:tc>
        <w:tc>
          <w:tcPr>
            <w:tcW w:w="0" w:type="dxa"/>
            <w:vAlign w:val="bottom"/>
          </w:tcPr>
          <w:p>
            <w:pPr>
              <w:spacing w:after="0"/>
              <w:rPr>
                <w:sz w:val="1"/>
                <w:szCs w:val="1"/>
                <w:color w:val="auto"/>
              </w:rPr>
            </w:pPr>
          </w:p>
        </w:tc>
      </w:tr>
      <w:tr>
        <w:trPr>
          <w:trHeight w:val="68"/>
        </w:trPr>
        <w:tc>
          <w:tcPr>
            <w:tcW w:w="26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6"/>
        </w:trPr>
        <w:tc>
          <w:tcPr>
            <w:tcW w:w="26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8"/>
                <w:szCs w:val="18"/>
                <w:color w:val="auto"/>
                <w:w w:val="95"/>
              </w:rPr>
              <w:t xml:space="preserve">  </w:t>
            </w:r>
          </w:p>
        </w:tc>
        <w:tc>
          <w:tcPr>
            <w:tcW w:w="89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8"/>
                <w:szCs w:val="18"/>
                <w:color w:val="auto"/>
              </w:rPr>
              <w:t>Quarterly town halls to foster transparency and dialogue</w:t>
            </w:r>
          </w:p>
        </w:tc>
        <w:tc>
          <w:tcPr>
            <w:tcW w:w="0" w:type="dxa"/>
            <w:vAlign w:val="bottom"/>
          </w:tcPr>
          <w:p>
            <w:pPr>
              <w:spacing w:after="0"/>
              <w:rPr>
                <w:sz w:val="1"/>
                <w:szCs w:val="1"/>
                <w:color w:val="auto"/>
              </w:rPr>
            </w:pPr>
          </w:p>
        </w:tc>
      </w:tr>
      <w:tr>
        <w:trPr>
          <w:trHeight w:val="342"/>
        </w:trPr>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 </w:t>
            </w:r>
          </w:p>
        </w:tc>
        <w:tc>
          <w:tcPr>
            <w:tcW w:w="460" w:type="dxa"/>
            <w:vAlign w:val="bottom"/>
            <w:vMerge w:val="restart"/>
          </w:tcPr>
          <w:p>
            <w:pPr>
              <w:ind w:left="200"/>
              <w:spacing w:after="0"/>
              <w:rPr>
                <w:sz w:val="20"/>
                <w:szCs w:val="20"/>
                <w:color w:val="auto"/>
              </w:rPr>
            </w:pPr>
            <w:r>
              <w:rPr>
                <w:rFonts w:ascii="Arial" w:cs="Arial" w:eastAsia="Arial" w:hAnsi="Arial"/>
                <w:sz w:val="18"/>
                <w:szCs w:val="18"/>
                <w:color w:val="auto"/>
              </w:rPr>
              <w:t xml:space="preserve">  </w:t>
            </w:r>
          </w:p>
        </w:tc>
        <w:tc>
          <w:tcPr>
            <w:tcW w:w="8980" w:type="dxa"/>
            <w:vAlign w:val="bottom"/>
          </w:tcPr>
          <w:p>
            <w:pPr>
              <w:ind w:left="220"/>
              <w:spacing w:after="0"/>
              <w:rPr>
                <w:sz w:val="20"/>
                <w:szCs w:val="20"/>
                <w:color w:val="auto"/>
              </w:rPr>
            </w:pPr>
            <w:r>
              <w:rPr>
                <w:rFonts w:ascii="Arial" w:cs="Arial" w:eastAsia="Arial" w:hAnsi="Arial"/>
                <w:sz w:val="18"/>
                <w:szCs w:val="18"/>
                <w:color w:val="auto"/>
              </w:rPr>
              <w:t>Remote and hybrid work location and flexible scheduling policies</w:t>
            </w:r>
          </w:p>
        </w:tc>
        <w:tc>
          <w:tcPr>
            <w:tcW w:w="0" w:type="dxa"/>
            <w:vAlign w:val="bottom"/>
          </w:tcPr>
          <w:p>
            <w:pPr>
              <w:spacing w:after="0"/>
              <w:rPr>
                <w:sz w:val="1"/>
                <w:szCs w:val="1"/>
                <w:color w:val="auto"/>
              </w:rPr>
            </w:pPr>
          </w:p>
        </w:tc>
      </w:tr>
      <w:tr>
        <w:trPr>
          <w:trHeight w:val="68"/>
        </w:trPr>
        <w:tc>
          <w:tcPr>
            <w:tcW w:w="26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6"/>
        </w:trPr>
        <w:tc>
          <w:tcPr>
            <w:tcW w:w="26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8"/>
                <w:szCs w:val="18"/>
                <w:color w:val="auto"/>
                <w:w w:val="95"/>
              </w:rPr>
              <w:t xml:space="preserve">  </w:t>
            </w:r>
          </w:p>
        </w:tc>
        <w:tc>
          <w:tcPr>
            <w:tcW w:w="89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8"/>
                <w:szCs w:val="18"/>
                <w:color w:val="auto"/>
              </w:rPr>
              <w:t>Learning management system to promote both technical and leadership skills</w:t>
            </w:r>
          </w:p>
        </w:tc>
        <w:tc>
          <w:tcPr>
            <w:tcW w:w="0" w:type="dxa"/>
            <w:vAlign w:val="bottom"/>
          </w:tcPr>
          <w:p>
            <w:pPr>
              <w:spacing w:after="0"/>
              <w:rPr>
                <w:sz w:val="1"/>
                <w:szCs w:val="1"/>
                <w:color w:val="auto"/>
              </w:rPr>
            </w:pPr>
          </w:p>
        </w:tc>
      </w:tr>
      <w:tr>
        <w:trPr>
          <w:trHeight w:val="342"/>
        </w:trPr>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 </w:t>
            </w:r>
          </w:p>
        </w:tc>
        <w:tc>
          <w:tcPr>
            <w:tcW w:w="460" w:type="dxa"/>
            <w:vAlign w:val="bottom"/>
            <w:vMerge w:val="restart"/>
          </w:tcPr>
          <w:p>
            <w:pPr>
              <w:ind w:left="200"/>
              <w:spacing w:after="0"/>
              <w:rPr>
                <w:sz w:val="20"/>
                <w:szCs w:val="20"/>
                <w:color w:val="auto"/>
              </w:rPr>
            </w:pPr>
            <w:r>
              <w:rPr>
                <w:rFonts w:ascii="Arial" w:cs="Arial" w:eastAsia="Arial" w:hAnsi="Arial"/>
                <w:sz w:val="18"/>
                <w:szCs w:val="18"/>
                <w:color w:val="auto"/>
              </w:rPr>
              <w:t xml:space="preserve">  </w:t>
            </w:r>
          </w:p>
        </w:tc>
        <w:tc>
          <w:tcPr>
            <w:tcW w:w="8980" w:type="dxa"/>
            <w:vAlign w:val="bottom"/>
          </w:tcPr>
          <w:p>
            <w:pPr>
              <w:ind w:left="220"/>
              <w:spacing w:after="0"/>
              <w:rPr>
                <w:sz w:val="20"/>
                <w:szCs w:val="20"/>
                <w:color w:val="auto"/>
              </w:rPr>
            </w:pPr>
            <w:r>
              <w:rPr>
                <w:rFonts w:ascii="Arial" w:cs="Arial" w:eastAsia="Arial" w:hAnsi="Arial"/>
                <w:sz w:val="18"/>
                <w:szCs w:val="18"/>
                <w:color w:val="auto"/>
              </w:rPr>
              <w:t>Strong culture focus ensuring a strong and attractive employer brand</w:t>
            </w:r>
          </w:p>
        </w:tc>
        <w:tc>
          <w:tcPr>
            <w:tcW w:w="0" w:type="dxa"/>
            <w:vAlign w:val="bottom"/>
          </w:tcPr>
          <w:p>
            <w:pPr>
              <w:spacing w:after="0"/>
              <w:rPr>
                <w:sz w:val="1"/>
                <w:szCs w:val="1"/>
                <w:color w:val="auto"/>
              </w:rPr>
            </w:pPr>
          </w:p>
        </w:tc>
      </w:tr>
      <w:tr>
        <w:trPr>
          <w:trHeight w:val="68"/>
        </w:trPr>
        <w:tc>
          <w:tcPr>
            <w:tcW w:w="26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6"/>
        </w:trPr>
        <w:tc>
          <w:tcPr>
            <w:tcW w:w="26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8"/>
                <w:szCs w:val="18"/>
                <w:color w:val="auto"/>
                <w:w w:val="95"/>
              </w:rPr>
              <w:t xml:space="preserve">  </w:t>
            </w:r>
          </w:p>
        </w:tc>
        <w:tc>
          <w:tcPr>
            <w:tcW w:w="89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8"/>
                <w:szCs w:val="18"/>
                <w:color w:val="auto"/>
              </w:rPr>
              <w:t>Employee resource groups to promote mutual understanding and dialogue</w:t>
            </w:r>
          </w:p>
        </w:tc>
        <w:tc>
          <w:tcPr>
            <w:tcW w:w="0" w:type="dxa"/>
            <w:vAlign w:val="bottom"/>
          </w:tcPr>
          <w:p>
            <w:pPr>
              <w:spacing w:after="0"/>
              <w:rPr>
                <w:sz w:val="1"/>
                <w:szCs w:val="1"/>
                <w:color w:val="auto"/>
              </w:rPr>
            </w:pPr>
          </w:p>
        </w:tc>
      </w:tr>
      <w:tr>
        <w:trPr>
          <w:trHeight w:val="409"/>
        </w:trPr>
        <w:tc>
          <w:tcPr>
            <w:tcW w:w="260" w:type="dxa"/>
            <w:vAlign w:val="bottom"/>
          </w:tcPr>
          <w:p>
            <w:pPr>
              <w:ind w:left="20"/>
              <w:spacing w:after="0"/>
              <w:rPr>
                <w:sz w:val="20"/>
                <w:szCs w:val="20"/>
                <w:color w:val="auto"/>
              </w:rPr>
            </w:pPr>
            <w:r>
              <w:rPr>
                <w:rFonts w:ascii="Arial" w:cs="Arial" w:eastAsia="Arial" w:hAnsi="Arial"/>
                <w:sz w:val="18"/>
                <w:szCs w:val="18"/>
                <w:color w:val="auto"/>
              </w:rPr>
              <w:t> </w:t>
            </w:r>
          </w:p>
        </w:tc>
        <w:tc>
          <w:tcPr>
            <w:tcW w:w="460" w:type="dxa"/>
            <w:vAlign w:val="bottom"/>
          </w:tcPr>
          <w:p>
            <w:pPr>
              <w:ind w:left="200"/>
              <w:spacing w:after="0"/>
              <w:rPr>
                <w:sz w:val="20"/>
                <w:szCs w:val="20"/>
                <w:color w:val="auto"/>
              </w:rPr>
            </w:pPr>
            <w:r>
              <w:rPr>
                <w:rFonts w:ascii="Arial" w:cs="Arial" w:eastAsia="Arial" w:hAnsi="Arial"/>
                <w:sz w:val="18"/>
                <w:szCs w:val="18"/>
                <w:color w:val="auto"/>
              </w:rPr>
              <w:t xml:space="preserve">  </w:t>
            </w:r>
          </w:p>
        </w:tc>
        <w:tc>
          <w:tcPr>
            <w:tcW w:w="8980" w:type="dxa"/>
            <w:vAlign w:val="bottom"/>
          </w:tcPr>
          <w:p>
            <w:pPr>
              <w:ind w:left="220"/>
              <w:spacing w:after="0"/>
              <w:rPr>
                <w:sz w:val="20"/>
                <w:szCs w:val="20"/>
                <w:color w:val="auto"/>
              </w:rPr>
            </w:pPr>
            <w:r>
              <w:rPr>
                <w:rFonts w:ascii="Arial" w:cs="Arial" w:eastAsia="Arial" w:hAnsi="Arial"/>
                <w:sz w:val="18"/>
                <w:szCs w:val="18"/>
                <w:color w:val="auto"/>
              </w:rPr>
              <w:t>Selection processes supported by effective tools and education</w:t>
            </w:r>
          </w:p>
        </w:tc>
        <w:tc>
          <w:tcPr>
            <w:tcW w:w="0" w:type="dxa"/>
            <w:vAlign w:val="bottom"/>
          </w:tcPr>
          <w:p>
            <w:pPr>
              <w:spacing w:after="0"/>
              <w:rPr>
                <w:sz w:val="1"/>
                <w:szCs w:val="1"/>
                <w:color w:val="auto"/>
              </w:rPr>
            </w:pPr>
          </w:p>
        </w:tc>
      </w:tr>
      <w:tr>
        <w:trPr>
          <w:trHeight w:val="50"/>
        </w:trPr>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26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8"/>
                <w:szCs w:val="18"/>
                <w:color w:val="auto"/>
                <w:w w:val="95"/>
              </w:rPr>
              <w:t xml:space="preserve">  </w:t>
            </w:r>
          </w:p>
        </w:tc>
        <w:tc>
          <w:tcPr>
            <w:tcW w:w="89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8"/>
                <w:szCs w:val="18"/>
                <w:color w:val="auto"/>
              </w:rPr>
              <w:t>Formal intern programs in partnership with top schools</w:t>
            </w:r>
          </w:p>
        </w:tc>
        <w:tc>
          <w:tcPr>
            <w:tcW w:w="0" w:type="dxa"/>
            <w:vAlign w:val="bottom"/>
          </w:tcPr>
          <w:p>
            <w:pPr>
              <w:spacing w:after="0"/>
              <w:rPr>
                <w:sz w:val="1"/>
                <w:szCs w:val="1"/>
                <w:color w:val="auto"/>
              </w:rPr>
            </w:pPr>
          </w:p>
        </w:tc>
      </w:tr>
      <w:tr>
        <w:trPr>
          <w:trHeight w:val="341"/>
        </w:trPr>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 </w:t>
            </w:r>
          </w:p>
        </w:tc>
        <w:tc>
          <w:tcPr>
            <w:tcW w:w="460" w:type="dxa"/>
            <w:vAlign w:val="bottom"/>
            <w:vMerge w:val="restart"/>
          </w:tcPr>
          <w:p>
            <w:pPr>
              <w:ind w:left="200"/>
              <w:spacing w:after="0"/>
              <w:rPr>
                <w:sz w:val="20"/>
                <w:szCs w:val="20"/>
                <w:color w:val="auto"/>
              </w:rPr>
            </w:pPr>
            <w:r>
              <w:rPr>
                <w:rFonts w:ascii="Arial" w:cs="Arial" w:eastAsia="Arial" w:hAnsi="Arial"/>
                <w:sz w:val="18"/>
                <w:szCs w:val="18"/>
                <w:color w:val="auto"/>
              </w:rPr>
              <w:t xml:space="preserve">  </w:t>
            </w:r>
          </w:p>
        </w:tc>
        <w:tc>
          <w:tcPr>
            <w:tcW w:w="8980" w:type="dxa"/>
            <w:vAlign w:val="bottom"/>
          </w:tcPr>
          <w:p>
            <w:pPr>
              <w:ind w:left="220"/>
              <w:spacing w:after="0"/>
              <w:rPr>
                <w:sz w:val="20"/>
                <w:szCs w:val="20"/>
                <w:color w:val="auto"/>
              </w:rPr>
            </w:pPr>
            <w:r>
              <w:rPr>
                <w:rFonts w:ascii="Arial" w:cs="Arial" w:eastAsia="Arial" w:hAnsi="Arial"/>
                <w:sz w:val="18"/>
                <w:szCs w:val="18"/>
                <w:color w:val="auto"/>
              </w:rPr>
              <w:t>Structured performance management system with behavioral rubrics</w:t>
            </w:r>
          </w:p>
        </w:tc>
        <w:tc>
          <w:tcPr>
            <w:tcW w:w="0" w:type="dxa"/>
            <w:vAlign w:val="bottom"/>
          </w:tcPr>
          <w:p>
            <w:pPr>
              <w:spacing w:after="0"/>
              <w:rPr>
                <w:sz w:val="1"/>
                <w:szCs w:val="1"/>
                <w:color w:val="auto"/>
              </w:rPr>
            </w:pPr>
          </w:p>
        </w:tc>
      </w:tr>
      <w:tr>
        <w:trPr>
          <w:trHeight w:val="68"/>
        </w:trPr>
        <w:tc>
          <w:tcPr>
            <w:tcW w:w="26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6"/>
        </w:trPr>
        <w:tc>
          <w:tcPr>
            <w:tcW w:w="26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8"/>
                <w:szCs w:val="18"/>
                <w:color w:val="auto"/>
                <w:w w:val="95"/>
              </w:rPr>
              <w:t xml:space="preserve">  </w:t>
            </w:r>
          </w:p>
        </w:tc>
        <w:tc>
          <w:tcPr>
            <w:tcW w:w="89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8"/>
                <w:szCs w:val="18"/>
                <w:color w:val="auto"/>
              </w:rPr>
              <w:t>Semi-annual, centralized promotion and reward cycles</w:t>
            </w:r>
          </w:p>
        </w:tc>
        <w:tc>
          <w:tcPr>
            <w:tcW w:w="0" w:type="dxa"/>
            <w:vAlign w:val="bottom"/>
          </w:tcPr>
          <w:p>
            <w:pPr>
              <w:spacing w:after="0"/>
              <w:rPr>
                <w:sz w:val="1"/>
                <w:szCs w:val="1"/>
                <w:color w:val="auto"/>
              </w:rPr>
            </w:pPr>
          </w:p>
        </w:tc>
      </w:tr>
      <w:tr>
        <w:trPr>
          <w:trHeight w:val="409"/>
        </w:trPr>
        <w:tc>
          <w:tcPr>
            <w:tcW w:w="260" w:type="dxa"/>
            <w:vAlign w:val="bottom"/>
          </w:tcPr>
          <w:p>
            <w:pPr>
              <w:ind w:left="20"/>
              <w:spacing w:after="0"/>
              <w:rPr>
                <w:sz w:val="20"/>
                <w:szCs w:val="20"/>
                <w:color w:val="auto"/>
              </w:rPr>
            </w:pPr>
            <w:r>
              <w:rPr>
                <w:rFonts w:ascii="Arial" w:cs="Arial" w:eastAsia="Arial" w:hAnsi="Arial"/>
                <w:sz w:val="18"/>
                <w:szCs w:val="18"/>
                <w:color w:val="auto"/>
              </w:rPr>
              <w:t> </w:t>
            </w:r>
          </w:p>
        </w:tc>
        <w:tc>
          <w:tcPr>
            <w:tcW w:w="460" w:type="dxa"/>
            <w:vAlign w:val="bottom"/>
          </w:tcPr>
          <w:p>
            <w:pPr>
              <w:ind w:left="200"/>
              <w:spacing w:after="0"/>
              <w:rPr>
                <w:sz w:val="20"/>
                <w:szCs w:val="20"/>
                <w:color w:val="auto"/>
              </w:rPr>
            </w:pPr>
            <w:r>
              <w:rPr>
                <w:rFonts w:ascii="Arial" w:cs="Arial" w:eastAsia="Arial" w:hAnsi="Arial"/>
                <w:sz w:val="18"/>
                <w:szCs w:val="18"/>
                <w:color w:val="auto"/>
              </w:rPr>
              <w:t xml:space="preserve">  </w:t>
            </w:r>
          </w:p>
        </w:tc>
        <w:tc>
          <w:tcPr>
            <w:tcW w:w="8980" w:type="dxa"/>
            <w:vAlign w:val="bottom"/>
          </w:tcPr>
          <w:p>
            <w:pPr>
              <w:ind w:left="220"/>
              <w:spacing w:after="0"/>
              <w:rPr>
                <w:sz w:val="20"/>
                <w:szCs w:val="20"/>
                <w:color w:val="auto"/>
              </w:rPr>
            </w:pPr>
            <w:r>
              <w:rPr>
                <w:rFonts w:ascii="Arial" w:cs="Arial" w:eastAsia="Arial" w:hAnsi="Arial"/>
                <w:sz w:val="18"/>
                <w:szCs w:val="18"/>
                <w:color w:val="auto"/>
              </w:rPr>
              <w:t>Employee Stock Purchase Plan with discount and look-back features</w:t>
            </w:r>
          </w:p>
        </w:tc>
        <w:tc>
          <w:tcPr>
            <w:tcW w:w="0" w:type="dxa"/>
            <w:vAlign w:val="bottom"/>
          </w:tcPr>
          <w:p>
            <w:pPr>
              <w:spacing w:after="0"/>
              <w:rPr>
                <w:sz w:val="1"/>
                <w:szCs w:val="1"/>
                <w:color w:val="auto"/>
              </w:rPr>
            </w:pPr>
          </w:p>
        </w:tc>
      </w:tr>
      <w:tr>
        <w:trPr>
          <w:trHeight w:val="50"/>
        </w:trPr>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26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8"/>
                <w:szCs w:val="18"/>
                <w:color w:val="auto"/>
                <w:w w:val="95"/>
              </w:rPr>
              <w:t xml:space="preserve">  </w:t>
            </w:r>
          </w:p>
        </w:tc>
        <w:tc>
          <w:tcPr>
            <w:tcW w:w="89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8"/>
                <w:szCs w:val="18"/>
                <w:color w:val="auto"/>
              </w:rPr>
              <w:t>Clear career paths for both technical and managerial roles</w:t>
            </w:r>
          </w:p>
        </w:tc>
        <w:tc>
          <w:tcPr>
            <w:tcW w:w="0" w:type="dxa"/>
            <w:vAlign w:val="bottom"/>
          </w:tcPr>
          <w:p>
            <w:pPr>
              <w:spacing w:after="0"/>
              <w:rPr>
                <w:sz w:val="1"/>
                <w:szCs w:val="1"/>
                <w:color w:val="auto"/>
              </w:rPr>
            </w:pPr>
          </w:p>
        </w:tc>
      </w:tr>
      <w:tr>
        <w:trPr>
          <w:trHeight w:val="341"/>
        </w:trPr>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 </w:t>
            </w:r>
          </w:p>
        </w:tc>
        <w:tc>
          <w:tcPr>
            <w:tcW w:w="460" w:type="dxa"/>
            <w:vAlign w:val="bottom"/>
            <w:vMerge w:val="restart"/>
          </w:tcPr>
          <w:p>
            <w:pPr>
              <w:ind w:left="200"/>
              <w:spacing w:after="0"/>
              <w:rPr>
                <w:sz w:val="20"/>
                <w:szCs w:val="20"/>
                <w:color w:val="auto"/>
              </w:rPr>
            </w:pPr>
            <w:r>
              <w:rPr>
                <w:rFonts w:ascii="Arial" w:cs="Arial" w:eastAsia="Arial" w:hAnsi="Arial"/>
                <w:sz w:val="18"/>
                <w:szCs w:val="18"/>
                <w:color w:val="auto"/>
              </w:rPr>
              <w:t xml:space="preserve">  </w:t>
            </w:r>
          </w:p>
        </w:tc>
        <w:tc>
          <w:tcPr>
            <w:tcW w:w="8980" w:type="dxa"/>
            <w:vAlign w:val="bottom"/>
          </w:tcPr>
          <w:p>
            <w:pPr>
              <w:ind w:left="220"/>
              <w:spacing w:after="0"/>
              <w:rPr>
                <w:sz w:val="20"/>
                <w:szCs w:val="20"/>
                <w:color w:val="auto"/>
              </w:rPr>
            </w:pPr>
            <w:r>
              <w:rPr>
                <w:rFonts w:ascii="Arial" w:cs="Arial" w:eastAsia="Arial" w:hAnsi="Arial"/>
                <w:sz w:val="18"/>
                <w:szCs w:val="18"/>
                <w:color w:val="auto"/>
              </w:rPr>
              <w:t>Competitive health, welfare, and retirement benefit programs</w:t>
            </w:r>
          </w:p>
        </w:tc>
        <w:tc>
          <w:tcPr>
            <w:tcW w:w="0" w:type="dxa"/>
            <w:vAlign w:val="bottom"/>
          </w:tcPr>
          <w:p>
            <w:pPr>
              <w:spacing w:after="0"/>
              <w:rPr>
                <w:sz w:val="1"/>
                <w:szCs w:val="1"/>
                <w:color w:val="auto"/>
              </w:rPr>
            </w:pPr>
          </w:p>
        </w:tc>
      </w:tr>
      <w:tr>
        <w:trPr>
          <w:trHeight w:val="68"/>
        </w:trPr>
        <w:tc>
          <w:tcPr>
            <w:tcW w:w="26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6"/>
        </w:trPr>
        <w:tc>
          <w:tcPr>
            <w:tcW w:w="26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8"/>
                <w:szCs w:val="18"/>
                <w:color w:val="auto"/>
                <w:w w:val="95"/>
              </w:rPr>
              <w:t xml:space="preserve">  </w:t>
            </w:r>
          </w:p>
        </w:tc>
        <w:tc>
          <w:tcPr>
            <w:tcW w:w="89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8"/>
                <w:szCs w:val="18"/>
                <w:color w:val="auto"/>
              </w:rPr>
              <w:t>Formal wellness program including education and cash stipends</w:t>
            </w:r>
          </w:p>
        </w:tc>
        <w:tc>
          <w:tcPr>
            <w:tcW w:w="0" w:type="dxa"/>
            <w:vAlign w:val="bottom"/>
          </w:tcPr>
          <w:p>
            <w:pPr>
              <w:spacing w:after="0"/>
              <w:rPr>
                <w:sz w:val="1"/>
                <w:szCs w:val="1"/>
                <w:color w:val="auto"/>
              </w:rPr>
            </w:pPr>
          </w:p>
        </w:tc>
      </w:tr>
      <w:tr>
        <w:trPr>
          <w:trHeight w:val="409"/>
        </w:trPr>
        <w:tc>
          <w:tcPr>
            <w:tcW w:w="260" w:type="dxa"/>
            <w:vAlign w:val="bottom"/>
          </w:tcPr>
          <w:p>
            <w:pPr>
              <w:ind w:left="20"/>
              <w:spacing w:after="0"/>
              <w:rPr>
                <w:sz w:val="20"/>
                <w:szCs w:val="20"/>
                <w:color w:val="auto"/>
              </w:rPr>
            </w:pPr>
            <w:r>
              <w:rPr>
                <w:rFonts w:ascii="Arial" w:cs="Arial" w:eastAsia="Arial" w:hAnsi="Arial"/>
                <w:sz w:val="18"/>
                <w:szCs w:val="18"/>
                <w:color w:val="auto"/>
              </w:rPr>
              <w:t> </w:t>
            </w:r>
          </w:p>
        </w:tc>
        <w:tc>
          <w:tcPr>
            <w:tcW w:w="460" w:type="dxa"/>
            <w:vAlign w:val="bottom"/>
          </w:tcPr>
          <w:p>
            <w:pPr>
              <w:ind w:left="200"/>
              <w:spacing w:after="0"/>
              <w:rPr>
                <w:sz w:val="20"/>
                <w:szCs w:val="20"/>
                <w:color w:val="auto"/>
              </w:rPr>
            </w:pPr>
            <w:r>
              <w:rPr>
                <w:rFonts w:ascii="Arial" w:cs="Arial" w:eastAsia="Arial" w:hAnsi="Arial"/>
                <w:sz w:val="18"/>
                <w:szCs w:val="18"/>
                <w:color w:val="auto"/>
              </w:rPr>
              <w:t xml:space="preserve">  </w:t>
            </w:r>
          </w:p>
        </w:tc>
        <w:tc>
          <w:tcPr>
            <w:tcW w:w="8980" w:type="dxa"/>
            <w:vAlign w:val="bottom"/>
          </w:tcPr>
          <w:p>
            <w:pPr>
              <w:ind w:left="220"/>
              <w:spacing w:after="0"/>
              <w:rPr>
                <w:sz w:val="20"/>
                <w:szCs w:val="20"/>
                <w:color w:val="auto"/>
              </w:rPr>
            </w:pPr>
            <w:r>
              <w:rPr>
                <w:rFonts w:ascii="Arial" w:cs="Arial" w:eastAsia="Arial" w:hAnsi="Arial"/>
                <w:sz w:val="18"/>
                <w:szCs w:val="18"/>
                <w:color w:val="auto"/>
              </w:rPr>
              <w:t>Paid parental leave policies</w:t>
            </w:r>
          </w:p>
        </w:tc>
        <w:tc>
          <w:tcPr>
            <w:tcW w:w="0" w:type="dxa"/>
            <w:vAlign w:val="bottom"/>
          </w:tcPr>
          <w:p>
            <w:pPr>
              <w:spacing w:after="0"/>
              <w:rPr>
                <w:sz w:val="1"/>
                <w:szCs w:val="1"/>
                <w:color w:val="auto"/>
              </w:rPr>
            </w:pPr>
          </w:p>
        </w:tc>
      </w:tr>
      <w:tr>
        <w:trPr>
          <w:trHeight w:val="50"/>
        </w:trPr>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26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8"/>
                <w:szCs w:val="18"/>
                <w:color w:val="auto"/>
                <w:w w:val="95"/>
              </w:rPr>
              <w:t xml:space="preserve">  </w:t>
            </w:r>
          </w:p>
        </w:tc>
        <w:tc>
          <w:tcPr>
            <w:tcW w:w="89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8"/>
                <w:szCs w:val="18"/>
                <w:color w:val="auto"/>
              </w:rPr>
              <w:t>Family building and childcare reimbursement benefits</w:t>
            </w:r>
          </w:p>
        </w:tc>
        <w:tc>
          <w:tcPr>
            <w:tcW w:w="0" w:type="dxa"/>
            <w:vAlign w:val="bottom"/>
          </w:tcPr>
          <w:p>
            <w:pPr>
              <w:spacing w:after="0"/>
              <w:rPr>
                <w:sz w:val="1"/>
                <w:szCs w:val="1"/>
                <w:color w:val="auto"/>
              </w:rPr>
            </w:pPr>
          </w:p>
        </w:tc>
      </w:tr>
      <w:tr>
        <w:trPr>
          <w:trHeight w:val="409"/>
        </w:trPr>
        <w:tc>
          <w:tcPr>
            <w:tcW w:w="260" w:type="dxa"/>
            <w:vAlign w:val="bottom"/>
          </w:tcPr>
          <w:p>
            <w:pPr>
              <w:ind w:left="20"/>
              <w:spacing w:after="0"/>
              <w:rPr>
                <w:sz w:val="20"/>
                <w:szCs w:val="20"/>
                <w:color w:val="auto"/>
              </w:rPr>
            </w:pPr>
            <w:r>
              <w:rPr>
                <w:rFonts w:ascii="Arial" w:cs="Arial" w:eastAsia="Arial" w:hAnsi="Arial"/>
                <w:sz w:val="18"/>
                <w:szCs w:val="18"/>
                <w:color w:val="auto"/>
              </w:rPr>
              <w:t> </w:t>
            </w:r>
          </w:p>
        </w:tc>
        <w:tc>
          <w:tcPr>
            <w:tcW w:w="460" w:type="dxa"/>
            <w:vAlign w:val="bottom"/>
          </w:tcPr>
          <w:p>
            <w:pPr>
              <w:ind w:left="200"/>
              <w:spacing w:after="0"/>
              <w:rPr>
                <w:sz w:val="20"/>
                <w:szCs w:val="20"/>
                <w:color w:val="auto"/>
              </w:rPr>
            </w:pPr>
            <w:r>
              <w:rPr>
                <w:rFonts w:ascii="Arial" w:cs="Arial" w:eastAsia="Arial" w:hAnsi="Arial"/>
                <w:sz w:val="18"/>
                <w:szCs w:val="18"/>
                <w:color w:val="auto"/>
              </w:rPr>
              <w:t xml:space="preserve">  </w:t>
            </w:r>
          </w:p>
        </w:tc>
        <w:tc>
          <w:tcPr>
            <w:tcW w:w="8980" w:type="dxa"/>
            <w:vAlign w:val="bottom"/>
          </w:tcPr>
          <w:p>
            <w:pPr>
              <w:ind w:left="220"/>
              <w:spacing w:after="0"/>
              <w:rPr>
                <w:sz w:val="20"/>
                <w:szCs w:val="20"/>
                <w:color w:val="auto"/>
              </w:rPr>
            </w:pPr>
            <w:r>
              <w:rPr>
                <w:rFonts w:ascii="Arial" w:cs="Arial" w:eastAsia="Arial" w:hAnsi="Arial"/>
                <w:sz w:val="18"/>
                <w:szCs w:val="18"/>
                <w:color w:val="auto"/>
              </w:rPr>
              <w:t>Safe, healthy, and ergonomically-driven work environments</w:t>
            </w:r>
          </w:p>
        </w:tc>
        <w:tc>
          <w:tcPr>
            <w:tcW w:w="0" w:type="dxa"/>
            <w:vAlign w:val="bottom"/>
          </w:tcPr>
          <w:p>
            <w:pPr>
              <w:spacing w:after="0"/>
              <w:rPr>
                <w:sz w:val="1"/>
                <w:szCs w:val="1"/>
                <w:color w:val="auto"/>
              </w:rPr>
            </w:pPr>
          </w:p>
        </w:tc>
      </w:tr>
      <w:tr>
        <w:trPr>
          <w:trHeight w:val="50"/>
        </w:trPr>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6"/>
        </w:trPr>
        <w:tc>
          <w:tcPr>
            <w:tcW w:w="260" w:type="dxa"/>
            <w:vAlign w:val="bottom"/>
            <w:shd w:val="clear" w:color="auto" w:fill="F2F2F2"/>
          </w:tcPr>
          <w:p>
            <w:pPr>
              <w:spacing w:after="0"/>
              <w:rPr>
                <w:sz w:val="20"/>
                <w:szCs w:val="20"/>
                <w:color w:val="auto"/>
              </w:rPr>
            </w:pPr>
            <w:r>
              <w:rPr>
                <w:rFonts w:ascii="Arial" w:cs="Arial" w:eastAsia="Arial" w:hAnsi="Arial"/>
                <w:sz w:val="18"/>
                <w:szCs w:val="18"/>
                <w:color w:val="auto"/>
              </w:rPr>
              <w:t> </w:t>
            </w:r>
          </w:p>
        </w:tc>
        <w:tc>
          <w:tcPr>
            <w:tcW w:w="460" w:type="dxa"/>
            <w:vAlign w:val="bottom"/>
            <w:shd w:val="clear" w:color="auto" w:fill="F2F2F2"/>
          </w:tcPr>
          <w:p>
            <w:pPr>
              <w:ind w:left="220"/>
              <w:spacing w:after="0"/>
              <w:rPr>
                <w:sz w:val="20"/>
                <w:szCs w:val="20"/>
                <w:color w:val="auto"/>
              </w:rPr>
            </w:pPr>
            <w:r>
              <w:rPr>
                <w:rFonts w:ascii="Arial" w:cs="Arial" w:eastAsia="Arial" w:hAnsi="Arial"/>
                <w:sz w:val="18"/>
                <w:szCs w:val="18"/>
                <w:color w:val="auto"/>
                <w:w w:val="95"/>
              </w:rPr>
              <w:t xml:space="preserve">  </w:t>
            </w:r>
          </w:p>
        </w:tc>
        <w:tc>
          <w:tcPr>
            <w:tcW w:w="8980" w:type="dxa"/>
            <w:vAlign w:val="bottom"/>
            <w:shd w:val="clear" w:color="auto" w:fill="F2F2F2"/>
          </w:tcPr>
          <w:p>
            <w:pPr>
              <w:ind w:left="220"/>
              <w:spacing w:after="0"/>
              <w:rPr>
                <w:sz w:val="20"/>
                <w:szCs w:val="20"/>
                <w:color w:val="auto"/>
              </w:rPr>
            </w:pPr>
            <w:r>
              <w:rPr>
                <w:rFonts w:ascii="Arial" w:cs="Arial" w:eastAsia="Arial" w:hAnsi="Arial"/>
                <w:sz w:val="18"/>
                <w:szCs w:val="18"/>
                <w:color w:val="auto"/>
              </w:rPr>
              <w:t>Pre-employment background screening for employees and contingent workers</w:t>
            </w:r>
          </w:p>
        </w:tc>
        <w:tc>
          <w:tcPr>
            <w:tcW w:w="0" w:type="dxa"/>
            <w:vAlign w:val="bottom"/>
          </w:tcPr>
          <w:p>
            <w:pPr>
              <w:spacing w:after="0"/>
              <w:rPr>
                <w:sz w:val="1"/>
                <w:szCs w:val="1"/>
                <w:color w:val="auto"/>
              </w:rPr>
            </w:pPr>
          </w:p>
        </w:tc>
      </w:tr>
      <w:tr>
        <w:trPr>
          <w:trHeight w:val="50"/>
        </w:trPr>
        <w:tc>
          <w:tcPr>
            <w:tcW w:w="260" w:type="dxa"/>
            <w:vAlign w:val="bottom"/>
            <w:shd w:val="clear" w:color="auto" w:fill="F2F2F2"/>
          </w:tcPr>
          <w:p>
            <w:pPr>
              <w:spacing w:after="0"/>
              <w:rPr>
                <w:sz w:val="4"/>
                <w:szCs w:val="4"/>
                <w:color w:val="auto"/>
              </w:rPr>
            </w:pPr>
          </w:p>
        </w:tc>
        <w:tc>
          <w:tcPr>
            <w:tcW w:w="460" w:type="dxa"/>
            <w:vAlign w:val="bottom"/>
            <w:shd w:val="clear" w:color="auto" w:fill="F2F2F2"/>
          </w:tcPr>
          <w:p>
            <w:pPr>
              <w:spacing w:after="0"/>
              <w:rPr>
                <w:sz w:val="4"/>
                <w:szCs w:val="4"/>
                <w:color w:val="auto"/>
              </w:rPr>
            </w:pPr>
          </w:p>
        </w:tc>
        <w:tc>
          <w:tcPr>
            <w:tcW w:w="898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-6180455</wp:posOffset>
            </wp:positionV>
            <wp:extent cx="16256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2560"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-5871845</wp:posOffset>
            </wp:positionV>
            <wp:extent cx="145415"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-5580380</wp:posOffset>
            </wp:positionV>
            <wp:extent cx="16256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62560"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-5271770</wp:posOffset>
            </wp:positionV>
            <wp:extent cx="145415"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-4988560</wp:posOffset>
            </wp:positionV>
            <wp:extent cx="16256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2560"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-4679950</wp:posOffset>
            </wp:positionV>
            <wp:extent cx="145415"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-4397375</wp:posOffset>
            </wp:positionV>
            <wp:extent cx="16256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2560"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-4088765</wp:posOffset>
            </wp:positionV>
            <wp:extent cx="145415"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-3805555</wp:posOffset>
            </wp:positionV>
            <wp:extent cx="16256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62560"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-3496945</wp:posOffset>
            </wp:positionV>
            <wp:extent cx="145415"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-3205480</wp:posOffset>
            </wp:positionV>
            <wp:extent cx="16256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2560"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-2896870</wp:posOffset>
            </wp:positionV>
            <wp:extent cx="145415"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-2614295</wp:posOffset>
            </wp:positionV>
            <wp:extent cx="16256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62560"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-2305685</wp:posOffset>
            </wp:positionV>
            <wp:extent cx="145415"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-2014220</wp:posOffset>
            </wp:positionV>
            <wp:extent cx="16256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2560"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-1705610</wp:posOffset>
            </wp:positionV>
            <wp:extent cx="145415"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-1422400</wp:posOffset>
            </wp:positionV>
            <wp:extent cx="16256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62560"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-1113790</wp:posOffset>
            </wp:positionV>
            <wp:extent cx="145415"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-822325</wp:posOffset>
            </wp:positionV>
            <wp:extent cx="16256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2560"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-513715</wp:posOffset>
            </wp:positionV>
            <wp:extent cx="145415"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-222250</wp:posOffset>
            </wp:positionV>
            <wp:extent cx="16256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2560" cy="154305"/>
                    </a:xfrm>
                    <a:prstGeom prst="rect">
                      <a:avLst/>
                    </a:prstGeom>
                    <a:noFill/>
                  </pic:spPr>
                </pic:pic>
              </a:graphicData>
            </a:graphic>
          </wp:anchor>
        </w:drawing>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Our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-120015</wp:posOffset>
            </wp:positionV>
            <wp:extent cx="240030" cy="1968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0030" cy="196850"/>
                    </a:xfrm>
                    <a:prstGeom prst="rect">
                      <a:avLst/>
                    </a:prstGeom>
                    <a:noFill/>
                  </pic:spPr>
                </pic:pic>
              </a:graphicData>
            </a:graphic>
          </wp:anchor>
        </w:drawing>
      </w:r>
    </w:p>
    <w:p>
      <w:pPr>
        <w:spacing w:after="0" w:line="217"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As of September 30, 2025, we employed 3,811 persons across 28 countries. Of these, our largest representation included 1,335 (35%) based in the U.S., 1,506 (40%) based in India and 271 (7%) based in the U.K. Other than to the extent mandated by applicable law in certain foreign jurisdictions, none of our employees are covered by a collective bargaining agreement, and no work stoppages were experienced during fiscal 2025.</w:t>
      </w:r>
    </w:p>
    <w:p>
      <w:pPr>
        <w:spacing w:after="0" w:line="66" w:lineRule="exact"/>
        <w:rPr>
          <w:sz w:val="20"/>
          <w:szCs w:val="20"/>
          <w:color w:val="auto"/>
        </w:rPr>
      </w:pPr>
    </w:p>
    <w:p>
      <w:pPr>
        <w:jc w:val="both"/>
        <w:ind w:left="120" w:firstLine="551"/>
        <w:spacing w:after="0" w:line="244" w:lineRule="auto"/>
        <w:rPr>
          <w:sz w:val="20"/>
          <w:szCs w:val="20"/>
          <w:color w:val="auto"/>
        </w:rPr>
      </w:pPr>
      <w:r>
        <w:rPr>
          <w:rFonts w:ascii="Arial" w:cs="Arial" w:eastAsia="Arial" w:hAnsi="Arial"/>
          <w:sz w:val="18"/>
          <w:szCs w:val="18"/>
          <w:color w:val="auto"/>
        </w:rPr>
        <w:t>Our Board of Directors and executive leadership team believe that our people are vital to our success. The LDCC oversees all human capital management policies, programs, and strategies, including but not limited to those regarding talent recruitment, development, retention, succession planning, health and safety, organizational culture, employee engagement, diversity, and compensation and benefit programs. In addition, our Chief Human Resources Officer reports to our Board periodically on people-focused programs.</w:t>
      </w:r>
    </w:p>
    <w:p>
      <w:pPr>
        <w:spacing w:after="0" w:line="68" w:lineRule="exact"/>
        <w:rPr>
          <w:sz w:val="20"/>
          <w:szCs w:val="20"/>
          <w:color w:val="auto"/>
        </w:rPr>
      </w:pPr>
    </w:p>
    <w:p>
      <w:pPr>
        <w:jc w:val="both"/>
        <w:ind w:left="120" w:firstLine="551"/>
        <w:spacing w:after="0" w:line="271" w:lineRule="auto"/>
        <w:rPr>
          <w:sz w:val="20"/>
          <w:szCs w:val="20"/>
          <w:color w:val="auto"/>
        </w:rPr>
      </w:pPr>
      <w:r>
        <w:rPr>
          <w:rFonts w:ascii="Arial" w:cs="Arial" w:eastAsia="Arial" w:hAnsi="Arial"/>
          <w:sz w:val="18"/>
          <w:szCs w:val="18"/>
          <w:color w:val="auto"/>
        </w:rPr>
        <w:t>Three Core Values define our culture and serve to guide behavior and decision-making across our business: Act Like an Owner, Delight Our Customers and Earn the Respect of Others. Our selection process for new talent includes</w:t>
      </w:r>
    </w:p>
    <w:p>
      <w:pPr>
        <w:sectPr>
          <w:pgSz w:w="11900" w:h="16838" w:orient="portrait"/>
          <w:cols w:equalWidth="0" w:num="1">
            <w:col w:w="11140"/>
          </w:cols>
          <w:pgMar w:left="320" w:top="482" w:right="439" w:bottom="0" w:gutter="0" w:footer="0" w:header="0"/>
        </w:sectPr>
      </w:pPr>
    </w:p>
    <w:bookmarkStart w:id="31" w:name="page32"/>
    <w:bookmarkEnd w:id="31"/>
    <w:p>
      <w:pPr>
        <w:ind w:left="576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25</w:t>
      </w:r>
    </w:p>
    <w:p>
      <w:pPr>
        <w:sectPr>
          <w:pgSz w:w="11900" w:h="16838" w:orient="portrait"/>
          <w:cols w:equalWidth="0" w:num="1">
            <w:col w:w="10020"/>
          </w:cols>
          <w:pgMar w:left="1440" w:top="121"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0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Proxy</w:t>
            </w:r>
          </w:p>
        </w:tc>
        <w:tc>
          <w:tcPr>
            <w:tcW w:w="11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22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Corporate</w:t>
            </w:r>
          </w:p>
        </w:tc>
        <w:tc>
          <w:tcPr>
            <w:tcW w:w="1520" w:type="dxa"/>
            <w:vAlign w:val="bottom"/>
            <w:shd w:val="clear" w:color="auto" w:fill="F2F2F2"/>
          </w:tcPr>
          <w:p>
            <w:pPr>
              <w:ind w:left="18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00" w:type="dxa"/>
            <w:vAlign w:val="bottom"/>
            <w:shd w:val="clear" w:color="auto" w:fill="F2F2F2"/>
          </w:tcPr>
          <w:p>
            <w:pPr>
              <w:ind w:left="620"/>
              <w:spacing w:after="0" w:line="202" w:lineRule="exact"/>
              <w:rPr>
                <w:sz w:val="20"/>
                <w:szCs w:val="20"/>
                <w:color w:val="auto"/>
              </w:rPr>
            </w:pPr>
            <w:r>
              <w:rPr>
                <w:rFonts w:ascii="Arial" w:cs="Arial" w:eastAsia="Arial" w:hAnsi="Arial"/>
                <w:sz w:val="18"/>
                <w:szCs w:val="18"/>
                <w:color w:val="auto"/>
                <w:w w:val="98"/>
              </w:rPr>
              <w:t>Summary</w:t>
            </w:r>
          </w:p>
        </w:tc>
        <w:tc>
          <w:tcPr>
            <w:tcW w:w="118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22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Governance</w:t>
            </w:r>
          </w:p>
        </w:tc>
        <w:tc>
          <w:tcPr>
            <w:tcW w:w="152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00" w:type="dxa"/>
            <w:vAlign w:val="bottom"/>
            <w:shd w:val="clear" w:color="auto" w:fill="F2F2F2"/>
          </w:tcPr>
          <w:p>
            <w:pPr>
              <w:spacing w:after="0"/>
              <w:rPr>
                <w:sz w:val="16"/>
                <w:szCs w:val="16"/>
                <w:color w:val="auto"/>
              </w:rPr>
            </w:pPr>
          </w:p>
        </w:tc>
        <w:tc>
          <w:tcPr>
            <w:tcW w:w="1180" w:type="dxa"/>
            <w:vAlign w:val="bottom"/>
            <w:shd w:val="clear" w:color="auto" w:fill="F2F2F2"/>
          </w:tcPr>
          <w:p>
            <w:pPr>
              <w:spacing w:after="0"/>
              <w:rPr>
                <w:sz w:val="16"/>
                <w:szCs w:val="16"/>
                <w:color w:val="auto"/>
              </w:rPr>
            </w:pPr>
          </w:p>
        </w:tc>
        <w:tc>
          <w:tcPr>
            <w:tcW w:w="122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520" w:type="dxa"/>
            <w:vAlign w:val="bottom"/>
            <w:shd w:val="clear" w:color="auto" w:fill="F2F2F2"/>
          </w:tcPr>
          <w:p>
            <w:pPr>
              <w:spacing w:after="0"/>
              <w:rPr>
                <w:sz w:val="16"/>
                <w:szCs w:val="16"/>
                <w:color w:val="auto"/>
              </w:rPr>
            </w:pP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00" w:type="dxa"/>
            <w:vAlign w:val="bottom"/>
            <w:tcBorders>
              <w:top w:val="single" w:sz="8" w:color="F2F2F2"/>
            </w:tcBorders>
            <w:shd w:val="clear" w:color="auto" w:fill="F2F2F2"/>
          </w:tcPr>
          <w:p>
            <w:pPr>
              <w:spacing w:after="0"/>
              <w:rPr>
                <w:sz w:val="2"/>
                <w:szCs w:val="2"/>
                <w:color w:val="auto"/>
              </w:rPr>
            </w:pPr>
          </w:p>
        </w:tc>
        <w:tc>
          <w:tcPr>
            <w:tcW w:w="118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400" w:type="dxa"/>
            <w:vAlign w:val="bottom"/>
            <w:tcBorders>
              <w:top w:val="single" w:sz="8" w:color="F2F2F2"/>
            </w:tcBorders>
            <w:shd w:val="clear" w:color="auto" w:fill="F2F2F2"/>
          </w:tcPr>
          <w:p>
            <w:pPr>
              <w:spacing w:after="0"/>
              <w:rPr>
                <w:sz w:val="2"/>
                <w:szCs w:val="2"/>
                <w:color w:val="auto"/>
              </w:rPr>
            </w:pPr>
          </w:p>
        </w:tc>
        <w:tc>
          <w:tcPr>
            <w:tcW w:w="15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an evaluation against these values. Each new hire receives a personal welcome memo from the Chief Executive Officer reinforcing these values. In addition, we conduct recurring education sessions for both people managers and individual contributors targeting values-based behaviors. Finally, the performance of each employee is formally evaluated annually against values-based expectations captured in a behaviorally anchored “rubric.”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240030" cy="2482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40030" cy="248285"/>
                    </a:xfrm>
                    <a:prstGeom prst="rect">
                      <a:avLst/>
                    </a:prstGeom>
                    <a:noFill/>
                  </pic:spPr>
                </pic:pic>
              </a:graphicData>
            </a:graphic>
          </wp:anchor>
        </w:drawing>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Employee Engagement</w:t>
      </w:r>
    </w:p>
    <w:p>
      <w:pPr>
        <w:spacing w:after="0" w:line="250"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Unlocking the full potential of each individual by gaining their emotional commitment to help drive both personal and company success is an important priority. The resulting discretionary effort provides a powerful force for positive organizational change and ownership. We refer to this as “engagement” and, for the past decade, we have conducted quarterly workforce surveys to measure employee engagement and gain feedback and insights from our people about ways to improve the employee experience and the effectiveness of our business operations. Detailed findings from these surveys are promptly communicated to all employees, individual managers, the executive team, and our Board, and the findings are leveraged to drive positive organizational change. We involve designated human resources business partners and learning consultants who work with senior leaders to explore findings, identify high value actions, and amplify messaging to help our people understand how survey participation can connect to positive change.</w:t>
      </w:r>
    </w:p>
    <w:p>
      <w:pPr>
        <w:spacing w:after="0" w:line="72" w:lineRule="exact"/>
        <w:rPr>
          <w:sz w:val="20"/>
          <w:szCs w:val="20"/>
          <w:color w:val="auto"/>
        </w:rPr>
      </w:pPr>
    </w:p>
    <w:p>
      <w:pPr>
        <w:jc w:val="both"/>
        <w:ind w:left="120" w:right="20" w:firstLine="551"/>
        <w:spacing w:after="0" w:line="242" w:lineRule="auto"/>
        <w:rPr>
          <w:sz w:val="20"/>
          <w:szCs w:val="20"/>
          <w:color w:val="auto"/>
        </w:rPr>
      </w:pPr>
      <w:r>
        <w:rPr>
          <w:rFonts w:ascii="Arial" w:cs="Arial" w:eastAsia="Arial" w:hAnsi="Arial"/>
          <w:sz w:val="18"/>
          <w:szCs w:val="18"/>
          <w:color w:val="auto"/>
        </w:rPr>
        <w:t>Examples of organizational changes that have been driven by the insights from these surveys include investments in expanded workforce capacity, broadened and more frequent company-wide communications, increased employee stock ownership by significantly expanding the use of equity-based awards and encouraging all employees to take advantage of our Employee Stock Purchase Plan, expanded benefit programs including paid parental leave, well-being, family building, childcare reimbursement, and company-funded transportation programs, enhanced incentive plan funding, and expanded investments in professional development targeting leadership and technical skills, as well as initiatives to promote a culture where all employees feel welcome at work.</w:t>
      </w:r>
    </w:p>
    <w:p>
      <w:pPr>
        <w:spacing w:after="0" w:line="71" w:lineRule="exact"/>
        <w:rPr>
          <w:sz w:val="20"/>
          <w:szCs w:val="20"/>
          <w:color w:val="auto"/>
        </w:rPr>
      </w:pPr>
    </w:p>
    <w:p>
      <w:pPr>
        <w:jc w:val="both"/>
        <w:ind w:left="120" w:firstLine="551"/>
        <w:spacing w:after="0" w:line="242" w:lineRule="auto"/>
        <w:rPr>
          <w:sz w:val="20"/>
          <w:szCs w:val="20"/>
          <w:color w:val="auto"/>
        </w:rPr>
      </w:pPr>
      <w:r>
        <w:rPr>
          <w:rFonts w:ascii="Arial" w:cs="Arial" w:eastAsia="Arial" w:hAnsi="Arial"/>
          <w:sz w:val="18"/>
          <w:szCs w:val="18"/>
          <w:color w:val="auto"/>
        </w:rPr>
        <w:t>Because of this ongoing dialogue and related actions, our e-Sat score (“How happy are you working at FICO?”), and each of 22 engagement driver scores from our most recent surveys are at or above our external benchmark scores with our top five scores, relative to external benchmark, being Communication (I feel well-informed about what’s going on at FICO) +13, Action Taking (I believe meaningful action will be taken as a result of this survey) +9, Retention (I rarely think about looking for another job at a different company) +8, Leadership (I have confidence in the leadership team) +7, and Resources (I have the resources needed to do my job well) +7. We closely monitor the “Retention” driver to gain insights and take steps to help mitigate unplanned attrition risk.</w:t>
      </w:r>
    </w:p>
    <w:p>
      <w:pPr>
        <w:spacing w:after="0" w:line="71"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As a result of this ongoing dialogue with our people and related action-taking by management, our engagement scores have steadily strengthened and we have enjoyed strong workforce retention over the past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213995" cy="2571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3995" cy="257175"/>
                    </a:xfrm>
                    <a:prstGeom prst="rect">
                      <a:avLst/>
                    </a:prstGeom>
                    <a:noFill/>
                  </pic:spPr>
                </pic:pic>
              </a:graphicData>
            </a:graphic>
          </wp:anchor>
        </w:drawing>
      </w:r>
    </w:p>
    <w:p>
      <w:pPr>
        <w:spacing w:after="0" w:line="2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Awards and Recognition</w:t>
      </w:r>
    </w:p>
    <w:p>
      <w:pPr>
        <w:spacing w:after="0" w:line="250" w:lineRule="exact"/>
        <w:rPr>
          <w:sz w:val="20"/>
          <w:szCs w:val="20"/>
          <w:color w:val="auto"/>
        </w:rPr>
      </w:pPr>
    </w:p>
    <w:p>
      <w:pPr>
        <w:jc w:val="both"/>
        <w:ind w:left="120" w:right="20" w:firstLine="551"/>
        <w:spacing w:after="0" w:line="244" w:lineRule="auto"/>
        <w:rPr>
          <w:sz w:val="20"/>
          <w:szCs w:val="20"/>
          <w:color w:val="auto"/>
        </w:rPr>
      </w:pPr>
      <w:r>
        <w:rPr>
          <w:rFonts w:ascii="Arial" w:cs="Arial" w:eastAsia="Arial" w:hAnsi="Arial"/>
          <w:sz w:val="18"/>
          <w:szCs w:val="18"/>
          <w:color w:val="auto"/>
        </w:rPr>
        <w:t>Engaging our people, acting on their insights, and investing in organizational culture remain ongoing priorities, and it is encouraging to receive external recognition for these efforts. During fiscal 2025, we received several accolades including: (1) being named by Forbes as one of America’s Best Companies; (2) being named by Newsweek as one of America’s Best Workplaces for Gen Z; and (3) achieving certification from the Great Place to Work Institute and achieving FIA Employee Experience – Amazing Places to Work recognition for our operations in Brazil.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265430" cy="2571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5430" cy="257175"/>
                    </a:xfrm>
                    <a:prstGeom prst="rect">
                      <a:avLst/>
                    </a:prstGeom>
                    <a:noFill/>
                  </pic:spPr>
                </pic:pic>
              </a:graphicData>
            </a:graphic>
          </wp:anchor>
        </w:drawing>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Organizational Culture</w:t>
      </w:r>
    </w:p>
    <w:p>
      <w:pPr>
        <w:spacing w:after="0" w:line="250" w:lineRule="exact"/>
        <w:rPr>
          <w:sz w:val="20"/>
          <w:szCs w:val="20"/>
          <w:color w:val="auto"/>
        </w:rPr>
      </w:pPr>
    </w:p>
    <w:p>
      <w:pPr>
        <w:jc w:val="both"/>
        <w:ind w:left="120" w:right="20" w:firstLine="551"/>
        <w:spacing w:after="0" w:line="239" w:lineRule="auto"/>
        <w:rPr>
          <w:sz w:val="20"/>
          <w:szCs w:val="20"/>
          <w:color w:val="auto"/>
        </w:rPr>
      </w:pPr>
      <w:r>
        <w:rPr>
          <w:rFonts w:ascii="Arial" w:cs="Arial" w:eastAsia="Arial" w:hAnsi="Arial"/>
          <w:sz w:val="18"/>
          <w:szCs w:val="18"/>
          <w:color w:val="auto"/>
        </w:rPr>
        <w:t>FICO is committed to building and reinforcing a culture where all employees feel welcome and where individual perspectives are valued. FICO believes that a highly talented workforce that includes people with a wide range of backgrounds, experiences and perspectives drives innovation while helping us relate to our global customer base. Our goal is to achieve this innovation and connection to our customer base through a culture that attracts the broadest talent audience possible, while always striving to select the most qualified individuals. We also believe that promoting a culture where each individual is truly valued allows our people to reach their full potential. Our FICO Cares organization encourages our people to connect with and contribute to their community. We encourage employees to participate in volunteer activities by providing work schedule flexibility and paid Community Volunteer Leave. We also encourage and match employee cash donations and volunteer time to qualified charitable organizations through our Corporate Matching Gift Program.</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26</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0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Proxy</w:t>
            </w:r>
          </w:p>
        </w:tc>
        <w:tc>
          <w:tcPr>
            <w:tcW w:w="11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22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Corporate</w:t>
            </w:r>
          </w:p>
        </w:tc>
        <w:tc>
          <w:tcPr>
            <w:tcW w:w="1520" w:type="dxa"/>
            <w:vAlign w:val="bottom"/>
            <w:shd w:val="clear" w:color="auto" w:fill="F2F2F2"/>
          </w:tcPr>
          <w:p>
            <w:pPr>
              <w:ind w:left="18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00" w:type="dxa"/>
            <w:vAlign w:val="bottom"/>
            <w:shd w:val="clear" w:color="auto" w:fill="F2F2F2"/>
          </w:tcPr>
          <w:p>
            <w:pPr>
              <w:ind w:left="620"/>
              <w:spacing w:after="0" w:line="202" w:lineRule="exact"/>
              <w:rPr>
                <w:sz w:val="20"/>
                <w:szCs w:val="20"/>
                <w:color w:val="auto"/>
              </w:rPr>
            </w:pPr>
            <w:r>
              <w:rPr>
                <w:rFonts w:ascii="Arial" w:cs="Arial" w:eastAsia="Arial" w:hAnsi="Arial"/>
                <w:sz w:val="18"/>
                <w:szCs w:val="18"/>
                <w:color w:val="auto"/>
                <w:w w:val="98"/>
              </w:rPr>
              <w:t>Summary</w:t>
            </w:r>
          </w:p>
        </w:tc>
        <w:tc>
          <w:tcPr>
            <w:tcW w:w="118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22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Governance</w:t>
            </w:r>
          </w:p>
        </w:tc>
        <w:tc>
          <w:tcPr>
            <w:tcW w:w="152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00" w:type="dxa"/>
            <w:vAlign w:val="bottom"/>
            <w:shd w:val="clear" w:color="auto" w:fill="F2F2F2"/>
          </w:tcPr>
          <w:p>
            <w:pPr>
              <w:spacing w:after="0"/>
              <w:rPr>
                <w:sz w:val="16"/>
                <w:szCs w:val="16"/>
                <w:color w:val="auto"/>
              </w:rPr>
            </w:pPr>
          </w:p>
        </w:tc>
        <w:tc>
          <w:tcPr>
            <w:tcW w:w="1180" w:type="dxa"/>
            <w:vAlign w:val="bottom"/>
            <w:shd w:val="clear" w:color="auto" w:fill="F2F2F2"/>
          </w:tcPr>
          <w:p>
            <w:pPr>
              <w:spacing w:after="0"/>
              <w:rPr>
                <w:sz w:val="16"/>
                <w:szCs w:val="16"/>
                <w:color w:val="auto"/>
              </w:rPr>
            </w:pPr>
          </w:p>
        </w:tc>
        <w:tc>
          <w:tcPr>
            <w:tcW w:w="122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520" w:type="dxa"/>
            <w:vAlign w:val="bottom"/>
            <w:shd w:val="clear" w:color="auto" w:fill="F2F2F2"/>
          </w:tcPr>
          <w:p>
            <w:pPr>
              <w:spacing w:after="0"/>
              <w:rPr>
                <w:sz w:val="16"/>
                <w:szCs w:val="16"/>
                <w:color w:val="auto"/>
              </w:rPr>
            </w:pP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00" w:type="dxa"/>
            <w:vAlign w:val="bottom"/>
            <w:tcBorders>
              <w:top w:val="single" w:sz="8" w:color="F2F2F2"/>
            </w:tcBorders>
            <w:shd w:val="clear" w:color="auto" w:fill="F2F2F2"/>
          </w:tcPr>
          <w:p>
            <w:pPr>
              <w:spacing w:after="0"/>
              <w:rPr>
                <w:sz w:val="2"/>
                <w:szCs w:val="2"/>
                <w:color w:val="auto"/>
              </w:rPr>
            </w:pPr>
          </w:p>
        </w:tc>
        <w:tc>
          <w:tcPr>
            <w:tcW w:w="118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400" w:type="dxa"/>
            <w:vAlign w:val="bottom"/>
            <w:tcBorders>
              <w:top w:val="single" w:sz="8" w:color="F2F2F2"/>
            </w:tcBorders>
            <w:shd w:val="clear" w:color="auto" w:fill="F2F2F2"/>
          </w:tcPr>
          <w:p>
            <w:pPr>
              <w:spacing w:after="0"/>
              <w:rPr>
                <w:sz w:val="2"/>
                <w:szCs w:val="2"/>
                <w:color w:val="auto"/>
              </w:rPr>
            </w:pPr>
          </w:p>
        </w:tc>
        <w:tc>
          <w:tcPr>
            <w:tcW w:w="15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Across our global workforce, as of September 30, 2025, the percentage of males and females was 67% and 33%, respectively. Looking at our U.S. workforce, as of September 30, 2025, 46% were racially/ethnically diverse employees who are members of a protected class.</w:t>
      </w:r>
    </w:p>
    <w:p>
      <w:pPr>
        <w:spacing w:after="0" w:line="61"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To help ensure understanding of our Commitment to Inclusion and Belonging Policy, as well as our Policy Against Harassment and other foundational and compliance policies, all new hires are provided with a copy of these policies during their onboarding process. In addition, we reinforce the importance of these policies during annual policy reminder communications. To equip our people with appropriate knowledge and outline their responsibilities, all employees receive mandatory training and testing on foundational and compliance policies during the on-boarding process and every two years thereafter, with people managers receiving training regarding their unique leadership responsibilities. As examples, we have a mandatory training program to identify, prevent and combat prohibited harassment.</w:t>
      </w:r>
    </w:p>
    <w:p>
      <w:pPr>
        <w:spacing w:after="0" w:line="77"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 xml:space="preserve">Additional information on our talent programs is available on the Corporate Responsibility page of our website at </w:t>
      </w:r>
      <w:r>
        <w:rPr>
          <w:rFonts w:ascii="Arial" w:cs="Arial" w:eastAsia="Arial" w:hAnsi="Arial"/>
          <w:sz w:val="18"/>
          <w:szCs w:val="18"/>
          <w:i w:val="1"/>
          <w:iCs w:val="1"/>
          <w:color w:val="auto"/>
        </w:rPr>
        <w:t>www.fico.com/en/corporate-responsibility</w:t>
      </w:r>
      <w:r>
        <w:rPr>
          <w:rFonts w:ascii="Arial" w:cs="Arial" w:eastAsia="Arial" w:hAnsi="Arial"/>
          <w:sz w:val="18"/>
          <w:szCs w:val="18"/>
          <w:color w:val="auto"/>
        </w:rPr>
        <w:t>. Information contained on our website is not deemed part of or incorporated by reference into</w:t>
      </w:r>
      <w:r>
        <w:rPr>
          <w:rFonts w:ascii="Arial" w:cs="Arial" w:eastAsia="Arial" w:hAnsi="Arial"/>
          <w:sz w:val="18"/>
          <w:szCs w:val="18"/>
          <w:i w:val="1"/>
          <w:iCs w:val="1"/>
          <w:color w:val="auto"/>
        </w:rPr>
        <w:t xml:space="preserve"> </w:t>
      </w:r>
      <w:r>
        <w:rPr>
          <w:rFonts w:ascii="Arial" w:cs="Arial" w:eastAsia="Arial" w:hAnsi="Arial"/>
          <w:sz w:val="18"/>
          <w:szCs w:val="18"/>
          <w:color w:val="auto"/>
        </w:rPr>
        <w:t>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136525</wp:posOffset>
            </wp:positionV>
            <wp:extent cx="248285" cy="2489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Talent Recruitment</w:t>
      </w:r>
    </w:p>
    <w:p>
      <w:pPr>
        <w:spacing w:after="0" w:line="250" w:lineRule="exact"/>
        <w:rPr>
          <w:sz w:val="20"/>
          <w:szCs w:val="20"/>
          <w:color w:val="auto"/>
        </w:rPr>
      </w:pPr>
    </w:p>
    <w:p>
      <w:pPr>
        <w:jc w:val="both"/>
        <w:ind w:left="120" w:firstLine="551"/>
        <w:spacing w:after="0" w:line="247" w:lineRule="auto"/>
        <w:rPr>
          <w:sz w:val="20"/>
          <w:szCs w:val="20"/>
          <w:color w:val="auto"/>
        </w:rPr>
      </w:pPr>
      <w:r>
        <w:rPr>
          <w:rFonts w:ascii="Arial" w:cs="Arial" w:eastAsia="Arial" w:hAnsi="Arial"/>
          <w:sz w:val="18"/>
          <w:szCs w:val="18"/>
          <w:color w:val="auto"/>
        </w:rPr>
        <w:t>We leverage organizational culture as a competitive advantage in our efforts to attract people from the broadest possible talent pool. This includes marketing our Core Values, opportunities for professional development, competitive compensation and benefit programs, and strong focus on work/life balance and flexible work locations including home-based work. In addition, our job descriptions and public job postings have been written to reflect inclusive language.</w:t>
      </w:r>
    </w:p>
    <w:p>
      <w:pPr>
        <w:spacing w:after="0" w:line="66" w:lineRule="exact"/>
        <w:rPr>
          <w:sz w:val="20"/>
          <w:szCs w:val="20"/>
          <w:color w:val="auto"/>
        </w:rPr>
      </w:pPr>
    </w:p>
    <w:p>
      <w:pPr>
        <w:jc w:val="both"/>
        <w:ind w:left="120" w:right="20" w:firstLine="551"/>
        <w:spacing w:after="0" w:line="242" w:lineRule="auto"/>
        <w:rPr>
          <w:sz w:val="20"/>
          <w:szCs w:val="20"/>
          <w:color w:val="auto"/>
        </w:rPr>
      </w:pPr>
      <w:r>
        <w:rPr>
          <w:rFonts w:ascii="Arial" w:cs="Arial" w:eastAsia="Arial" w:hAnsi="Arial"/>
          <w:sz w:val="18"/>
          <w:szCs w:val="18"/>
          <w:color w:val="auto"/>
        </w:rPr>
        <w:t>We deploy selection practices designed to ensure strong alignment between candidate qualifications and knowledge and skills needed for success in each role, and we invest in hiring manager training focused on effective selection strategies. Further, in the U.S., we detail our targeted base pay ranges on all public job postings and prohibit our recruiters from inquiring about a candidate’s current level of compensation. Our focus on the professional development of our people drives the internal posting of virtually all job opportunities. And, consistent with our remarkably low undesired attrition rate, FICO has significantly strengthened its position as an employer of choice, resulting in attractive external candidate pools.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240030" cy="274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0030" cy="274320"/>
                    </a:xfrm>
                    <a:prstGeom prst="rect">
                      <a:avLst/>
                    </a:prstGeom>
                    <a:noFill/>
                  </pic:spPr>
                </pic:pic>
              </a:graphicData>
            </a:graphic>
          </wp:anchor>
        </w:drawing>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Professional Development</w:t>
      </w:r>
    </w:p>
    <w:p>
      <w:pPr>
        <w:spacing w:after="0" w:line="277"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To support professional development, we offer a structured onboarding program with training specific to a variety of identified career paths to help new employees become rapidly engaged and productive. We have invested in building the FICO Integrated Learning Organization (“ILO”), which is led by our Chief Learning Officer. The ILO develops customized learning content for colleagues, clients, and partners around the world. We deliver high quality, targeted new hire onboarding, technology and product skill training, compliance and management and leadership education through this “FICO Learning” platform. This allows our employees to obtain the knowledge and skills to effectively perform in their current roles, while also preparing them for new opportunities. We also offer financial support for degreed or certificated programs through a tuition reimbursement program.</w:t>
      </w:r>
    </w:p>
    <w:p>
      <w:pPr>
        <w:spacing w:after="0" w:line="77"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We have defined specific career paths for all major functions in our organization so that our people understand how they can progress in their career by expanding their knowledge and skills. In doing so, our job titling system reflects both individual contributor (or technical) career tracks and people management career tracks to reinforce our philosophy that people can grow professionally in either track.</w:t>
      </w:r>
    </w:p>
    <w:p>
      <w:pPr>
        <w:spacing w:after="0" w:line="66" w:lineRule="exact"/>
        <w:rPr>
          <w:sz w:val="20"/>
          <w:szCs w:val="20"/>
          <w:color w:val="auto"/>
        </w:rPr>
      </w:pPr>
    </w:p>
    <w:p>
      <w:pPr>
        <w:jc w:val="both"/>
        <w:ind w:left="120" w:right="20" w:firstLine="551"/>
        <w:spacing w:after="0" w:line="244" w:lineRule="auto"/>
        <w:rPr>
          <w:sz w:val="20"/>
          <w:szCs w:val="20"/>
          <w:color w:val="auto"/>
        </w:rPr>
      </w:pPr>
      <w:r>
        <w:rPr>
          <w:rFonts w:ascii="Arial" w:cs="Arial" w:eastAsia="Arial" w:hAnsi="Arial"/>
          <w:sz w:val="18"/>
          <w:szCs w:val="18"/>
          <w:color w:val="auto"/>
        </w:rPr>
        <w:t>To further consistent administration, we conduct annual company-wide performance reviews supported by the use of performance rubrics for each major function. These rubrics set forth clear behavioral expectations for each function through a set of objective descriptors organized across our three levels of performance (Improvement Needed, Achieved Expectations, and Outstanding). In addition to rubrics, outcome-based goals are established for each individual based upon his/her specific role and priorities. Evaluation across both behavioral and outcome-based dimensions yields an overall performance assessment.</w:t>
      </w:r>
    </w:p>
    <w:p>
      <w:pPr>
        <w:spacing w:after="0" w:line="68"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We define a “promotion” as an increase in pay band linked to the proven ability to be successful in the next level of responsibility. Our structured promotion process takes place twice annually with promotions to all job levels including senior job levels occurring with our year-end cycle (October/November) and promotions to lower and middle job levels</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27</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0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Proxy</w:t>
            </w:r>
          </w:p>
        </w:tc>
        <w:tc>
          <w:tcPr>
            <w:tcW w:w="11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22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Corporate</w:t>
            </w:r>
          </w:p>
        </w:tc>
        <w:tc>
          <w:tcPr>
            <w:tcW w:w="1520" w:type="dxa"/>
            <w:vAlign w:val="bottom"/>
            <w:shd w:val="clear" w:color="auto" w:fill="F2F2F2"/>
          </w:tcPr>
          <w:p>
            <w:pPr>
              <w:ind w:left="18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00" w:type="dxa"/>
            <w:vAlign w:val="bottom"/>
            <w:shd w:val="clear" w:color="auto" w:fill="F2F2F2"/>
          </w:tcPr>
          <w:p>
            <w:pPr>
              <w:ind w:left="620"/>
              <w:spacing w:after="0" w:line="202" w:lineRule="exact"/>
              <w:rPr>
                <w:sz w:val="20"/>
                <w:szCs w:val="20"/>
                <w:color w:val="auto"/>
              </w:rPr>
            </w:pPr>
            <w:r>
              <w:rPr>
                <w:rFonts w:ascii="Arial" w:cs="Arial" w:eastAsia="Arial" w:hAnsi="Arial"/>
                <w:sz w:val="18"/>
                <w:szCs w:val="18"/>
                <w:color w:val="auto"/>
                <w:w w:val="98"/>
              </w:rPr>
              <w:t>Summary</w:t>
            </w:r>
          </w:p>
        </w:tc>
        <w:tc>
          <w:tcPr>
            <w:tcW w:w="118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22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Governance</w:t>
            </w:r>
          </w:p>
        </w:tc>
        <w:tc>
          <w:tcPr>
            <w:tcW w:w="152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00" w:type="dxa"/>
            <w:vAlign w:val="bottom"/>
            <w:shd w:val="clear" w:color="auto" w:fill="F2F2F2"/>
          </w:tcPr>
          <w:p>
            <w:pPr>
              <w:spacing w:after="0"/>
              <w:rPr>
                <w:sz w:val="16"/>
                <w:szCs w:val="16"/>
                <w:color w:val="auto"/>
              </w:rPr>
            </w:pPr>
          </w:p>
        </w:tc>
        <w:tc>
          <w:tcPr>
            <w:tcW w:w="1180" w:type="dxa"/>
            <w:vAlign w:val="bottom"/>
            <w:shd w:val="clear" w:color="auto" w:fill="F2F2F2"/>
          </w:tcPr>
          <w:p>
            <w:pPr>
              <w:spacing w:after="0"/>
              <w:rPr>
                <w:sz w:val="16"/>
                <w:szCs w:val="16"/>
                <w:color w:val="auto"/>
              </w:rPr>
            </w:pPr>
          </w:p>
        </w:tc>
        <w:tc>
          <w:tcPr>
            <w:tcW w:w="122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520" w:type="dxa"/>
            <w:vAlign w:val="bottom"/>
            <w:shd w:val="clear" w:color="auto" w:fill="F2F2F2"/>
          </w:tcPr>
          <w:p>
            <w:pPr>
              <w:spacing w:after="0"/>
              <w:rPr>
                <w:sz w:val="16"/>
                <w:szCs w:val="16"/>
                <w:color w:val="auto"/>
              </w:rPr>
            </w:pP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00" w:type="dxa"/>
            <w:vAlign w:val="bottom"/>
            <w:tcBorders>
              <w:top w:val="single" w:sz="8" w:color="F2F2F2"/>
            </w:tcBorders>
            <w:shd w:val="clear" w:color="auto" w:fill="F2F2F2"/>
          </w:tcPr>
          <w:p>
            <w:pPr>
              <w:spacing w:after="0"/>
              <w:rPr>
                <w:sz w:val="2"/>
                <w:szCs w:val="2"/>
                <w:color w:val="auto"/>
              </w:rPr>
            </w:pPr>
          </w:p>
        </w:tc>
        <w:tc>
          <w:tcPr>
            <w:tcW w:w="118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400" w:type="dxa"/>
            <w:vAlign w:val="bottom"/>
            <w:tcBorders>
              <w:top w:val="single" w:sz="8" w:color="F2F2F2"/>
            </w:tcBorders>
            <w:shd w:val="clear" w:color="auto" w:fill="F2F2F2"/>
          </w:tcPr>
          <w:p>
            <w:pPr>
              <w:spacing w:after="0"/>
              <w:rPr>
                <w:sz w:val="2"/>
                <w:szCs w:val="2"/>
                <w:color w:val="auto"/>
              </w:rPr>
            </w:pPr>
          </w:p>
        </w:tc>
        <w:tc>
          <w:tcPr>
            <w:tcW w:w="15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taking place with our mid-year cycle (April/May). This process supports an integrated approach yielding improved consistency in promotion decisions, including that all groups are representatively recognized. Approximately 20% of our people are recognized via promotion each year.</w:t>
      </w:r>
    </w:p>
    <w:p>
      <w:pPr>
        <w:spacing w:after="0" w:line="61" w:lineRule="exact"/>
        <w:rPr>
          <w:sz w:val="20"/>
          <w:szCs w:val="20"/>
          <w:color w:val="auto"/>
        </w:rPr>
      </w:pPr>
    </w:p>
    <w:p>
      <w:pPr>
        <w:jc w:val="both"/>
        <w:ind w:left="120" w:firstLine="551"/>
        <w:spacing w:after="0" w:line="242" w:lineRule="auto"/>
        <w:rPr>
          <w:sz w:val="20"/>
          <w:szCs w:val="20"/>
          <w:color w:val="auto"/>
        </w:rPr>
      </w:pPr>
      <w:r>
        <w:rPr>
          <w:rFonts w:ascii="Arial" w:cs="Arial" w:eastAsia="Arial" w:hAnsi="Arial"/>
          <w:sz w:val="18"/>
          <w:szCs w:val="18"/>
          <w:color w:val="auto"/>
        </w:rPr>
        <w:t>Some of our employee development programs are mandatory. These include training targeting our Commitment to Inclusion and Belonging Policy, our Policy Against Harassment and other foundational compliance policies. Beyond these broad courses, a strength of our approach is that training can be highly customized by role and individual to target specific knowledge or skill priorities. On average, FICO employees engage in 20-40 hours of formal training per year inclusive of structured courses and self-paced exploratory learning. Management insights, coupled with quarterly employee engagement surveys and learning program feedback surveys, helps make the learning content delivered by our ILO remains highly relevant and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240030" cy="2489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0030" cy="248920"/>
                    </a:xfrm>
                    <a:prstGeom prst="rect">
                      <a:avLst/>
                    </a:prstGeom>
                    <a:noFill/>
                  </pic:spPr>
                </pic:pic>
              </a:graphicData>
            </a:graphic>
          </wp:anchor>
        </w:drawing>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Compensation and Benefit Programs</w:t>
      </w:r>
    </w:p>
    <w:p>
      <w:pPr>
        <w:spacing w:after="0" w:line="250" w:lineRule="exact"/>
        <w:rPr>
          <w:sz w:val="20"/>
          <w:szCs w:val="20"/>
          <w:color w:val="auto"/>
        </w:rPr>
      </w:pPr>
    </w:p>
    <w:p>
      <w:pPr>
        <w:jc w:val="both"/>
        <w:ind w:left="120" w:firstLine="551"/>
        <w:spacing w:after="0" w:line="247" w:lineRule="auto"/>
        <w:rPr>
          <w:sz w:val="20"/>
          <w:szCs w:val="20"/>
          <w:color w:val="auto"/>
        </w:rPr>
      </w:pPr>
      <w:r>
        <w:rPr>
          <w:rFonts w:ascii="Arial" w:cs="Arial" w:eastAsia="Arial" w:hAnsi="Arial"/>
          <w:sz w:val="18"/>
          <w:szCs w:val="18"/>
          <w:color w:val="auto"/>
        </w:rPr>
        <w:t>We regularly participate in market-based compensation surveys, seek the advice of outside experts, and leverage new hire, peer equity, and undesired attrition trend data to ensure that our base pay and incentive structures are competitive. We create a strong sense of shared purpose by having our CEO and each member of our executive leadership team participate in the same annual cash incentive bonus design as all non-sales employees across our organization.</w:t>
      </w:r>
    </w:p>
    <w:p>
      <w:pPr>
        <w:spacing w:after="0" w:line="66"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We conduct annual structured talent management and semi-annual rewards program reviews that are designed to closely link rewards to individual performance outcomes and for fairness in promotion and pay decisions. We have invested in building behaviorally anchored “performance rubrics” for all major role types across our organization to bring greater objectivity to the performance assessment process.</w:t>
      </w:r>
    </w:p>
    <w:p>
      <w:pPr>
        <w:spacing w:after="0" w:line="66"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Beyond our structured promotion cycles, all compensation actions are determined in November following the conclusion of the year-end performance review process in October. This includes promotion and market-based base pay adjustments, annual bonus awards, and long-term incentive awards. This rewards-planning cycle ensures strong linkage between performance and rewards, and it allows for centralized review and refinement of reward recommendations leading to high quality and representative decisions.</w:t>
      </w:r>
    </w:p>
    <w:p>
      <w:pPr>
        <w:spacing w:after="0" w:line="66" w:lineRule="exact"/>
        <w:rPr>
          <w:sz w:val="20"/>
          <w:szCs w:val="20"/>
          <w:color w:val="auto"/>
        </w:rPr>
      </w:pPr>
    </w:p>
    <w:p>
      <w:pPr>
        <w:jc w:val="both"/>
        <w:ind w:left="120" w:firstLine="551"/>
        <w:spacing w:after="0" w:line="244" w:lineRule="auto"/>
        <w:rPr>
          <w:sz w:val="20"/>
          <w:szCs w:val="20"/>
          <w:color w:val="auto"/>
        </w:rPr>
      </w:pPr>
      <w:r>
        <w:rPr>
          <w:rFonts w:ascii="Arial" w:cs="Arial" w:eastAsia="Arial" w:hAnsi="Arial"/>
          <w:sz w:val="18"/>
          <w:szCs w:val="18"/>
          <w:color w:val="auto"/>
        </w:rPr>
        <w:t>Over the course of the past decade, we’ve steadily and significantly expanded participation in our annual performance-based equity program with approximately 34% of our workforce receiving an annual long-term incentive award in fiscal 2025. In addition, we offer an Employee Stock Purchase Plan for eligible employees, which promotes even broader equity participation. Finally, top 5% performers are identified as part of our year-end performance review process and these individuals are awarded substantial “Extraordinary Impact” awards in the form of restricted stock units subject to one-year cliff vesting.</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28</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63"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0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Proxy</w:t>
            </w:r>
          </w:p>
        </w:tc>
        <w:tc>
          <w:tcPr>
            <w:tcW w:w="11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22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Corporate</w:t>
            </w:r>
          </w:p>
        </w:tc>
        <w:tc>
          <w:tcPr>
            <w:tcW w:w="1520" w:type="dxa"/>
            <w:vAlign w:val="bottom"/>
            <w:shd w:val="clear" w:color="auto" w:fill="F2F2F2"/>
          </w:tcPr>
          <w:p>
            <w:pPr>
              <w:ind w:left="18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00" w:type="dxa"/>
            <w:vAlign w:val="bottom"/>
            <w:shd w:val="clear" w:color="auto" w:fill="F2F2F2"/>
          </w:tcPr>
          <w:p>
            <w:pPr>
              <w:ind w:left="620"/>
              <w:spacing w:after="0" w:line="202" w:lineRule="exact"/>
              <w:rPr>
                <w:sz w:val="20"/>
                <w:szCs w:val="20"/>
                <w:color w:val="auto"/>
              </w:rPr>
            </w:pPr>
            <w:r>
              <w:rPr>
                <w:rFonts w:ascii="Arial" w:cs="Arial" w:eastAsia="Arial" w:hAnsi="Arial"/>
                <w:sz w:val="18"/>
                <w:szCs w:val="18"/>
                <w:color w:val="auto"/>
                <w:w w:val="98"/>
              </w:rPr>
              <w:t>Summary</w:t>
            </w:r>
          </w:p>
        </w:tc>
        <w:tc>
          <w:tcPr>
            <w:tcW w:w="118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22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Governance</w:t>
            </w:r>
          </w:p>
        </w:tc>
        <w:tc>
          <w:tcPr>
            <w:tcW w:w="152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00" w:type="dxa"/>
            <w:vAlign w:val="bottom"/>
            <w:shd w:val="clear" w:color="auto" w:fill="F2F2F2"/>
          </w:tcPr>
          <w:p>
            <w:pPr>
              <w:spacing w:after="0"/>
              <w:rPr>
                <w:sz w:val="16"/>
                <w:szCs w:val="16"/>
                <w:color w:val="auto"/>
              </w:rPr>
            </w:pPr>
          </w:p>
        </w:tc>
        <w:tc>
          <w:tcPr>
            <w:tcW w:w="1180" w:type="dxa"/>
            <w:vAlign w:val="bottom"/>
            <w:shd w:val="clear" w:color="auto" w:fill="F2F2F2"/>
          </w:tcPr>
          <w:p>
            <w:pPr>
              <w:spacing w:after="0"/>
              <w:rPr>
                <w:sz w:val="16"/>
                <w:szCs w:val="16"/>
                <w:color w:val="auto"/>
              </w:rPr>
            </w:pPr>
          </w:p>
        </w:tc>
        <w:tc>
          <w:tcPr>
            <w:tcW w:w="122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520" w:type="dxa"/>
            <w:vAlign w:val="bottom"/>
            <w:shd w:val="clear" w:color="auto" w:fill="F2F2F2"/>
          </w:tcPr>
          <w:p>
            <w:pPr>
              <w:spacing w:after="0"/>
              <w:rPr>
                <w:sz w:val="16"/>
                <w:szCs w:val="16"/>
                <w:color w:val="auto"/>
              </w:rPr>
            </w:pP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00" w:type="dxa"/>
            <w:vAlign w:val="bottom"/>
            <w:tcBorders>
              <w:top w:val="single" w:sz="8" w:color="F2F2F2"/>
            </w:tcBorders>
            <w:shd w:val="clear" w:color="auto" w:fill="F2F2F2"/>
          </w:tcPr>
          <w:p>
            <w:pPr>
              <w:spacing w:after="0"/>
              <w:rPr>
                <w:sz w:val="2"/>
                <w:szCs w:val="2"/>
                <w:color w:val="auto"/>
              </w:rPr>
            </w:pPr>
          </w:p>
        </w:tc>
        <w:tc>
          <w:tcPr>
            <w:tcW w:w="118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400" w:type="dxa"/>
            <w:vAlign w:val="bottom"/>
            <w:tcBorders>
              <w:top w:val="single" w:sz="8" w:color="F2F2F2"/>
            </w:tcBorders>
            <w:shd w:val="clear" w:color="auto" w:fill="F2F2F2"/>
          </w:tcPr>
          <w:p>
            <w:pPr>
              <w:spacing w:after="0"/>
              <w:rPr>
                <w:sz w:val="2"/>
                <w:szCs w:val="2"/>
                <w:color w:val="auto"/>
              </w:rPr>
            </w:pPr>
          </w:p>
        </w:tc>
        <w:tc>
          <w:tcPr>
            <w:tcW w:w="15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jc w:val="both"/>
        <w:ind w:left="120" w:right="20" w:firstLine="551"/>
        <w:spacing w:after="0"/>
        <w:rPr>
          <w:sz w:val="20"/>
          <w:szCs w:val="20"/>
          <w:color w:val="auto"/>
        </w:rPr>
      </w:pPr>
      <w:r>
        <w:rPr>
          <w:rFonts w:ascii="Arial" w:cs="Arial" w:eastAsia="Arial" w:hAnsi="Arial"/>
          <w:sz w:val="18"/>
          <w:szCs w:val="18"/>
          <w:color w:val="auto"/>
        </w:rPr>
        <w:t>We offer competitive health and welfare benefit plans with significant company subsidies to offset premiums, retirement plans with a competitive company match to encourage participation, and flexible paid-time-off programs including vacation, sick time and disability time. We have paid Maternity and Parental Leave benefits totaling up to 12 weeks, and we have adopted a Well-Being Program designed to provide broad-based physical and mental health education and personal health coaching, as well as quarterly cash Wellness Awards designed to help employees fund wellness-related purchases which they find most valuable. In addition, we have a global Family Building Benefit program, which provides infertility, cryopreservation, surrogacy and adoption support services. In India, we have a Childcare Reimbursement program to assist parents of young children.</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Promoting a Healthy and Safe Work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-120015</wp:posOffset>
            </wp:positionV>
            <wp:extent cx="205740" cy="1974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05740" cy="197485"/>
                    </a:xfrm>
                    <a:prstGeom prst="rect">
                      <a:avLst/>
                    </a:prstGeom>
                    <a:noFill/>
                  </pic:spPr>
                </pic:pic>
              </a:graphicData>
            </a:graphic>
          </wp:anchor>
        </w:drawing>
      </w:r>
    </w:p>
    <w:p>
      <w:pPr>
        <w:spacing w:after="0" w:line="190" w:lineRule="exact"/>
        <w:rPr>
          <w:sz w:val="20"/>
          <w:szCs w:val="20"/>
          <w:color w:val="auto"/>
        </w:rPr>
      </w:pPr>
    </w:p>
    <w:p>
      <w:pPr>
        <w:jc w:val="both"/>
        <w:ind w:left="120" w:firstLine="551"/>
        <w:spacing w:after="0" w:line="238" w:lineRule="auto"/>
        <w:rPr>
          <w:sz w:val="20"/>
          <w:szCs w:val="20"/>
          <w:color w:val="auto"/>
        </w:rPr>
      </w:pPr>
      <w:r>
        <w:rPr>
          <w:rFonts w:ascii="Arial" w:cs="Arial" w:eastAsia="Arial" w:hAnsi="Arial"/>
          <w:sz w:val="18"/>
          <w:szCs w:val="18"/>
          <w:color w:val="auto"/>
        </w:rPr>
        <w:t>We are committed to providing a safe and healthy workplace, and our professional work environments reflect that commitment with state-of-the-art computing equipment, sit-stand desk options, ergonomic chairs, and well-appointed breakrooms. We foster a healthy work/life balance for our people including both remote and hybrid work location policies that provide significant flexibility surrounding work location and work schedules. We continuously strive to meet or exceed compliance with all laws, regulations and accepted practices pertaining to workplace safety. All employees and contractors are required to comply with established safety policies, standards, and procedures. Our benefits and facilities teams regularly conduct ergonomic evaluations and take all reasonable steps to accommodate the unique needs of individuals. In addition, we conduct periodic training designed to promote a safe and healthy work environment – including both office and home-based work settings. Our Remote and Hybrid Work Policies allow our people to flexibly work from home and office environments, and we have provided our people with workstation and other equipment at both home and work. Beyond workplace safety, all employees are made aware of and subject to our Code of Business Conduct and Ethics policy which sets forth clear expectations on a number of dimensions, including health and safety commitments.</w:t>
      </w:r>
    </w:p>
    <w:p>
      <w:pPr>
        <w:spacing w:after="0" w:line="78" w:lineRule="exact"/>
        <w:rPr>
          <w:sz w:val="20"/>
          <w:szCs w:val="20"/>
          <w:color w:val="auto"/>
        </w:rPr>
      </w:pPr>
    </w:p>
    <w:p>
      <w:pPr>
        <w:jc w:val="both"/>
        <w:ind w:left="120" w:firstLine="551"/>
        <w:spacing w:after="0" w:line="242" w:lineRule="auto"/>
        <w:rPr>
          <w:sz w:val="20"/>
          <w:szCs w:val="20"/>
          <w:color w:val="auto"/>
        </w:rPr>
      </w:pPr>
      <w:r>
        <w:rPr>
          <w:rFonts w:ascii="Arial" w:cs="Arial" w:eastAsia="Arial" w:hAnsi="Arial"/>
          <w:sz w:val="18"/>
          <w:szCs w:val="18"/>
          <w:color w:val="auto"/>
        </w:rPr>
        <w:t>FICO prohibits all workplace violence and threatening behavior by employees. Behaviors can include physical violence, as well as oral or written statements, gestures or expressions that communicate a direct or indirect threat of physical harm. We are committed to providing a work environment free of unlawful harassment. Our policy prohibits all unlawful harassment including sexual harassment and harassment based on pregnancy, childbirth or related medical conditions, race, religious creed, color, national origin or ancestry, physical or mental disability, medical condition, veteran status, marital status, age, gender, sexual orientation or any other basis protected by federal, state, or local law or ordinance or regulation.</w:t>
      </w:r>
    </w:p>
    <w:p>
      <w:pPr>
        <w:spacing w:after="0" w:line="71"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Finally, all employees and contingent workers are required to pass a comprehensive pre-employment background check addressing criminal convictions and verification of employment eligibility, identity, and educational and work history credentials.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Insider Trading Policy</w:t>
      </w:r>
    </w:p>
    <w:p>
      <w:pPr>
        <w:spacing w:after="0" w:line="150" w:lineRule="exact"/>
        <w:rPr>
          <w:sz w:val="20"/>
          <w:szCs w:val="20"/>
          <w:color w:val="auto"/>
        </w:rPr>
      </w:pPr>
    </w:p>
    <w:p>
      <w:pPr>
        <w:jc w:val="both"/>
        <w:ind w:left="120" w:firstLine="551"/>
        <w:spacing w:after="0" w:line="247" w:lineRule="auto"/>
        <w:rPr>
          <w:sz w:val="20"/>
          <w:szCs w:val="20"/>
          <w:color w:val="auto"/>
        </w:rPr>
      </w:pPr>
      <w:r>
        <w:rPr>
          <w:rFonts w:ascii="Arial" w:cs="Arial" w:eastAsia="Arial" w:hAnsi="Arial"/>
          <w:sz w:val="18"/>
          <w:szCs w:val="18"/>
          <w:color w:val="auto"/>
        </w:rPr>
        <w:t>We have an insider trading policy that governs the purchase, sale, and other dispositions and transactions in our securities by our directors, officers, and employees, which is reasonably designed to promote compliance with insider trading laws, rules and regulations, as well as NYSE listing standards, a copy of which is an exhibit to our Annual Report on Form 10-K for the fiscal year ended September 30, 2025.</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29</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0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Proxy</w:t>
            </w:r>
          </w:p>
        </w:tc>
        <w:tc>
          <w:tcPr>
            <w:tcW w:w="11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22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Corporate</w:t>
            </w:r>
          </w:p>
        </w:tc>
        <w:tc>
          <w:tcPr>
            <w:tcW w:w="1520" w:type="dxa"/>
            <w:vAlign w:val="bottom"/>
            <w:shd w:val="clear" w:color="auto" w:fill="F2F2F2"/>
          </w:tcPr>
          <w:p>
            <w:pPr>
              <w:ind w:left="18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00" w:type="dxa"/>
            <w:vAlign w:val="bottom"/>
            <w:shd w:val="clear" w:color="auto" w:fill="F2F2F2"/>
          </w:tcPr>
          <w:p>
            <w:pPr>
              <w:ind w:left="620"/>
              <w:spacing w:after="0" w:line="202" w:lineRule="exact"/>
              <w:rPr>
                <w:sz w:val="20"/>
                <w:szCs w:val="20"/>
                <w:color w:val="auto"/>
              </w:rPr>
            </w:pPr>
            <w:r>
              <w:rPr>
                <w:rFonts w:ascii="Arial" w:cs="Arial" w:eastAsia="Arial" w:hAnsi="Arial"/>
                <w:sz w:val="18"/>
                <w:szCs w:val="18"/>
                <w:color w:val="auto"/>
                <w:w w:val="98"/>
              </w:rPr>
              <w:t>Summary</w:t>
            </w:r>
          </w:p>
        </w:tc>
        <w:tc>
          <w:tcPr>
            <w:tcW w:w="118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22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Governance</w:t>
            </w:r>
          </w:p>
        </w:tc>
        <w:tc>
          <w:tcPr>
            <w:tcW w:w="152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00" w:type="dxa"/>
            <w:vAlign w:val="bottom"/>
            <w:shd w:val="clear" w:color="auto" w:fill="F2F2F2"/>
          </w:tcPr>
          <w:p>
            <w:pPr>
              <w:spacing w:after="0"/>
              <w:rPr>
                <w:sz w:val="16"/>
                <w:szCs w:val="16"/>
                <w:color w:val="auto"/>
              </w:rPr>
            </w:pPr>
          </w:p>
        </w:tc>
        <w:tc>
          <w:tcPr>
            <w:tcW w:w="1180" w:type="dxa"/>
            <w:vAlign w:val="bottom"/>
            <w:shd w:val="clear" w:color="auto" w:fill="F2F2F2"/>
          </w:tcPr>
          <w:p>
            <w:pPr>
              <w:spacing w:after="0"/>
              <w:rPr>
                <w:sz w:val="16"/>
                <w:szCs w:val="16"/>
                <w:color w:val="auto"/>
              </w:rPr>
            </w:pPr>
          </w:p>
        </w:tc>
        <w:tc>
          <w:tcPr>
            <w:tcW w:w="122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520" w:type="dxa"/>
            <w:vAlign w:val="bottom"/>
            <w:shd w:val="clear" w:color="auto" w:fill="F2F2F2"/>
          </w:tcPr>
          <w:p>
            <w:pPr>
              <w:spacing w:after="0"/>
              <w:rPr>
                <w:sz w:val="16"/>
                <w:szCs w:val="16"/>
                <w:color w:val="auto"/>
              </w:rPr>
            </w:pP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00" w:type="dxa"/>
            <w:vAlign w:val="bottom"/>
            <w:tcBorders>
              <w:top w:val="single" w:sz="8" w:color="F2F2F2"/>
            </w:tcBorders>
            <w:shd w:val="clear" w:color="auto" w:fill="F2F2F2"/>
          </w:tcPr>
          <w:p>
            <w:pPr>
              <w:spacing w:after="0"/>
              <w:rPr>
                <w:sz w:val="2"/>
                <w:szCs w:val="2"/>
                <w:color w:val="auto"/>
              </w:rPr>
            </w:pPr>
          </w:p>
        </w:tc>
        <w:tc>
          <w:tcPr>
            <w:tcW w:w="118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400" w:type="dxa"/>
            <w:vAlign w:val="bottom"/>
            <w:tcBorders>
              <w:top w:val="single" w:sz="8" w:color="F2F2F2"/>
            </w:tcBorders>
            <w:shd w:val="clear" w:color="auto" w:fill="F2F2F2"/>
          </w:tcPr>
          <w:p>
            <w:pPr>
              <w:spacing w:after="0"/>
              <w:rPr>
                <w:sz w:val="2"/>
                <w:szCs w:val="2"/>
                <w:color w:val="auto"/>
              </w:rPr>
            </w:pPr>
          </w:p>
        </w:tc>
        <w:tc>
          <w:tcPr>
            <w:tcW w:w="15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Succession Planning</w:t>
      </w:r>
    </w:p>
    <w:p>
      <w:pPr>
        <w:spacing w:after="0" w:line="150" w:lineRule="exact"/>
        <w:rPr>
          <w:sz w:val="20"/>
          <w:szCs w:val="20"/>
          <w:color w:val="auto"/>
        </w:rPr>
      </w:pPr>
    </w:p>
    <w:p>
      <w:pPr>
        <w:jc w:val="both"/>
        <w:ind w:left="120" w:firstLine="551"/>
        <w:spacing w:after="0" w:line="238" w:lineRule="auto"/>
        <w:rPr>
          <w:sz w:val="20"/>
          <w:szCs w:val="20"/>
          <w:color w:val="auto"/>
        </w:rPr>
      </w:pPr>
      <w:r>
        <w:rPr>
          <w:rFonts w:ascii="Arial" w:cs="Arial" w:eastAsia="Arial" w:hAnsi="Arial"/>
          <w:sz w:val="18"/>
          <w:szCs w:val="18"/>
          <w:color w:val="auto"/>
        </w:rPr>
        <w:t>Our Board spends considerable time each year reviewing CEO and key leadership succession and development plans. These discussions include an annual dedicated review of CEO succession, as well as discussions at multiple meetings, including in executive session as needed, regarding broader key leader succession, organizational health and scenario planning in the event of unexpected leadership changes. The Board also has regular and direct exposure to senior leadership and high potential officers through formal and informal avenues throughout the year. Beyond the C-suite, we actively assess talent across the organization to optimize deployment of resources, encourage professional development, drive accountability, and identify and take actions to mitigate undesired attrition risk. At the mid-point of each fiscal year, talent assessments are performed by people managers for each team member. These assessments include a mid-year performance rating and a leadership strength rating, the combination of which yields a Talent Management Score ranging from one to nine with recommended follow-up actions associated with each score. In addition, managers identify any significant attrition risks and underlying drivers and develop related mitigation plans. Finally, for each senior leader role, managers identify potential successor candidates along with targeted development needs to encourage readiness.</w:t>
      </w:r>
    </w:p>
    <w:p>
      <w:pPr>
        <w:spacing w:after="0" w:line="186" w:lineRule="exact"/>
        <w:rPr>
          <w:sz w:val="20"/>
          <w:szCs w:val="20"/>
          <w:color w:val="auto"/>
        </w:rPr>
      </w:pPr>
    </w:p>
    <w:p>
      <w:pPr>
        <w:jc w:val="both"/>
        <w:ind w:left="120" w:firstLine="551"/>
        <w:spacing w:after="0" w:line="238" w:lineRule="auto"/>
        <w:rPr>
          <w:sz w:val="20"/>
          <w:szCs w:val="20"/>
          <w:color w:val="auto"/>
        </w:rPr>
      </w:pPr>
      <w:r>
        <w:rPr>
          <w:rFonts w:ascii="Arial" w:cs="Arial" w:eastAsia="Arial" w:hAnsi="Arial"/>
          <w:sz w:val="18"/>
          <w:szCs w:val="18"/>
          <w:color w:val="auto"/>
        </w:rPr>
        <w:t>For vice president-level roles, the executive team plays a central role through a process we refer to as “Session C.” This process, as illustrated below, involves a detailed evaluation of each vice president incumbent using several tools including a personal biography written by the incumbent identifying key accomplishments, career growth aspirations, and champions that can articulate their contributions. In addition, managers complete a Leader Profile for each vice president incumbent highlighting key strengths, development progress over the past year, go-forward development plans, attrition risks and drivers, and succession insights. All of these materials are centrally reviewed and discussed by the executive team during a multi-day meeting. After discussing incumbent vice presidents, the executive team evaluates any proposed candidates for promotion to vice president using a combination of promotion recommendation forms prepared by the sponsoring manager, a 360-degree performance evaluation involving self-evaluation, manager evaluation, direct report evaluation, and insights gathered from key stakeholders. Candidates for vice president-level promotion are placed “on-deck” for a one- to three-year period for observation prior to any promotion decision being finalized. This approach drives high quality, consistent decisions while ensuring our highest potential candidates are properly developed and ready when promoted. This approach drives high quality, consistent decisions while ensuring our highest potential candidates are properly developed and ready when promoted.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145415</wp:posOffset>
            </wp:positionV>
            <wp:extent cx="6643370" cy="40290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643370" cy="40290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30</w:t>
      </w:r>
    </w:p>
    <w:p>
      <w:pPr>
        <w:sectPr>
          <w:pgSz w:w="11900" w:h="16838" w:orient="portrait"/>
          <w:cols w:equalWidth="0" w:num="1">
            <w:col w:w="11140"/>
          </w:cols>
          <w:pgMar w:left="320" w:top="482" w:right="4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0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Proxy</w:t>
            </w:r>
          </w:p>
        </w:tc>
        <w:tc>
          <w:tcPr>
            <w:tcW w:w="11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22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Corporate</w:t>
            </w:r>
          </w:p>
        </w:tc>
        <w:tc>
          <w:tcPr>
            <w:tcW w:w="1520" w:type="dxa"/>
            <w:vAlign w:val="bottom"/>
            <w:shd w:val="clear" w:color="auto" w:fill="F2F2F2"/>
          </w:tcPr>
          <w:p>
            <w:pPr>
              <w:ind w:left="18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00" w:type="dxa"/>
            <w:vAlign w:val="bottom"/>
            <w:shd w:val="clear" w:color="auto" w:fill="F2F2F2"/>
          </w:tcPr>
          <w:p>
            <w:pPr>
              <w:ind w:left="620"/>
              <w:spacing w:after="0" w:line="202" w:lineRule="exact"/>
              <w:rPr>
                <w:sz w:val="20"/>
                <w:szCs w:val="20"/>
                <w:color w:val="auto"/>
              </w:rPr>
            </w:pPr>
            <w:r>
              <w:rPr>
                <w:rFonts w:ascii="Arial" w:cs="Arial" w:eastAsia="Arial" w:hAnsi="Arial"/>
                <w:sz w:val="18"/>
                <w:szCs w:val="18"/>
                <w:color w:val="auto"/>
                <w:w w:val="98"/>
              </w:rPr>
              <w:t>Summary</w:t>
            </w:r>
          </w:p>
        </w:tc>
        <w:tc>
          <w:tcPr>
            <w:tcW w:w="118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22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Governance</w:t>
            </w:r>
          </w:p>
        </w:tc>
        <w:tc>
          <w:tcPr>
            <w:tcW w:w="152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00" w:type="dxa"/>
            <w:vAlign w:val="bottom"/>
            <w:shd w:val="clear" w:color="auto" w:fill="F2F2F2"/>
          </w:tcPr>
          <w:p>
            <w:pPr>
              <w:spacing w:after="0"/>
              <w:rPr>
                <w:sz w:val="16"/>
                <w:szCs w:val="16"/>
                <w:color w:val="auto"/>
              </w:rPr>
            </w:pPr>
          </w:p>
        </w:tc>
        <w:tc>
          <w:tcPr>
            <w:tcW w:w="1180" w:type="dxa"/>
            <w:vAlign w:val="bottom"/>
            <w:shd w:val="clear" w:color="auto" w:fill="F2F2F2"/>
          </w:tcPr>
          <w:p>
            <w:pPr>
              <w:spacing w:after="0"/>
              <w:rPr>
                <w:sz w:val="16"/>
                <w:szCs w:val="16"/>
                <w:color w:val="auto"/>
              </w:rPr>
            </w:pPr>
          </w:p>
        </w:tc>
        <w:tc>
          <w:tcPr>
            <w:tcW w:w="122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520" w:type="dxa"/>
            <w:vAlign w:val="bottom"/>
            <w:shd w:val="clear" w:color="auto" w:fill="F2F2F2"/>
          </w:tcPr>
          <w:p>
            <w:pPr>
              <w:spacing w:after="0"/>
              <w:rPr>
                <w:sz w:val="16"/>
                <w:szCs w:val="16"/>
                <w:color w:val="auto"/>
              </w:rPr>
            </w:pP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00" w:type="dxa"/>
            <w:vAlign w:val="bottom"/>
            <w:tcBorders>
              <w:top w:val="single" w:sz="8" w:color="F2F2F2"/>
            </w:tcBorders>
            <w:shd w:val="clear" w:color="auto" w:fill="F2F2F2"/>
          </w:tcPr>
          <w:p>
            <w:pPr>
              <w:spacing w:after="0"/>
              <w:rPr>
                <w:sz w:val="2"/>
                <w:szCs w:val="2"/>
                <w:color w:val="auto"/>
              </w:rPr>
            </w:pPr>
          </w:p>
        </w:tc>
        <w:tc>
          <w:tcPr>
            <w:tcW w:w="118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400" w:type="dxa"/>
            <w:vAlign w:val="bottom"/>
            <w:tcBorders>
              <w:top w:val="single" w:sz="8" w:color="F2F2F2"/>
            </w:tcBorders>
            <w:shd w:val="clear" w:color="auto" w:fill="F2F2F2"/>
          </w:tcPr>
          <w:p>
            <w:pPr>
              <w:spacing w:after="0"/>
              <w:rPr>
                <w:sz w:val="2"/>
                <w:szCs w:val="2"/>
                <w:color w:val="auto"/>
              </w:rPr>
            </w:pPr>
          </w:p>
        </w:tc>
        <w:tc>
          <w:tcPr>
            <w:tcW w:w="15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Stockholder Engagement</w:t>
      </w:r>
    </w:p>
    <w:p>
      <w:pPr>
        <w:spacing w:after="0" w:line="150" w:lineRule="exact"/>
        <w:rPr>
          <w:sz w:val="20"/>
          <w:szCs w:val="20"/>
          <w:color w:val="auto"/>
        </w:rPr>
      </w:pPr>
    </w:p>
    <w:p>
      <w:pPr>
        <w:jc w:val="both"/>
        <w:ind w:left="120" w:right="20" w:firstLine="551"/>
        <w:spacing w:after="0" w:line="242" w:lineRule="auto"/>
        <w:rPr>
          <w:sz w:val="20"/>
          <w:szCs w:val="20"/>
          <w:color w:val="auto"/>
        </w:rPr>
      </w:pPr>
      <w:r>
        <w:rPr>
          <w:rFonts w:ascii="Arial" w:cs="Arial" w:eastAsia="Arial" w:hAnsi="Arial"/>
          <w:sz w:val="18"/>
          <w:szCs w:val="18"/>
          <w:color w:val="auto"/>
        </w:rPr>
        <w:t>We recognize the value of engaging in regular, constructive dialogue with our stockholders on matters that are significant to our business, including corporate governance, executive compensation and sustainability, and to share our perspectives with one another. Following our 2025 annual meeting, we conducted outreach with stockholders to receive any feedback our stockholders may have, to better understand their opinions regarding such matters as our corporate governance, executive compensation and sustainability. It is important to FICO that our stockholders are afforded a chance to provide their thoughts on topics of interest, and receptivity to stockholder views is an essential component of the Board’s decision-making process.</w:t>
      </w:r>
    </w:p>
    <w:p>
      <w:pPr>
        <w:spacing w:after="0" w:line="111"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31</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0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Proxy</w:t>
            </w:r>
          </w:p>
        </w:tc>
        <w:tc>
          <w:tcPr>
            <w:tcW w:w="11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22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Corporate</w:t>
            </w:r>
          </w:p>
        </w:tc>
        <w:tc>
          <w:tcPr>
            <w:tcW w:w="1520" w:type="dxa"/>
            <w:vAlign w:val="bottom"/>
            <w:shd w:val="clear" w:color="auto" w:fill="F2F2F2"/>
          </w:tcPr>
          <w:p>
            <w:pPr>
              <w:ind w:left="18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00" w:type="dxa"/>
            <w:vAlign w:val="bottom"/>
            <w:shd w:val="clear" w:color="auto" w:fill="F2F2F2"/>
          </w:tcPr>
          <w:p>
            <w:pPr>
              <w:ind w:left="620"/>
              <w:spacing w:after="0" w:line="202" w:lineRule="exact"/>
              <w:rPr>
                <w:sz w:val="20"/>
                <w:szCs w:val="20"/>
                <w:color w:val="auto"/>
              </w:rPr>
            </w:pPr>
            <w:r>
              <w:rPr>
                <w:rFonts w:ascii="Arial" w:cs="Arial" w:eastAsia="Arial" w:hAnsi="Arial"/>
                <w:sz w:val="18"/>
                <w:szCs w:val="18"/>
                <w:color w:val="auto"/>
                <w:w w:val="98"/>
              </w:rPr>
              <w:t>Summary</w:t>
            </w:r>
          </w:p>
        </w:tc>
        <w:tc>
          <w:tcPr>
            <w:tcW w:w="118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22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Governance</w:t>
            </w:r>
          </w:p>
        </w:tc>
        <w:tc>
          <w:tcPr>
            <w:tcW w:w="152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00" w:type="dxa"/>
            <w:vAlign w:val="bottom"/>
            <w:shd w:val="clear" w:color="auto" w:fill="F2F2F2"/>
          </w:tcPr>
          <w:p>
            <w:pPr>
              <w:spacing w:after="0"/>
              <w:rPr>
                <w:sz w:val="16"/>
                <w:szCs w:val="16"/>
                <w:color w:val="auto"/>
              </w:rPr>
            </w:pPr>
          </w:p>
        </w:tc>
        <w:tc>
          <w:tcPr>
            <w:tcW w:w="1180" w:type="dxa"/>
            <w:vAlign w:val="bottom"/>
            <w:shd w:val="clear" w:color="auto" w:fill="F2F2F2"/>
          </w:tcPr>
          <w:p>
            <w:pPr>
              <w:spacing w:after="0"/>
              <w:rPr>
                <w:sz w:val="16"/>
                <w:szCs w:val="16"/>
                <w:color w:val="auto"/>
              </w:rPr>
            </w:pPr>
          </w:p>
        </w:tc>
        <w:tc>
          <w:tcPr>
            <w:tcW w:w="122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520" w:type="dxa"/>
            <w:vAlign w:val="bottom"/>
            <w:shd w:val="clear" w:color="auto" w:fill="F2F2F2"/>
          </w:tcPr>
          <w:p>
            <w:pPr>
              <w:spacing w:after="0"/>
              <w:rPr>
                <w:sz w:val="16"/>
                <w:szCs w:val="16"/>
                <w:color w:val="auto"/>
              </w:rPr>
            </w:pP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00" w:type="dxa"/>
            <w:vAlign w:val="bottom"/>
            <w:tcBorders>
              <w:top w:val="single" w:sz="8" w:color="F2F2F2"/>
            </w:tcBorders>
            <w:shd w:val="clear" w:color="auto" w:fill="F2F2F2"/>
          </w:tcPr>
          <w:p>
            <w:pPr>
              <w:spacing w:after="0"/>
              <w:rPr>
                <w:sz w:val="2"/>
                <w:szCs w:val="2"/>
                <w:color w:val="auto"/>
              </w:rPr>
            </w:pPr>
          </w:p>
        </w:tc>
        <w:tc>
          <w:tcPr>
            <w:tcW w:w="118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400" w:type="dxa"/>
            <w:vAlign w:val="bottom"/>
            <w:tcBorders>
              <w:top w:val="single" w:sz="8" w:color="F2F2F2"/>
            </w:tcBorders>
            <w:shd w:val="clear" w:color="auto" w:fill="F2F2F2"/>
          </w:tcPr>
          <w:p>
            <w:pPr>
              <w:spacing w:after="0"/>
              <w:rPr>
                <w:sz w:val="2"/>
                <w:szCs w:val="2"/>
                <w:color w:val="auto"/>
              </w:rPr>
            </w:pPr>
          </w:p>
        </w:tc>
        <w:tc>
          <w:tcPr>
            <w:tcW w:w="15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DIRECTOR COMPENSATION PROGRAMS</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Non-Employee Director Compensation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compensation components are paid to our non-employee directors:</w:t>
      </w:r>
    </w:p>
    <w:p>
      <w:pPr>
        <w:spacing w:after="0" w:line="117" w:lineRule="exact"/>
        <w:rPr>
          <w:sz w:val="20"/>
          <w:szCs w:val="20"/>
          <w:color w:val="auto"/>
        </w:rPr>
      </w:pPr>
    </w:p>
    <w:p>
      <w:pPr>
        <w:ind w:left="1200" w:hanging="315"/>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Annual retainer fees;</w:t>
      </w:r>
    </w:p>
    <w:p>
      <w:pPr>
        <w:spacing w:after="0" w:line="117" w:lineRule="exact"/>
        <w:rPr>
          <w:rFonts w:ascii="Arial" w:cs="Arial" w:eastAsia="Arial" w:hAnsi="Arial"/>
          <w:sz w:val="18"/>
          <w:szCs w:val="18"/>
          <w:color w:val="auto"/>
        </w:rPr>
      </w:pPr>
    </w:p>
    <w:p>
      <w:pPr>
        <w:ind w:left="1200" w:hanging="315"/>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equity grant upon initial election to the Board; and</w:t>
      </w:r>
    </w:p>
    <w:p>
      <w:pPr>
        <w:spacing w:after="0" w:line="117" w:lineRule="exact"/>
        <w:rPr>
          <w:rFonts w:ascii="Arial" w:cs="Arial" w:eastAsia="Arial" w:hAnsi="Arial"/>
          <w:sz w:val="18"/>
          <w:szCs w:val="18"/>
          <w:color w:val="auto"/>
        </w:rPr>
      </w:pPr>
    </w:p>
    <w:p>
      <w:pPr>
        <w:ind w:left="1200" w:hanging="315"/>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Annual equity grants.</w:t>
      </w:r>
    </w:p>
    <w:p>
      <w:pPr>
        <w:spacing w:after="0" w:line="104"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Our Compensation Program for Non-Employee Directors, initially adopted on December 8, 2016, and amended on November 30, 2023 (the “Program”), for fiscal 2025 was as described below.</w:t>
      </w:r>
    </w:p>
    <w:p>
      <w:pPr>
        <w:spacing w:after="0" w:line="46" w:lineRule="exact"/>
        <w:rPr>
          <w:sz w:val="20"/>
          <w:szCs w:val="20"/>
          <w:color w:val="auto"/>
        </w:rPr>
      </w:pPr>
    </w:p>
    <w:p>
      <w:pPr>
        <w:jc w:val="both"/>
        <w:ind w:left="120" w:firstLine="551"/>
        <w:spacing w:after="0" w:line="247" w:lineRule="auto"/>
        <w:rPr>
          <w:sz w:val="20"/>
          <w:szCs w:val="20"/>
          <w:color w:val="auto"/>
        </w:rPr>
      </w:pPr>
      <w:r>
        <w:rPr>
          <w:rFonts w:ascii="Arial" w:cs="Arial" w:eastAsia="Arial" w:hAnsi="Arial"/>
          <w:sz w:val="18"/>
          <w:szCs w:val="18"/>
          <w:color w:val="auto"/>
        </w:rPr>
        <w:t>Under the Program, each non-employee director was entitled to receive annual retainer fees in the amounts set forth below and was paid in cash quarterly in arrears during their annual term commencing upon their election or re-election at each annual meeting of stockholders. Such amounts are pro-rated for appointments made to the Board of Directors, chair of a standing Board committee, non-chair member of a standing Board committee or Chairman of the Board between annual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21259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2125980"/>
                    </a:xfrm>
                    <a:prstGeom prst="rect">
                      <a:avLst/>
                    </a:prstGeom>
                    <a:noFill/>
                  </pic:spPr>
                </pic:pic>
              </a:graphicData>
            </a:graphic>
          </wp:anchor>
        </w:drawing>
      </w:r>
    </w:p>
    <w:p>
      <w:pPr>
        <w:spacing w:after="0" w:line="397"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7340" w:type="dxa"/>
            <w:vAlign w:val="bottom"/>
          </w:tcPr>
          <w:p>
            <w:pPr>
              <w:spacing w:after="0"/>
              <w:rPr>
                <w:sz w:val="20"/>
                <w:szCs w:val="20"/>
                <w:color w:val="auto"/>
              </w:rPr>
            </w:pPr>
            <w:r>
              <w:rPr>
                <w:rFonts w:ascii="Arial" w:cs="Arial" w:eastAsia="Arial" w:hAnsi="Arial"/>
                <w:sz w:val="18"/>
                <w:szCs w:val="18"/>
                <w:color w:val="auto"/>
              </w:rPr>
              <w:t>Base annual retainer fee payable to all non-employee directors</w:t>
            </w:r>
          </w:p>
        </w:tc>
        <w:tc>
          <w:tcPr>
            <w:tcW w:w="3260" w:type="dxa"/>
            <w:vAlign w:val="bottom"/>
          </w:tcPr>
          <w:p>
            <w:pPr>
              <w:ind w:left="2340"/>
              <w:spacing w:after="0"/>
              <w:rPr>
                <w:sz w:val="20"/>
                <w:szCs w:val="20"/>
                <w:color w:val="auto"/>
              </w:rPr>
            </w:pPr>
            <w:r>
              <w:rPr>
                <w:rFonts w:ascii="Arial" w:cs="Arial" w:eastAsia="Arial" w:hAnsi="Arial"/>
                <w:sz w:val="18"/>
                <w:szCs w:val="18"/>
                <w:color w:val="auto"/>
                <w:w w:val="78"/>
              </w:rPr>
              <w:t>   $ 60,000 </w:t>
            </w:r>
          </w:p>
        </w:tc>
      </w:tr>
    </w:tbl>
    <w:p>
      <w:pPr>
        <w:spacing w:after="0" w:line="3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annual retainer fee payable to Chairs of the Board’s Audit Committee,</w:t>
      </w:r>
    </w:p>
    <w:p>
      <w:pPr>
        <w:jc w:val="both"/>
        <w:ind w:left="340" w:right="200"/>
        <w:spacing w:after="0" w:line="253" w:lineRule="auto"/>
        <w:rPr>
          <w:sz w:val="20"/>
          <w:szCs w:val="20"/>
          <w:color w:val="auto"/>
        </w:rPr>
      </w:pPr>
      <w:r>
        <w:rPr>
          <w:rFonts w:ascii="Arial" w:cs="Arial" w:eastAsia="Arial" w:hAnsi="Arial"/>
          <w:sz w:val="18"/>
          <w:szCs w:val="18"/>
          <w:color w:val="auto"/>
        </w:rPr>
        <w:t>Leadership Development and Compensation Committee and Governance,   $ 25,000  Nominating and Executive Committee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color w:val="auto"/>
              </w:rPr>
              <w:t>Additional annual retainer fee payable to Independent Chairman of the Board</w:t>
            </w:r>
          </w:p>
        </w:tc>
        <w:tc>
          <w:tcPr>
            <w:tcW w:w="2740" w:type="dxa"/>
            <w:vAlign w:val="bottom"/>
          </w:tcPr>
          <w:p>
            <w:pPr>
              <w:ind w:left="1720"/>
              <w:spacing w:after="0"/>
              <w:rPr>
                <w:sz w:val="20"/>
                <w:szCs w:val="20"/>
                <w:color w:val="auto"/>
              </w:rPr>
            </w:pPr>
            <w:r>
              <w:rPr>
                <w:rFonts w:ascii="Arial" w:cs="Arial" w:eastAsia="Arial" w:hAnsi="Arial"/>
                <w:sz w:val="18"/>
                <w:szCs w:val="18"/>
                <w:color w:val="auto"/>
                <w:w w:val="80"/>
              </w:rPr>
              <w:t>   $ 100,000 </w:t>
            </w:r>
          </w:p>
        </w:tc>
      </w:tr>
    </w:tbl>
    <w:p>
      <w:pPr>
        <w:spacing w:after="0" w:line="3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annual retainer fee payable to non-Chair members of the Audit</w:t>
      </w:r>
    </w:p>
    <w:p>
      <w:pPr>
        <w:jc w:val="both"/>
        <w:ind w:left="340" w:right="200"/>
        <w:spacing w:after="0" w:line="266" w:lineRule="auto"/>
        <w:rPr>
          <w:sz w:val="20"/>
          <w:szCs w:val="20"/>
          <w:color w:val="auto"/>
        </w:rPr>
      </w:pPr>
      <w:r>
        <w:rPr>
          <w:rFonts w:ascii="Arial" w:cs="Arial" w:eastAsia="Arial" w:hAnsi="Arial"/>
          <w:sz w:val="18"/>
          <w:szCs w:val="18"/>
          <w:color w:val="auto"/>
        </w:rPr>
        <w:t>Committee, Leadership Development and Compensation Committee and   $ 15,000  Governance, Nominating and 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7"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The stock price used for purposes of all calculations made under the Program equaled the average closing price of a share of the Company’s stock for the trading days within the 30-calendar-day period that ended on the eleventh calendar day before the date of grant.</w:t>
      </w:r>
    </w:p>
    <w:p>
      <w:pPr>
        <w:spacing w:after="0" w:line="154"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Each non-employee director had the right, prior to the annual meeting at which he or she is elected or re-elected as a director, to elect to receive some or all of these annual retainer fees in the form of fully vested non-qualified stock options instead of cash. A director who elected to receive some or all of these annual retainer fees in the form of a stock option received an option to purchase a number of shares equal to the amount of the retainer or portion of the retainer being converted divided by the Black-Scholes value of an option.</w:t>
      </w:r>
    </w:p>
    <w:p>
      <w:pPr>
        <w:spacing w:after="0" w:line="174" w:lineRule="exact"/>
        <w:rPr>
          <w:sz w:val="20"/>
          <w:szCs w:val="20"/>
          <w:color w:val="auto"/>
        </w:rPr>
      </w:pPr>
    </w:p>
    <w:p>
      <w:pPr>
        <w:jc w:val="both"/>
        <w:ind w:left="120" w:firstLine="551"/>
        <w:spacing w:after="0" w:line="244" w:lineRule="auto"/>
        <w:rPr>
          <w:sz w:val="20"/>
          <w:szCs w:val="20"/>
          <w:color w:val="auto"/>
        </w:rPr>
      </w:pPr>
      <w:r>
        <w:rPr>
          <w:rFonts w:ascii="Arial" w:cs="Arial" w:eastAsia="Arial" w:hAnsi="Arial"/>
          <w:sz w:val="18"/>
          <w:szCs w:val="18"/>
          <w:color w:val="auto"/>
        </w:rPr>
        <w:t>Upon initial election to the Board, each non-employee director was entitled to receive a number of non-qualified stock options subject to three-year ratable vesting equal to $560,000 divided by the Black-Scholes value of a non-qualified stock option. The director was able to elect to convert either 50% or 100% of these stock options to restricted stock units (“RSUs”) subject to three-year ratable vesting. The number of RSUs was determined by dividing the aggregate Black-Scholes value of the non-qualified stock options being exchanged by the value of an RSU.</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32</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0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Proxy</w:t>
            </w:r>
          </w:p>
        </w:tc>
        <w:tc>
          <w:tcPr>
            <w:tcW w:w="11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22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Corporate</w:t>
            </w:r>
          </w:p>
        </w:tc>
        <w:tc>
          <w:tcPr>
            <w:tcW w:w="1520" w:type="dxa"/>
            <w:vAlign w:val="bottom"/>
            <w:shd w:val="clear" w:color="auto" w:fill="F2F2F2"/>
          </w:tcPr>
          <w:p>
            <w:pPr>
              <w:ind w:left="18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00" w:type="dxa"/>
            <w:vAlign w:val="bottom"/>
            <w:shd w:val="clear" w:color="auto" w:fill="F2F2F2"/>
          </w:tcPr>
          <w:p>
            <w:pPr>
              <w:ind w:left="620"/>
              <w:spacing w:after="0" w:line="202" w:lineRule="exact"/>
              <w:rPr>
                <w:sz w:val="20"/>
                <w:szCs w:val="20"/>
                <w:color w:val="auto"/>
              </w:rPr>
            </w:pPr>
            <w:r>
              <w:rPr>
                <w:rFonts w:ascii="Arial" w:cs="Arial" w:eastAsia="Arial" w:hAnsi="Arial"/>
                <w:sz w:val="18"/>
                <w:szCs w:val="18"/>
                <w:color w:val="auto"/>
                <w:w w:val="98"/>
              </w:rPr>
              <w:t>Summary</w:t>
            </w:r>
          </w:p>
        </w:tc>
        <w:tc>
          <w:tcPr>
            <w:tcW w:w="118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22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Governance</w:t>
            </w:r>
          </w:p>
        </w:tc>
        <w:tc>
          <w:tcPr>
            <w:tcW w:w="152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00" w:type="dxa"/>
            <w:vAlign w:val="bottom"/>
            <w:shd w:val="clear" w:color="auto" w:fill="F2F2F2"/>
          </w:tcPr>
          <w:p>
            <w:pPr>
              <w:spacing w:after="0"/>
              <w:rPr>
                <w:sz w:val="16"/>
                <w:szCs w:val="16"/>
                <w:color w:val="auto"/>
              </w:rPr>
            </w:pPr>
          </w:p>
        </w:tc>
        <w:tc>
          <w:tcPr>
            <w:tcW w:w="1180" w:type="dxa"/>
            <w:vAlign w:val="bottom"/>
            <w:shd w:val="clear" w:color="auto" w:fill="F2F2F2"/>
          </w:tcPr>
          <w:p>
            <w:pPr>
              <w:spacing w:after="0"/>
              <w:rPr>
                <w:sz w:val="16"/>
                <w:szCs w:val="16"/>
                <w:color w:val="auto"/>
              </w:rPr>
            </w:pPr>
          </w:p>
        </w:tc>
        <w:tc>
          <w:tcPr>
            <w:tcW w:w="122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520" w:type="dxa"/>
            <w:vAlign w:val="bottom"/>
            <w:shd w:val="clear" w:color="auto" w:fill="F2F2F2"/>
          </w:tcPr>
          <w:p>
            <w:pPr>
              <w:spacing w:after="0"/>
              <w:rPr>
                <w:sz w:val="16"/>
                <w:szCs w:val="16"/>
                <w:color w:val="auto"/>
              </w:rPr>
            </w:pP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00" w:type="dxa"/>
            <w:vAlign w:val="bottom"/>
            <w:tcBorders>
              <w:top w:val="single" w:sz="8" w:color="F2F2F2"/>
            </w:tcBorders>
            <w:shd w:val="clear" w:color="auto" w:fill="F2F2F2"/>
          </w:tcPr>
          <w:p>
            <w:pPr>
              <w:spacing w:after="0"/>
              <w:rPr>
                <w:sz w:val="2"/>
                <w:szCs w:val="2"/>
                <w:color w:val="auto"/>
              </w:rPr>
            </w:pPr>
          </w:p>
        </w:tc>
        <w:tc>
          <w:tcPr>
            <w:tcW w:w="118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400" w:type="dxa"/>
            <w:vAlign w:val="bottom"/>
            <w:tcBorders>
              <w:top w:val="single" w:sz="8" w:color="F2F2F2"/>
            </w:tcBorders>
            <w:shd w:val="clear" w:color="auto" w:fill="F2F2F2"/>
          </w:tcPr>
          <w:p>
            <w:pPr>
              <w:spacing w:after="0"/>
              <w:rPr>
                <w:sz w:val="2"/>
                <w:szCs w:val="2"/>
                <w:color w:val="auto"/>
              </w:rPr>
            </w:pPr>
          </w:p>
        </w:tc>
        <w:tc>
          <w:tcPr>
            <w:tcW w:w="15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Annual equity grants made to non-employee directors who were re-elected at the 2025 annual meeting of stockholders after serving on the Board at least since the previous annual meeting were in the form of stock options subject to one-year cliff vesting equal to $280,000 divided by the Black-Scholes value of a non-qualified stock option, and each committee chair received an additional annual grant in the form of stock options subject to one-year cliff vesting equal to $30,000 divided by the Black-Scholes value of a non-qualified stock option. Each director was able to elect to convert either 50% or 100% of these stock options to RSUs subject to one-year cliff vesting. The number of RSUs was determined by dividing the aggregate Black-Scholes value of the non-qualified stock options being exchanged by the value of an RSU. Equity awards granted upon an annual meeting that are subject to vesting will vest upon the dates of successive annual meetings.</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Director Stock Ownership Guidelines</w:t>
      </w:r>
    </w:p>
    <w:p>
      <w:pPr>
        <w:spacing w:after="0" w:line="164"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Our policy requires non-employee directors to hold seven times the base annual retainer fee in share value to be owned within five years of initial election or appointment. Our guidelines provide that only shares owned outright and unvested time-based RSUs are counted for purposes of determining compliance with these guidelines (stock options do not count towards ownership). All of the directors currently meet the stock ownership guidelines or are making acceptable progress to their applicable level.</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Director and Officer Liability Insurance Policies</w:t>
      </w:r>
    </w:p>
    <w:p>
      <w:pPr>
        <w:spacing w:after="0" w:line="164"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Directors are covered under our director and officer liability insurance policies for claims alleged in connection with their service as directors. We have entered into indemnification agreements with all of our directors agreeing to indemnify them to the fullest extent permitted by law for claims alleged in connection with their service as directors.</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Director Compensation for Fiscal 2025</w:t>
      </w:r>
    </w:p>
    <w:p>
      <w:pPr>
        <w:spacing w:after="0" w:line="150"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The table below summarizes the compensation paid by the Company to each non-employee director for the fiscal year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238125</wp:posOffset>
            </wp:positionV>
            <wp:extent cx="6995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4"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2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376DB5"/>
              </w:rPr>
              <w:t>Change in</w:t>
            </w:r>
          </w:p>
        </w:tc>
        <w:tc>
          <w:tcPr>
            <w:tcW w:w="14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2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jc w:val="center"/>
              <w:spacing w:after="0" w:line="189" w:lineRule="exact"/>
              <w:rPr>
                <w:sz w:val="20"/>
                <w:szCs w:val="20"/>
                <w:color w:val="auto"/>
              </w:rPr>
            </w:pPr>
            <w:r>
              <w:rPr>
                <w:rFonts w:ascii="Arial" w:cs="Arial" w:eastAsia="Arial" w:hAnsi="Arial"/>
                <w:sz w:val="17"/>
                <w:szCs w:val="17"/>
                <w:color w:val="376DB5"/>
              </w:rPr>
              <w:t>Pension</w:t>
            </w:r>
          </w:p>
        </w:tc>
        <w:tc>
          <w:tcPr>
            <w:tcW w:w="14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2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jc w:val="center"/>
              <w:spacing w:after="0" w:line="189" w:lineRule="exact"/>
              <w:rPr>
                <w:sz w:val="20"/>
                <w:szCs w:val="20"/>
                <w:color w:val="auto"/>
              </w:rPr>
            </w:pPr>
            <w:r>
              <w:rPr>
                <w:rFonts w:ascii="Arial" w:cs="Arial" w:eastAsia="Arial" w:hAnsi="Arial"/>
                <w:sz w:val="17"/>
                <w:szCs w:val="17"/>
                <w:color w:val="376DB5"/>
                <w:w w:val="99"/>
              </w:rPr>
              <w:t>Value and</w:t>
            </w:r>
          </w:p>
        </w:tc>
        <w:tc>
          <w:tcPr>
            <w:tcW w:w="14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2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jc w:val="center"/>
              <w:spacing w:after="0" w:line="189" w:lineRule="exact"/>
              <w:rPr>
                <w:sz w:val="20"/>
                <w:szCs w:val="20"/>
                <w:color w:val="auto"/>
              </w:rPr>
            </w:pPr>
            <w:r>
              <w:rPr>
                <w:rFonts w:ascii="Arial" w:cs="Arial" w:eastAsia="Arial" w:hAnsi="Arial"/>
                <w:sz w:val="17"/>
                <w:szCs w:val="17"/>
                <w:color w:val="376DB5"/>
              </w:rPr>
              <w:t>Non-qualified</w:t>
            </w:r>
          </w:p>
        </w:tc>
        <w:tc>
          <w:tcPr>
            <w:tcW w:w="14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2320" w:type="dxa"/>
            <w:vAlign w:val="bottom"/>
          </w:tcPr>
          <w:p>
            <w:pPr>
              <w:spacing w:after="0"/>
              <w:rPr>
                <w:sz w:val="16"/>
                <w:szCs w:val="16"/>
                <w:color w:val="auto"/>
              </w:rPr>
            </w:pPr>
          </w:p>
        </w:tc>
        <w:tc>
          <w:tcPr>
            <w:tcW w:w="1440" w:type="dxa"/>
            <w:vAlign w:val="bottom"/>
          </w:tcPr>
          <w:p>
            <w:pPr>
              <w:jc w:val="center"/>
              <w:spacing w:after="0" w:line="189" w:lineRule="exact"/>
              <w:rPr>
                <w:sz w:val="20"/>
                <w:szCs w:val="20"/>
                <w:color w:val="auto"/>
              </w:rPr>
            </w:pPr>
            <w:r>
              <w:rPr>
                <w:rFonts w:ascii="Arial" w:cs="Arial" w:eastAsia="Arial" w:hAnsi="Arial"/>
                <w:sz w:val="17"/>
                <w:szCs w:val="17"/>
                <w:color w:val="376DB5"/>
              </w:rPr>
              <w:t>Fees</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7"/>
                <w:szCs w:val="17"/>
                <w:color w:val="376DB5"/>
                <w:w w:val="99"/>
              </w:rPr>
              <w:t>Non-Equity</w:t>
            </w:r>
          </w:p>
        </w:tc>
        <w:tc>
          <w:tcPr>
            <w:tcW w:w="1400" w:type="dxa"/>
            <w:vAlign w:val="bottom"/>
          </w:tcPr>
          <w:p>
            <w:pPr>
              <w:jc w:val="center"/>
              <w:spacing w:after="0" w:line="189" w:lineRule="exact"/>
              <w:rPr>
                <w:sz w:val="20"/>
                <w:szCs w:val="20"/>
                <w:color w:val="auto"/>
              </w:rPr>
            </w:pPr>
            <w:r>
              <w:rPr>
                <w:rFonts w:ascii="Arial" w:cs="Arial" w:eastAsia="Arial" w:hAnsi="Arial"/>
                <w:sz w:val="17"/>
                <w:szCs w:val="17"/>
                <w:color w:val="376DB5"/>
                <w:w w:val="99"/>
              </w:rPr>
              <w:t>Deferred</w:t>
            </w:r>
          </w:p>
        </w:tc>
        <w:tc>
          <w:tcPr>
            <w:tcW w:w="1440" w:type="dxa"/>
            <w:vAlign w:val="bottom"/>
          </w:tcPr>
          <w:p>
            <w:pPr>
              <w:jc w:val="center"/>
              <w:spacing w:after="0" w:line="189" w:lineRule="exact"/>
              <w:rPr>
                <w:sz w:val="20"/>
                <w:szCs w:val="20"/>
                <w:color w:val="auto"/>
              </w:rPr>
            </w:pPr>
            <w:r>
              <w:rPr>
                <w:rFonts w:ascii="Arial" w:cs="Arial" w:eastAsia="Arial" w:hAnsi="Arial"/>
                <w:sz w:val="17"/>
                <w:szCs w:val="17"/>
                <w:color w:val="376DB5"/>
                <w:w w:val="95"/>
              </w:rPr>
              <w:t>All</w:t>
            </w:r>
          </w:p>
        </w:tc>
        <w:tc>
          <w:tcPr>
            <w:tcW w:w="900" w:type="dxa"/>
            <w:vAlign w:val="bottom"/>
          </w:tcPr>
          <w:p>
            <w:pPr>
              <w:spacing w:after="0"/>
              <w:rPr>
                <w:sz w:val="16"/>
                <w:szCs w:val="16"/>
                <w:color w:val="auto"/>
              </w:rPr>
            </w:pPr>
          </w:p>
        </w:tc>
      </w:tr>
      <w:tr>
        <w:trPr>
          <w:trHeight w:val="189"/>
        </w:trPr>
        <w:tc>
          <w:tcPr>
            <w:tcW w:w="2320" w:type="dxa"/>
            <w:vAlign w:val="bottom"/>
          </w:tcPr>
          <w:p>
            <w:pPr>
              <w:spacing w:after="0"/>
              <w:rPr>
                <w:sz w:val="16"/>
                <w:szCs w:val="16"/>
                <w:color w:val="auto"/>
              </w:rPr>
            </w:pPr>
          </w:p>
        </w:tc>
        <w:tc>
          <w:tcPr>
            <w:tcW w:w="1440" w:type="dxa"/>
            <w:vAlign w:val="bottom"/>
          </w:tcPr>
          <w:p>
            <w:pPr>
              <w:jc w:val="center"/>
              <w:spacing w:after="0" w:line="189" w:lineRule="exact"/>
              <w:rPr>
                <w:sz w:val="20"/>
                <w:szCs w:val="20"/>
                <w:color w:val="auto"/>
              </w:rPr>
            </w:pPr>
            <w:r>
              <w:rPr>
                <w:rFonts w:ascii="Arial" w:cs="Arial" w:eastAsia="Arial" w:hAnsi="Arial"/>
                <w:sz w:val="17"/>
                <w:szCs w:val="17"/>
                <w:color w:val="376DB5"/>
                <w:w w:val="99"/>
              </w:rPr>
              <w:t>Earned or</w:t>
            </w:r>
          </w:p>
        </w:tc>
        <w:tc>
          <w:tcPr>
            <w:tcW w:w="1040" w:type="dxa"/>
            <w:vAlign w:val="bottom"/>
          </w:tcPr>
          <w:p>
            <w:pPr>
              <w:jc w:val="center"/>
              <w:spacing w:after="0" w:line="189" w:lineRule="exact"/>
              <w:rPr>
                <w:sz w:val="20"/>
                <w:szCs w:val="20"/>
                <w:color w:val="auto"/>
              </w:rPr>
            </w:pPr>
            <w:r>
              <w:rPr>
                <w:rFonts w:ascii="Arial" w:cs="Arial" w:eastAsia="Arial" w:hAnsi="Arial"/>
                <w:sz w:val="17"/>
                <w:szCs w:val="17"/>
                <w:color w:val="376DB5"/>
                <w:w w:val="98"/>
              </w:rPr>
              <w:t>Stock</w:t>
            </w:r>
          </w:p>
        </w:tc>
        <w:tc>
          <w:tcPr>
            <w:tcW w:w="1060" w:type="dxa"/>
            <w:vAlign w:val="bottom"/>
          </w:tcPr>
          <w:p>
            <w:pPr>
              <w:jc w:val="center"/>
              <w:spacing w:after="0" w:line="189" w:lineRule="exact"/>
              <w:rPr>
                <w:sz w:val="20"/>
                <w:szCs w:val="20"/>
                <w:color w:val="auto"/>
              </w:rPr>
            </w:pPr>
            <w:r>
              <w:rPr>
                <w:rFonts w:ascii="Arial" w:cs="Arial" w:eastAsia="Arial" w:hAnsi="Arial"/>
                <w:sz w:val="17"/>
                <w:szCs w:val="17"/>
                <w:color w:val="376DB5"/>
                <w:w w:val="99"/>
              </w:rPr>
              <w:t>Option</w:t>
            </w:r>
          </w:p>
        </w:tc>
        <w:tc>
          <w:tcPr>
            <w:tcW w:w="1420" w:type="dxa"/>
            <w:vAlign w:val="bottom"/>
          </w:tcPr>
          <w:p>
            <w:pPr>
              <w:jc w:val="center"/>
              <w:spacing w:after="0" w:line="189" w:lineRule="exact"/>
              <w:rPr>
                <w:sz w:val="20"/>
                <w:szCs w:val="20"/>
                <w:color w:val="auto"/>
              </w:rPr>
            </w:pPr>
            <w:r>
              <w:rPr>
                <w:rFonts w:ascii="Arial" w:cs="Arial" w:eastAsia="Arial" w:hAnsi="Arial"/>
                <w:sz w:val="17"/>
                <w:szCs w:val="17"/>
                <w:color w:val="376DB5"/>
              </w:rPr>
              <w:t>Incentive Plan</w:t>
            </w:r>
          </w:p>
        </w:tc>
        <w:tc>
          <w:tcPr>
            <w:tcW w:w="1400" w:type="dxa"/>
            <w:vAlign w:val="bottom"/>
          </w:tcPr>
          <w:p>
            <w:pPr>
              <w:jc w:val="center"/>
              <w:spacing w:after="0" w:line="189" w:lineRule="exact"/>
              <w:rPr>
                <w:sz w:val="20"/>
                <w:szCs w:val="20"/>
                <w:color w:val="auto"/>
              </w:rPr>
            </w:pPr>
            <w:r>
              <w:rPr>
                <w:rFonts w:ascii="Arial" w:cs="Arial" w:eastAsia="Arial" w:hAnsi="Arial"/>
                <w:sz w:val="17"/>
                <w:szCs w:val="17"/>
                <w:color w:val="376DB5"/>
              </w:rPr>
              <w:t>Compensation</w:t>
            </w:r>
          </w:p>
        </w:tc>
        <w:tc>
          <w:tcPr>
            <w:tcW w:w="1440" w:type="dxa"/>
            <w:vAlign w:val="bottom"/>
          </w:tcPr>
          <w:p>
            <w:pPr>
              <w:jc w:val="center"/>
              <w:spacing w:after="0" w:line="189" w:lineRule="exact"/>
              <w:rPr>
                <w:sz w:val="20"/>
                <w:szCs w:val="20"/>
                <w:color w:val="auto"/>
              </w:rPr>
            </w:pPr>
            <w:r>
              <w:rPr>
                <w:rFonts w:ascii="Arial" w:cs="Arial" w:eastAsia="Arial" w:hAnsi="Arial"/>
                <w:sz w:val="17"/>
                <w:szCs w:val="17"/>
                <w:color w:val="376DB5"/>
                <w:w w:val="98"/>
              </w:rPr>
              <w:t>Other</w:t>
            </w:r>
          </w:p>
        </w:tc>
        <w:tc>
          <w:tcPr>
            <w:tcW w:w="900" w:type="dxa"/>
            <w:vAlign w:val="bottom"/>
          </w:tcPr>
          <w:p>
            <w:pPr>
              <w:spacing w:after="0"/>
              <w:rPr>
                <w:sz w:val="16"/>
                <w:szCs w:val="16"/>
                <w:color w:val="auto"/>
              </w:rPr>
            </w:pPr>
          </w:p>
        </w:tc>
      </w:tr>
      <w:tr>
        <w:trPr>
          <w:trHeight w:val="189"/>
        </w:trPr>
        <w:tc>
          <w:tcPr>
            <w:tcW w:w="2320" w:type="dxa"/>
            <w:vAlign w:val="bottom"/>
          </w:tcPr>
          <w:p>
            <w:pPr>
              <w:spacing w:after="0"/>
              <w:rPr>
                <w:sz w:val="16"/>
                <w:szCs w:val="16"/>
                <w:color w:val="auto"/>
              </w:rPr>
            </w:pPr>
          </w:p>
        </w:tc>
        <w:tc>
          <w:tcPr>
            <w:tcW w:w="1440" w:type="dxa"/>
            <w:vAlign w:val="bottom"/>
          </w:tcPr>
          <w:p>
            <w:pPr>
              <w:jc w:val="center"/>
              <w:spacing w:after="0" w:line="189" w:lineRule="exact"/>
              <w:rPr>
                <w:sz w:val="20"/>
                <w:szCs w:val="20"/>
                <w:color w:val="auto"/>
              </w:rPr>
            </w:pPr>
            <w:r>
              <w:rPr>
                <w:rFonts w:ascii="Arial" w:cs="Arial" w:eastAsia="Arial" w:hAnsi="Arial"/>
                <w:sz w:val="17"/>
                <w:szCs w:val="17"/>
                <w:color w:val="376DB5"/>
                <w:w w:val="99"/>
              </w:rPr>
              <w:t>Paid in</w:t>
            </w:r>
          </w:p>
        </w:tc>
        <w:tc>
          <w:tcPr>
            <w:tcW w:w="1040" w:type="dxa"/>
            <w:vAlign w:val="bottom"/>
          </w:tcPr>
          <w:p>
            <w:pPr>
              <w:jc w:val="center"/>
              <w:spacing w:after="0" w:line="189" w:lineRule="exact"/>
              <w:rPr>
                <w:sz w:val="20"/>
                <w:szCs w:val="20"/>
                <w:color w:val="auto"/>
              </w:rPr>
            </w:pPr>
            <w:r>
              <w:rPr>
                <w:rFonts w:ascii="Arial" w:cs="Arial" w:eastAsia="Arial" w:hAnsi="Arial"/>
                <w:sz w:val="17"/>
                <w:szCs w:val="17"/>
                <w:color w:val="376DB5"/>
              </w:rPr>
              <w:t>Awards</w:t>
            </w:r>
          </w:p>
        </w:tc>
        <w:tc>
          <w:tcPr>
            <w:tcW w:w="1060" w:type="dxa"/>
            <w:vAlign w:val="bottom"/>
          </w:tcPr>
          <w:p>
            <w:pPr>
              <w:jc w:val="center"/>
              <w:spacing w:after="0" w:line="189" w:lineRule="exact"/>
              <w:rPr>
                <w:sz w:val="20"/>
                <w:szCs w:val="20"/>
                <w:color w:val="auto"/>
              </w:rPr>
            </w:pPr>
            <w:r>
              <w:rPr>
                <w:rFonts w:ascii="Arial" w:cs="Arial" w:eastAsia="Arial" w:hAnsi="Arial"/>
                <w:sz w:val="17"/>
                <w:szCs w:val="17"/>
                <w:color w:val="376DB5"/>
                <w:w w:val="98"/>
              </w:rPr>
              <w:t>Awards</w:t>
            </w:r>
          </w:p>
        </w:tc>
        <w:tc>
          <w:tcPr>
            <w:tcW w:w="1420" w:type="dxa"/>
            <w:vAlign w:val="bottom"/>
          </w:tcPr>
          <w:p>
            <w:pPr>
              <w:jc w:val="center"/>
              <w:spacing w:after="0" w:line="189" w:lineRule="exact"/>
              <w:rPr>
                <w:sz w:val="20"/>
                <w:szCs w:val="20"/>
                <w:color w:val="auto"/>
              </w:rPr>
            </w:pPr>
            <w:r>
              <w:rPr>
                <w:rFonts w:ascii="Arial" w:cs="Arial" w:eastAsia="Arial" w:hAnsi="Arial"/>
                <w:sz w:val="17"/>
                <w:szCs w:val="17"/>
                <w:color w:val="376DB5"/>
              </w:rPr>
              <w:t>Compensation</w:t>
            </w:r>
          </w:p>
        </w:tc>
        <w:tc>
          <w:tcPr>
            <w:tcW w:w="1400" w:type="dxa"/>
            <w:vAlign w:val="bottom"/>
          </w:tcPr>
          <w:p>
            <w:pPr>
              <w:jc w:val="center"/>
              <w:spacing w:after="0" w:line="189" w:lineRule="exact"/>
              <w:rPr>
                <w:sz w:val="20"/>
                <w:szCs w:val="20"/>
                <w:color w:val="auto"/>
              </w:rPr>
            </w:pPr>
            <w:r>
              <w:rPr>
                <w:rFonts w:ascii="Arial" w:cs="Arial" w:eastAsia="Arial" w:hAnsi="Arial"/>
                <w:sz w:val="17"/>
                <w:szCs w:val="17"/>
                <w:color w:val="376DB5"/>
                <w:w w:val="98"/>
              </w:rPr>
              <w:t>Earnings</w:t>
            </w:r>
          </w:p>
        </w:tc>
        <w:tc>
          <w:tcPr>
            <w:tcW w:w="1440" w:type="dxa"/>
            <w:vAlign w:val="bottom"/>
          </w:tcPr>
          <w:p>
            <w:pPr>
              <w:jc w:val="center"/>
              <w:spacing w:after="0" w:line="189" w:lineRule="exact"/>
              <w:rPr>
                <w:sz w:val="20"/>
                <w:szCs w:val="20"/>
                <w:color w:val="auto"/>
              </w:rPr>
            </w:pPr>
            <w:r>
              <w:rPr>
                <w:rFonts w:ascii="Arial" w:cs="Arial" w:eastAsia="Arial" w:hAnsi="Arial"/>
                <w:sz w:val="17"/>
                <w:szCs w:val="17"/>
                <w:color w:val="376DB5"/>
              </w:rPr>
              <w:t>Compensation</w:t>
            </w:r>
          </w:p>
        </w:tc>
        <w:tc>
          <w:tcPr>
            <w:tcW w:w="900" w:type="dxa"/>
            <w:vAlign w:val="bottom"/>
          </w:tcPr>
          <w:p>
            <w:pPr>
              <w:jc w:val="right"/>
              <w:ind w:right="151"/>
              <w:spacing w:after="0" w:line="189" w:lineRule="exact"/>
              <w:rPr>
                <w:sz w:val="20"/>
                <w:szCs w:val="20"/>
                <w:color w:val="auto"/>
              </w:rPr>
            </w:pPr>
            <w:r>
              <w:rPr>
                <w:rFonts w:ascii="Arial" w:cs="Arial" w:eastAsia="Arial" w:hAnsi="Arial"/>
                <w:sz w:val="17"/>
                <w:szCs w:val="17"/>
                <w:color w:val="376DB5"/>
              </w:rPr>
              <w:t>Total</w:t>
            </w:r>
          </w:p>
        </w:tc>
      </w:tr>
      <w:tr>
        <w:trPr>
          <w:trHeight w:val="245"/>
        </w:trPr>
        <w:tc>
          <w:tcPr>
            <w:tcW w:w="2320" w:type="dxa"/>
            <w:vAlign w:val="bottom"/>
            <w:tcBorders>
              <w:bottom w:val="single" w:sz="8" w:color="376DB5"/>
            </w:tcBorders>
          </w:tcPr>
          <w:p>
            <w:pPr>
              <w:spacing w:after="0"/>
              <w:rPr>
                <w:sz w:val="20"/>
                <w:szCs w:val="20"/>
                <w:color w:val="auto"/>
              </w:rPr>
            </w:pPr>
            <w:r>
              <w:rPr>
                <w:rFonts w:ascii="Arial" w:cs="Arial" w:eastAsia="Arial" w:hAnsi="Arial"/>
                <w:sz w:val="17"/>
                <w:szCs w:val="17"/>
                <w:color w:val="376DB5"/>
              </w:rPr>
              <w:t>  Name</w:t>
            </w:r>
          </w:p>
        </w:tc>
        <w:tc>
          <w:tcPr>
            <w:tcW w:w="1440" w:type="dxa"/>
            <w:vAlign w:val="bottom"/>
            <w:tcBorders>
              <w:bottom w:val="single" w:sz="8" w:color="376DB5"/>
            </w:tcBorders>
          </w:tcPr>
          <w:p>
            <w:pPr>
              <w:jc w:val="center"/>
              <w:spacing w:after="0"/>
              <w:rPr>
                <w:sz w:val="20"/>
                <w:szCs w:val="20"/>
                <w:color w:val="auto"/>
              </w:rPr>
            </w:pPr>
            <w:r>
              <w:rPr>
                <w:rFonts w:ascii="Arial" w:cs="Arial" w:eastAsia="Arial" w:hAnsi="Arial"/>
                <w:sz w:val="17"/>
                <w:szCs w:val="17"/>
                <w:color w:val="376DB5"/>
              </w:rPr>
              <w:t>Cash ($)</w:t>
            </w:r>
            <w:r>
              <w:rPr>
                <w:rFonts w:ascii="Arial" w:cs="Arial" w:eastAsia="Arial" w:hAnsi="Arial"/>
                <w:sz w:val="12"/>
                <w:szCs w:val="12"/>
                <w:color w:val="376DB5"/>
              </w:rPr>
              <w:t>(1)</w:t>
            </w:r>
          </w:p>
        </w:tc>
        <w:tc>
          <w:tcPr>
            <w:tcW w:w="1040" w:type="dxa"/>
            <w:vAlign w:val="bottom"/>
            <w:tcBorders>
              <w:bottom w:val="single" w:sz="8" w:color="376DB5"/>
            </w:tcBorders>
          </w:tcPr>
          <w:p>
            <w:pPr>
              <w:jc w:val="center"/>
              <w:spacing w:after="0"/>
              <w:rPr>
                <w:sz w:val="20"/>
                <w:szCs w:val="20"/>
                <w:color w:val="auto"/>
              </w:rPr>
            </w:pPr>
            <w:r>
              <w:rPr>
                <w:rFonts w:ascii="Arial" w:cs="Arial" w:eastAsia="Arial" w:hAnsi="Arial"/>
                <w:sz w:val="17"/>
                <w:szCs w:val="17"/>
                <w:color w:val="376DB5"/>
              </w:rPr>
              <w:t>($)</w:t>
            </w:r>
            <w:r>
              <w:rPr>
                <w:rFonts w:ascii="Arial" w:cs="Arial" w:eastAsia="Arial" w:hAnsi="Arial"/>
                <w:sz w:val="12"/>
                <w:szCs w:val="12"/>
                <w:color w:val="376DB5"/>
              </w:rPr>
              <w:t>(10)(11)</w:t>
            </w:r>
          </w:p>
        </w:tc>
        <w:tc>
          <w:tcPr>
            <w:tcW w:w="1060" w:type="dxa"/>
            <w:vAlign w:val="bottom"/>
            <w:tcBorders>
              <w:bottom w:val="single" w:sz="8" w:color="376DB5"/>
            </w:tcBorders>
          </w:tcPr>
          <w:p>
            <w:pPr>
              <w:jc w:val="center"/>
              <w:spacing w:after="0"/>
              <w:rPr>
                <w:sz w:val="20"/>
                <w:szCs w:val="20"/>
                <w:color w:val="auto"/>
              </w:rPr>
            </w:pPr>
            <w:r>
              <w:rPr>
                <w:rFonts w:ascii="Arial" w:cs="Arial" w:eastAsia="Arial" w:hAnsi="Arial"/>
                <w:sz w:val="17"/>
                <w:szCs w:val="17"/>
                <w:color w:val="376DB5"/>
              </w:rPr>
              <w:t>($)</w:t>
            </w:r>
            <w:r>
              <w:rPr>
                <w:rFonts w:ascii="Arial" w:cs="Arial" w:eastAsia="Arial" w:hAnsi="Arial"/>
                <w:sz w:val="12"/>
                <w:szCs w:val="12"/>
                <w:color w:val="376DB5"/>
              </w:rPr>
              <w:t>(10)(12)</w:t>
            </w:r>
          </w:p>
        </w:tc>
        <w:tc>
          <w:tcPr>
            <w:tcW w:w="1420" w:type="dxa"/>
            <w:vAlign w:val="bottom"/>
            <w:tcBorders>
              <w:bottom w:val="single" w:sz="8" w:color="376DB5"/>
            </w:tcBorders>
          </w:tcPr>
          <w:p>
            <w:pPr>
              <w:jc w:val="center"/>
              <w:spacing w:after="0"/>
              <w:rPr>
                <w:sz w:val="20"/>
                <w:szCs w:val="20"/>
                <w:color w:val="auto"/>
              </w:rPr>
            </w:pPr>
            <w:r>
              <w:rPr>
                <w:rFonts w:ascii="Arial" w:cs="Arial" w:eastAsia="Arial" w:hAnsi="Arial"/>
                <w:sz w:val="17"/>
                <w:szCs w:val="17"/>
                <w:color w:val="376DB5"/>
                <w:w w:val="96"/>
              </w:rPr>
              <w:t>($)</w:t>
            </w:r>
          </w:p>
        </w:tc>
        <w:tc>
          <w:tcPr>
            <w:tcW w:w="1400" w:type="dxa"/>
            <w:vAlign w:val="bottom"/>
            <w:tcBorders>
              <w:bottom w:val="single" w:sz="8" w:color="376DB5"/>
            </w:tcBorders>
          </w:tcPr>
          <w:p>
            <w:pPr>
              <w:jc w:val="center"/>
              <w:spacing w:after="0"/>
              <w:rPr>
                <w:sz w:val="20"/>
                <w:szCs w:val="20"/>
                <w:color w:val="auto"/>
              </w:rPr>
            </w:pPr>
            <w:r>
              <w:rPr>
                <w:rFonts w:ascii="Arial" w:cs="Arial" w:eastAsia="Arial" w:hAnsi="Arial"/>
                <w:sz w:val="17"/>
                <w:szCs w:val="17"/>
                <w:color w:val="376DB5"/>
              </w:rPr>
              <w:t>($)</w:t>
            </w:r>
          </w:p>
        </w:tc>
        <w:tc>
          <w:tcPr>
            <w:tcW w:w="1440" w:type="dxa"/>
            <w:vAlign w:val="bottom"/>
            <w:tcBorders>
              <w:bottom w:val="single" w:sz="8" w:color="376DB5"/>
            </w:tcBorders>
          </w:tcPr>
          <w:p>
            <w:pPr>
              <w:jc w:val="center"/>
              <w:spacing w:after="0"/>
              <w:rPr>
                <w:sz w:val="20"/>
                <w:szCs w:val="20"/>
                <w:color w:val="auto"/>
              </w:rPr>
            </w:pPr>
            <w:r>
              <w:rPr>
                <w:rFonts w:ascii="Arial" w:cs="Arial" w:eastAsia="Arial" w:hAnsi="Arial"/>
                <w:sz w:val="17"/>
                <w:szCs w:val="17"/>
                <w:color w:val="376DB5"/>
              </w:rPr>
              <w:t>($)</w:t>
            </w:r>
          </w:p>
        </w:tc>
        <w:tc>
          <w:tcPr>
            <w:tcW w:w="900" w:type="dxa"/>
            <w:vAlign w:val="bottom"/>
            <w:tcBorders>
              <w:bottom w:val="single" w:sz="8" w:color="376DB5"/>
            </w:tcBorders>
          </w:tcPr>
          <w:p>
            <w:pPr>
              <w:jc w:val="right"/>
              <w:ind w:right="231"/>
              <w:spacing w:after="0"/>
              <w:rPr>
                <w:sz w:val="20"/>
                <w:szCs w:val="20"/>
                <w:color w:val="auto"/>
              </w:rPr>
            </w:pPr>
            <w:r>
              <w:rPr>
                <w:rFonts w:ascii="Arial" w:cs="Arial" w:eastAsia="Arial" w:hAnsi="Arial"/>
                <w:sz w:val="17"/>
                <w:szCs w:val="17"/>
                <w:color w:val="376DB5"/>
              </w:rPr>
              <w:t>($)</w:t>
            </w:r>
          </w:p>
        </w:tc>
      </w:tr>
      <w:tr>
        <w:trPr>
          <w:trHeight w:val="324"/>
        </w:trPr>
        <w:tc>
          <w:tcPr>
            <w:tcW w:w="2320" w:type="dxa"/>
            <w:vAlign w:val="bottom"/>
          </w:tcPr>
          <w:p>
            <w:pPr>
              <w:ind w:left="80"/>
              <w:spacing w:after="0"/>
              <w:rPr>
                <w:sz w:val="20"/>
                <w:szCs w:val="20"/>
                <w:color w:val="auto"/>
              </w:rPr>
            </w:pPr>
            <w:r>
              <w:rPr>
                <w:rFonts w:ascii="Arial" w:cs="Arial" w:eastAsia="Arial" w:hAnsi="Arial"/>
                <w:sz w:val="18"/>
                <w:szCs w:val="18"/>
                <w:color w:val="auto"/>
              </w:rPr>
              <w:t>Fabiola R. Arredondo</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75,000</w:t>
            </w:r>
            <w:r>
              <w:rPr>
                <w:rFonts w:ascii="Arial" w:cs="Arial" w:eastAsia="Arial" w:hAnsi="Arial"/>
                <w:sz w:val="26"/>
                <w:szCs w:val="26"/>
                <w:color w:val="auto"/>
                <w:vertAlign w:val="superscript"/>
              </w:rPr>
              <w:t>(2)</w:t>
            </w:r>
          </w:p>
        </w:tc>
        <w:tc>
          <w:tcPr>
            <w:tcW w:w="1040" w:type="dxa"/>
            <w:vAlign w:val="bottom"/>
          </w:tcPr>
          <w:p>
            <w:pPr>
              <w:jc w:val="center"/>
              <w:spacing w:after="0"/>
              <w:rPr>
                <w:sz w:val="20"/>
                <w:szCs w:val="20"/>
                <w:color w:val="auto"/>
              </w:rPr>
            </w:pPr>
            <w:r>
              <w:rPr>
                <w:rFonts w:ascii="Arial" w:cs="Arial" w:eastAsia="Arial" w:hAnsi="Arial"/>
                <w:sz w:val="18"/>
                <w:szCs w:val="18"/>
                <w:color w:val="auto"/>
                <w:w w:val="98"/>
              </w:rPr>
              <w:t>288,444</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363,444</w:t>
            </w:r>
          </w:p>
        </w:tc>
      </w:tr>
      <w:tr>
        <w:trPr>
          <w:trHeight w:val="338"/>
        </w:trPr>
        <w:tc>
          <w:tcPr>
            <w:tcW w:w="2320" w:type="dxa"/>
            <w:vAlign w:val="bottom"/>
            <w:shd w:val="clear" w:color="auto" w:fill="F2F2F2"/>
          </w:tcPr>
          <w:p>
            <w:pPr>
              <w:ind w:left="80"/>
              <w:spacing w:after="0"/>
              <w:rPr>
                <w:sz w:val="20"/>
                <w:szCs w:val="20"/>
                <w:color w:val="auto"/>
              </w:rPr>
            </w:pPr>
            <w:r>
              <w:rPr>
                <w:rFonts w:ascii="Arial" w:cs="Arial" w:eastAsia="Arial" w:hAnsi="Arial"/>
                <w:sz w:val="18"/>
                <w:szCs w:val="18"/>
                <w:color w:val="auto"/>
              </w:rPr>
              <w:t>Braden R. Kelly</w:t>
            </w:r>
          </w:p>
        </w:tc>
        <w:tc>
          <w:tcPr>
            <w:tcW w:w="1440" w:type="dxa"/>
            <w:vAlign w:val="bottom"/>
            <w:shd w:val="clear" w:color="auto" w:fill="F2F2F2"/>
          </w:tcPr>
          <w:p>
            <w:pPr>
              <w:jc w:val="right"/>
              <w:ind w:right="72"/>
              <w:spacing w:after="0"/>
              <w:rPr>
                <w:sz w:val="20"/>
                <w:szCs w:val="20"/>
                <w:color w:val="auto"/>
              </w:rPr>
            </w:pPr>
            <w:r>
              <w:rPr>
                <w:rFonts w:ascii="Arial" w:cs="Arial" w:eastAsia="Arial" w:hAnsi="Arial"/>
                <w:sz w:val="18"/>
                <w:szCs w:val="18"/>
                <w:color w:val="auto"/>
              </w:rPr>
              <w:t>200,000</w:t>
            </w:r>
            <w:r>
              <w:rPr>
                <w:rFonts w:ascii="Arial" w:cs="Arial" w:eastAsia="Arial" w:hAnsi="Arial"/>
                <w:sz w:val="26"/>
                <w:szCs w:val="26"/>
                <w:color w:val="auto"/>
                <w:vertAlign w:val="superscript"/>
              </w:rPr>
              <w:t>(3)</w:t>
            </w:r>
          </w:p>
        </w:tc>
        <w:tc>
          <w:tcPr>
            <w:tcW w:w="10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8"/>
              </w:rPr>
              <w:t>320,285</w:t>
            </w:r>
          </w:p>
        </w:tc>
        <w:tc>
          <w:tcPr>
            <w:tcW w:w="10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520,285</w:t>
            </w:r>
          </w:p>
        </w:tc>
      </w:tr>
      <w:tr>
        <w:trPr>
          <w:trHeight w:val="338"/>
        </w:trPr>
        <w:tc>
          <w:tcPr>
            <w:tcW w:w="2320" w:type="dxa"/>
            <w:vAlign w:val="bottom"/>
          </w:tcPr>
          <w:p>
            <w:pPr>
              <w:ind w:left="80"/>
              <w:spacing w:after="0"/>
              <w:rPr>
                <w:sz w:val="20"/>
                <w:szCs w:val="20"/>
                <w:color w:val="auto"/>
              </w:rPr>
            </w:pPr>
            <w:r>
              <w:rPr>
                <w:rFonts w:ascii="Arial" w:cs="Arial" w:eastAsia="Arial" w:hAnsi="Arial"/>
                <w:sz w:val="18"/>
                <w:szCs w:val="18"/>
                <w:color w:val="auto"/>
              </w:rPr>
              <w:t>James D. Kirsner</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37,500</w:t>
            </w:r>
            <w:r>
              <w:rPr>
                <w:rFonts w:ascii="Arial" w:cs="Arial" w:eastAsia="Arial" w:hAnsi="Arial"/>
                <w:sz w:val="26"/>
                <w:szCs w:val="26"/>
                <w:color w:val="auto"/>
                <w:vertAlign w:val="superscript"/>
              </w:rPr>
              <w:t>(4)</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37,500</w:t>
            </w:r>
          </w:p>
        </w:tc>
      </w:tr>
      <w:tr>
        <w:trPr>
          <w:trHeight w:val="338"/>
        </w:trPr>
        <w:tc>
          <w:tcPr>
            <w:tcW w:w="2320" w:type="dxa"/>
            <w:vAlign w:val="bottom"/>
            <w:shd w:val="clear" w:color="auto" w:fill="F2F2F2"/>
          </w:tcPr>
          <w:p>
            <w:pPr>
              <w:ind w:left="80"/>
              <w:spacing w:after="0"/>
              <w:rPr>
                <w:sz w:val="20"/>
                <w:szCs w:val="20"/>
                <w:color w:val="auto"/>
              </w:rPr>
            </w:pPr>
            <w:r>
              <w:rPr>
                <w:rFonts w:ascii="Arial" w:cs="Arial" w:eastAsia="Arial" w:hAnsi="Arial"/>
                <w:sz w:val="18"/>
                <w:szCs w:val="18"/>
                <w:color w:val="auto"/>
              </w:rPr>
              <w:t>Eva Manolis</w:t>
            </w:r>
          </w:p>
        </w:tc>
        <w:tc>
          <w:tcPr>
            <w:tcW w:w="1440" w:type="dxa"/>
            <w:vAlign w:val="bottom"/>
            <w:shd w:val="clear" w:color="auto" w:fill="F2F2F2"/>
          </w:tcPr>
          <w:p>
            <w:pPr>
              <w:jc w:val="right"/>
              <w:ind w:right="72"/>
              <w:spacing w:after="0"/>
              <w:rPr>
                <w:sz w:val="20"/>
                <w:szCs w:val="20"/>
                <w:color w:val="auto"/>
              </w:rPr>
            </w:pPr>
            <w:r>
              <w:rPr>
                <w:rFonts w:ascii="Arial" w:cs="Arial" w:eastAsia="Arial" w:hAnsi="Arial"/>
                <w:sz w:val="18"/>
                <w:szCs w:val="18"/>
                <w:color w:val="auto"/>
              </w:rPr>
              <w:t>75,000</w:t>
            </w:r>
            <w:r>
              <w:rPr>
                <w:rFonts w:ascii="Arial" w:cs="Arial" w:eastAsia="Arial" w:hAnsi="Arial"/>
                <w:sz w:val="26"/>
                <w:szCs w:val="26"/>
                <w:color w:val="auto"/>
                <w:vertAlign w:val="superscript"/>
              </w:rPr>
              <w:t>(5)</w:t>
            </w:r>
          </w:p>
        </w:tc>
        <w:tc>
          <w:tcPr>
            <w:tcW w:w="10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8"/>
              </w:rPr>
              <w:t>288,444</w:t>
            </w:r>
          </w:p>
        </w:tc>
        <w:tc>
          <w:tcPr>
            <w:tcW w:w="10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363,444</w:t>
            </w:r>
          </w:p>
        </w:tc>
      </w:tr>
      <w:tr>
        <w:trPr>
          <w:trHeight w:val="338"/>
        </w:trPr>
        <w:tc>
          <w:tcPr>
            <w:tcW w:w="2320" w:type="dxa"/>
            <w:vAlign w:val="bottom"/>
          </w:tcPr>
          <w:p>
            <w:pPr>
              <w:ind w:left="80"/>
              <w:spacing w:after="0"/>
              <w:rPr>
                <w:sz w:val="20"/>
                <w:szCs w:val="20"/>
                <w:color w:val="auto"/>
              </w:rPr>
            </w:pPr>
            <w:r>
              <w:rPr>
                <w:rFonts w:ascii="Arial" w:cs="Arial" w:eastAsia="Arial" w:hAnsi="Arial"/>
                <w:sz w:val="18"/>
                <w:szCs w:val="18"/>
                <w:color w:val="auto"/>
              </w:rPr>
              <w:t>Marc F. McMorris</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75,000</w:t>
            </w:r>
            <w:r>
              <w:rPr>
                <w:rFonts w:ascii="Arial" w:cs="Arial" w:eastAsia="Arial" w:hAnsi="Arial"/>
                <w:sz w:val="26"/>
                <w:szCs w:val="26"/>
                <w:color w:val="auto"/>
                <w:vertAlign w:val="superscript"/>
              </w:rPr>
              <w:t>(6)</w:t>
            </w:r>
          </w:p>
        </w:tc>
        <w:tc>
          <w:tcPr>
            <w:tcW w:w="1040" w:type="dxa"/>
            <w:vAlign w:val="bottom"/>
          </w:tcPr>
          <w:p>
            <w:pPr>
              <w:jc w:val="center"/>
              <w:spacing w:after="0"/>
              <w:rPr>
                <w:sz w:val="20"/>
                <w:szCs w:val="20"/>
                <w:color w:val="auto"/>
              </w:rPr>
            </w:pPr>
            <w:r>
              <w:rPr>
                <w:rFonts w:ascii="Arial" w:cs="Arial" w:eastAsia="Arial" w:hAnsi="Arial"/>
                <w:sz w:val="18"/>
                <w:szCs w:val="18"/>
                <w:color w:val="auto"/>
                <w:w w:val="98"/>
              </w:rPr>
              <w:t>144,222</w:t>
            </w:r>
          </w:p>
        </w:tc>
        <w:tc>
          <w:tcPr>
            <w:tcW w:w="1060" w:type="dxa"/>
            <w:vAlign w:val="bottom"/>
          </w:tcPr>
          <w:p>
            <w:pPr>
              <w:jc w:val="center"/>
              <w:spacing w:after="0"/>
              <w:rPr>
                <w:sz w:val="20"/>
                <w:szCs w:val="20"/>
                <w:color w:val="auto"/>
              </w:rPr>
            </w:pPr>
            <w:r>
              <w:rPr>
                <w:rFonts w:ascii="Arial" w:cs="Arial" w:eastAsia="Arial" w:hAnsi="Arial"/>
                <w:sz w:val="18"/>
                <w:szCs w:val="18"/>
                <w:color w:val="auto"/>
              </w:rPr>
              <w:t>143,349</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362,571</w:t>
            </w:r>
          </w:p>
        </w:tc>
      </w:tr>
      <w:tr>
        <w:trPr>
          <w:trHeight w:val="338"/>
        </w:trPr>
        <w:tc>
          <w:tcPr>
            <w:tcW w:w="2320" w:type="dxa"/>
            <w:vAlign w:val="bottom"/>
            <w:shd w:val="clear" w:color="auto" w:fill="F2F2F2"/>
          </w:tcPr>
          <w:p>
            <w:pPr>
              <w:ind w:left="80"/>
              <w:spacing w:after="0"/>
              <w:rPr>
                <w:sz w:val="20"/>
                <w:szCs w:val="20"/>
                <w:color w:val="auto"/>
              </w:rPr>
            </w:pPr>
            <w:r>
              <w:rPr>
                <w:rFonts w:ascii="Arial" w:cs="Arial" w:eastAsia="Arial" w:hAnsi="Arial"/>
                <w:sz w:val="18"/>
                <w:szCs w:val="18"/>
                <w:color w:val="auto"/>
              </w:rPr>
              <w:t>Joanna Rees</w:t>
            </w:r>
          </w:p>
        </w:tc>
        <w:tc>
          <w:tcPr>
            <w:tcW w:w="1440" w:type="dxa"/>
            <w:vAlign w:val="bottom"/>
            <w:shd w:val="clear" w:color="auto" w:fill="F2F2F2"/>
          </w:tcPr>
          <w:p>
            <w:pPr>
              <w:jc w:val="right"/>
              <w:ind w:right="72"/>
              <w:spacing w:after="0"/>
              <w:rPr>
                <w:sz w:val="20"/>
                <w:szCs w:val="20"/>
                <w:color w:val="auto"/>
              </w:rPr>
            </w:pPr>
            <w:r>
              <w:rPr>
                <w:rFonts w:ascii="Arial" w:cs="Arial" w:eastAsia="Arial" w:hAnsi="Arial"/>
                <w:sz w:val="18"/>
                <w:szCs w:val="18"/>
                <w:color w:val="auto"/>
              </w:rPr>
              <w:t>100,000</w:t>
            </w:r>
            <w:r>
              <w:rPr>
                <w:rFonts w:ascii="Arial" w:cs="Arial" w:eastAsia="Arial" w:hAnsi="Arial"/>
                <w:sz w:val="26"/>
                <w:szCs w:val="26"/>
                <w:color w:val="auto"/>
                <w:vertAlign w:val="superscript"/>
              </w:rPr>
              <w:t>(7)</w:t>
            </w:r>
          </w:p>
        </w:tc>
        <w:tc>
          <w:tcPr>
            <w:tcW w:w="10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316,913</w:t>
            </w:r>
          </w:p>
        </w:tc>
        <w:tc>
          <w:tcPr>
            <w:tcW w:w="14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416,913</w:t>
            </w:r>
          </w:p>
        </w:tc>
      </w:tr>
      <w:tr>
        <w:trPr>
          <w:trHeight w:val="338"/>
        </w:trPr>
        <w:tc>
          <w:tcPr>
            <w:tcW w:w="2320" w:type="dxa"/>
            <w:vAlign w:val="bottom"/>
          </w:tcPr>
          <w:p>
            <w:pPr>
              <w:ind w:left="80"/>
              <w:spacing w:after="0"/>
              <w:rPr>
                <w:sz w:val="20"/>
                <w:szCs w:val="20"/>
                <w:color w:val="auto"/>
              </w:rPr>
            </w:pPr>
            <w:r>
              <w:rPr>
                <w:rFonts w:ascii="Arial" w:cs="Arial" w:eastAsia="Arial" w:hAnsi="Arial"/>
                <w:sz w:val="18"/>
                <w:szCs w:val="18"/>
                <w:color w:val="auto"/>
              </w:rPr>
              <w:t>David A. Rey</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100,000</w:t>
            </w:r>
            <w:r>
              <w:rPr>
                <w:rFonts w:ascii="Arial" w:cs="Arial" w:eastAsia="Arial" w:hAnsi="Arial"/>
                <w:sz w:val="26"/>
                <w:szCs w:val="26"/>
                <w:color w:val="auto"/>
                <w:vertAlign w:val="superscript"/>
              </w:rPr>
              <w:t>(8)</w:t>
            </w:r>
          </w:p>
        </w:tc>
        <w:tc>
          <w:tcPr>
            <w:tcW w:w="1040" w:type="dxa"/>
            <w:vAlign w:val="bottom"/>
          </w:tcPr>
          <w:p>
            <w:pPr>
              <w:jc w:val="center"/>
              <w:spacing w:after="0"/>
              <w:rPr>
                <w:sz w:val="20"/>
                <w:szCs w:val="20"/>
                <w:color w:val="auto"/>
              </w:rPr>
            </w:pPr>
            <w:r>
              <w:rPr>
                <w:rFonts w:ascii="Arial" w:cs="Arial" w:eastAsia="Arial" w:hAnsi="Arial"/>
                <w:sz w:val="18"/>
                <w:szCs w:val="18"/>
                <w:color w:val="auto"/>
                <w:w w:val="98"/>
              </w:rPr>
              <w:t>176,063</w:t>
            </w:r>
          </w:p>
        </w:tc>
        <w:tc>
          <w:tcPr>
            <w:tcW w:w="1060" w:type="dxa"/>
            <w:vAlign w:val="bottom"/>
          </w:tcPr>
          <w:p>
            <w:pPr>
              <w:jc w:val="center"/>
              <w:spacing w:after="0"/>
              <w:rPr>
                <w:sz w:val="20"/>
                <w:szCs w:val="20"/>
                <w:color w:val="auto"/>
              </w:rPr>
            </w:pPr>
            <w:r>
              <w:rPr>
                <w:rFonts w:ascii="Arial" w:cs="Arial" w:eastAsia="Arial" w:hAnsi="Arial"/>
                <w:sz w:val="18"/>
                <w:szCs w:val="18"/>
                <w:color w:val="auto"/>
              </w:rPr>
              <w:t>143,349</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419,412</w:t>
            </w:r>
          </w:p>
        </w:tc>
      </w:tr>
      <w:tr>
        <w:trPr>
          <w:trHeight w:val="338"/>
        </w:trPr>
        <w:tc>
          <w:tcPr>
            <w:tcW w:w="2320" w:type="dxa"/>
            <w:vAlign w:val="bottom"/>
            <w:tcBorders>
              <w:bottom w:val="single" w:sz="8" w:color="376DB5"/>
            </w:tcBorders>
            <w:shd w:val="clear" w:color="auto" w:fill="F2F2F2"/>
          </w:tcPr>
          <w:p>
            <w:pPr>
              <w:ind w:left="80"/>
              <w:spacing w:after="0"/>
              <w:rPr>
                <w:sz w:val="20"/>
                <w:szCs w:val="20"/>
                <w:color w:val="auto"/>
              </w:rPr>
            </w:pPr>
            <w:r>
              <w:rPr>
                <w:rFonts w:ascii="Arial" w:cs="Arial" w:eastAsia="Arial" w:hAnsi="Arial"/>
                <w:sz w:val="18"/>
                <w:szCs w:val="18"/>
                <w:color w:val="auto"/>
              </w:rPr>
              <w:t>H. Tayloe Stansbury</w:t>
            </w:r>
          </w:p>
        </w:tc>
        <w:tc>
          <w:tcPr>
            <w:tcW w:w="1440" w:type="dxa"/>
            <w:vAlign w:val="bottom"/>
            <w:tcBorders>
              <w:bottom w:val="single" w:sz="8" w:color="376DB5"/>
            </w:tcBorders>
            <w:shd w:val="clear" w:color="auto" w:fill="F2F2F2"/>
          </w:tcPr>
          <w:p>
            <w:pPr>
              <w:jc w:val="right"/>
              <w:ind w:right="72"/>
              <w:spacing w:after="0"/>
              <w:rPr>
                <w:sz w:val="20"/>
                <w:szCs w:val="20"/>
                <w:color w:val="auto"/>
              </w:rPr>
            </w:pPr>
            <w:r>
              <w:rPr>
                <w:rFonts w:ascii="Arial" w:cs="Arial" w:eastAsia="Arial" w:hAnsi="Arial"/>
                <w:sz w:val="18"/>
                <w:szCs w:val="18"/>
                <w:color w:val="auto"/>
              </w:rPr>
              <w:t>75,000</w:t>
            </w:r>
            <w:r>
              <w:rPr>
                <w:rFonts w:ascii="Arial" w:cs="Arial" w:eastAsia="Arial" w:hAnsi="Arial"/>
                <w:sz w:val="26"/>
                <w:szCs w:val="26"/>
                <w:color w:val="auto"/>
                <w:vertAlign w:val="superscript"/>
              </w:rPr>
              <w:t>(9)</w:t>
            </w:r>
          </w:p>
        </w:tc>
        <w:tc>
          <w:tcPr>
            <w:tcW w:w="1040" w:type="dxa"/>
            <w:vAlign w:val="bottom"/>
            <w:tcBorders>
              <w:bottom w:val="single" w:sz="8" w:color="376DB5"/>
            </w:tcBorders>
            <w:shd w:val="clear" w:color="auto" w:fill="F2F2F2"/>
          </w:tcPr>
          <w:p>
            <w:pPr>
              <w:jc w:val="center"/>
              <w:spacing w:after="0"/>
              <w:rPr>
                <w:sz w:val="20"/>
                <w:szCs w:val="20"/>
                <w:color w:val="auto"/>
              </w:rPr>
            </w:pPr>
            <w:r>
              <w:rPr>
                <w:rFonts w:ascii="Arial" w:cs="Arial" w:eastAsia="Arial" w:hAnsi="Arial"/>
                <w:sz w:val="18"/>
                <w:szCs w:val="18"/>
                <w:color w:val="auto"/>
                <w:w w:val="98"/>
              </w:rPr>
              <w:t>144,222</w:t>
            </w:r>
          </w:p>
        </w:tc>
        <w:tc>
          <w:tcPr>
            <w:tcW w:w="1060" w:type="dxa"/>
            <w:vAlign w:val="bottom"/>
            <w:tcBorders>
              <w:bottom w:val="single" w:sz="8" w:color="376DB5"/>
            </w:tcBorders>
            <w:shd w:val="clear" w:color="auto" w:fill="F2F2F2"/>
          </w:tcPr>
          <w:p>
            <w:pPr>
              <w:jc w:val="center"/>
              <w:spacing w:after="0"/>
              <w:rPr>
                <w:sz w:val="20"/>
                <w:szCs w:val="20"/>
                <w:color w:val="auto"/>
              </w:rPr>
            </w:pPr>
            <w:r>
              <w:rPr>
                <w:rFonts w:ascii="Arial" w:cs="Arial" w:eastAsia="Arial" w:hAnsi="Arial"/>
                <w:sz w:val="18"/>
                <w:szCs w:val="18"/>
                <w:color w:val="auto"/>
              </w:rPr>
              <w:t>143,349</w:t>
            </w:r>
          </w:p>
        </w:tc>
        <w:tc>
          <w:tcPr>
            <w:tcW w:w="1420" w:type="dxa"/>
            <w:vAlign w:val="bottom"/>
            <w:tcBorders>
              <w:bottom w:val="single" w:sz="8" w:color="376DB5"/>
            </w:tcBorders>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376DB5"/>
            </w:tcBorders>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376DB5"/>
            </w:tcBorders>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376DB5"/>
            </w:tcBorders>
            <w:shd w:val="clear" w:color="auto" w:fill="F2F2F2"/>
          </w:tcPr>
          <w:p>
            <w:pPr>
              <w:jc w:val="right"/>
              <w:spacing w:after="0"/>
              <w:rPr>
                <w:sz w:val="20"/>
                <w:szCs w:val="20"/>
                <w:color w:val="auto"/>
              </w:rPr>
            </w:pPr>
            <w:r>
              <w:rPr>
                <w:rFonts w:ascii="Arial" w:cs="Arial" w:eastAsia="Arial" w:hAnsi="Arial"/>
                <w:sz w:val="18"/>
                <w:szCs w:val="18"/>
                <w:color w:val="auto"/>
              </w:rPr>
              <w:t>362,571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90868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50" w:lineRule="exact"/>
        <w:rPr>
          <w:sz w:val="20"/>
          <w:szCs w:val="20"/>
          <w:color w:val="auto"/>
        </w:rPr>
      </w:pPr>
    </w:p>
    <w:p>
      <w:pPr>
        <w:jc w:val="both"/>
        <w:ind w:left="660" w:right="20" w:hanging="436"/>
        <w:spacing w:after="0" w:line="213" w:lineRule="auto"/>
        <w:tabs>
          <w:tab w:leader="none" w:pos="66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All fees under this column represent fees paid to the directors under the Program described above. The Program anticipates fees commencing with the directors’ election year (February/March to February/March), whereas the compensation reported in this table is that paid during our fiscal year (October through September). Fees that are</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33</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0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Proxy</w:t>
            </w:r>
          </w:p>
        </w:tc>
        <w:tc>
          <w:tcPr>
            <w:tcW w:w="11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22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Corporate</w:t>
            </w:r>
          </w:p>
        </w:tc>
        <w:tc>
          <w:tcPr>
            <w:tcW w:w="1520" w:type="dxa"/>
            <w:vAlign w:val="bottom"/>
            <w:shd w:val="clear" w:color="auto" w:fill="F2F2F2"/>
          </w:tcPr>
          <w:p>
            <w:pPr>
              <w:ind w:left="18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00" w:type="dxa"/>
            <w:vAlign w:val="bottom"/>
            <w:shd w:val="clear" w:color="auto" w:fill="F2F2F2"/>
          </w:tcPr>
          <w:p>
            <w:pPr>
              <w:ind w:left="620"/>
              <w:spacing w:after="0" w:line="202" w:lineRule="exact"/>
              <w:rPr>
                <w:sz w:val="20"/>
                <w:szCs w:val="20"/>
                <w:color w:val="auto"/>
              </w:rPr>
            </w:pPr>
            <w:r>
              <w:rPr>
                <w:rFonts w:ascii="Arial" w:cs="Arial" w:eastAsia="Arial" w:hAnsi="Arial"/>
                <w:sz w:val="18"/>
                <w:szCs w:val="18"/>
                <w:color w:val="auto"/>
                <w:w w:val="98"/>
              </w:rPr>
              <w:t>Summary</w:t>
            </w:r>
          </w:p>
        </w:tc>
        <w:tc>
          <w:tcPr>
            <w:tcW w:w="118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22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Governance</w:t>
            </w:r>
          </w:p>
        </w:tc>
        <w:tc>
          <w:tcPr>
            <w:tcW w:w="152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00" w:type="dxa"/>
            <w:vAlign w:val="bottom"/>
            <w:shd w:val="clear" w:color="auto" w:fill="F2F2F2"/>
          </w:tcPr>
          <w:p>
            <w:pPr>
              <w:spacing w:after="0"/>
              <w:rPr>
                <w:sz w:val="16"/>
                <w:szCs w:val="16"/>
                <w:color w:val="auto"/>
              </w:rPr>
            </w:pPr>
          </w:p>
        </w:tc>
        <w:tc>
          <w:tcPr>
            <w:tcW w:w="1180" w:type="dxa"/>
            <w:vAlign w:val="bottom"/>
            <w:shd w:val="clear" w:color="auto" w:fill="F2F2F2"/>
          </w:tcPr>
          <w:p>
            <w:pPr>
              <w:spacing w:after="0"/>
              <w:rPr>
                <w:sz w:val="16"/>
                <w:szCs w:val="16"/>
                <w:color w:val="auto"/>
              </w:rPr>
            </w:pPr>
          </w:p>
        </w:tc>
        <w:tc>
          <w:tcPr>
            <w:tcW w:w="122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520" w:type="dxa"/>
            <w:vAlign w:val="bottom"/>
            <w:shd w:val="clear" w:color="auto" w:fill="F2F2F2"/>
          </w:tcPr>
          <w:p>
            <w:pPr>
              <w:spacing w:after="0"/>
              <w:rPr>
                <w:sz w:val="16"/>
                <w:szCs w:val="16"/>
                <w:color w:val="auto"/>
              </w:rPr>
            </w:pP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00" w:type="dxa"/>
            <w:vAlign w:val="bottom"/>
            <w:tcBorders>
              <w:top w:val="single" w:sz="8" w:color="F2F2F2"/>
            </w:tcBorders>
            <w:shd w:val="clear" w:color="auto" w:fill="F2F2F2"/>
          </w:tcPr>
          <w:p>
            <w:pPr>
              <w:spacing w:after="0"/>
              <w:rPr>
                <w:sz w:val="2"/>
                <w:szCs w:val="2"/>
                <w:color w:val="auto"/>
              </w:rPr>
            </w:pPr>
          </w:p>
        </w:tc>
        <w:tc>
          <w:tcPr>
            <w:tcW w:w="118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400" w:type="dxa"/>
            <w:vAlign w:val="bottom"/>
            <w:tcBorders>
              <w:top w:val="single" w:sz="8" w:color="F2F2F2"/>
            </w:tcBorders>
            <w:shd w:val="clear" w:color="auto" w:fill="F2F2F2"/>
          </w:tcPr>
          <w:p>
            <w:pPr>
              <w:spacing w:after="0"/>
              <w:rPr>
                <w:sz w:val="2"/>
                <w:szCs w:val="2"/>
                <w:color w:val="auto"/>
              </w:rPr>
            </w:pPr>
          </w:p>
        </w:tc>
        <w:tc>
          <w:tcPr>
            <w:tcW w:w="15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jc w:val="both"/>
        <w:ind w:left="660"/>
        <w:spacing w:after="0" w:line="244" w:lineRule="auto"/>
        <w:rPr>
          <w:sz w:val="20"/>
          <w:szCs w:val="20"/>
          <w:color w:val="auto"/>
        </w:rPr>
      </w:pPr>
      <w:r>
        <w:rPr>
          <w:rFonts w:ascii="Arial" w:cs="Arial" w:eastAsia="Arial" w:hAnsi="Arial"/>
          <w:sz w:val="18"/>
          <w:szCs w:val="18"/>
          <w:color w:val="auto"/>
        </w:rPr>
        <w:t>paid in cash are paid quarterly in arrears. Fees that, at the election of the director, are paid in stock options are paid in one annual grant upon the director’s election to the Board. As a result, when a director’s election with respect to receiving fees in cash or stock options changes from one year to the next, the director’s compensation disclosed in this column differs from the annual fees described under “Non-Employee Director Compensation” above. Messrs. Kelly and Stansbury, and Ms. Arredondo made election changes during fiscal 2025.</w:t>
      </w:r>
    </w:p>
    <w:p>
      <w:pPr>
        <w:ind w:left="660" w:hanging="436"/>
        <w:spacing w:after="0" w:line="206" w:lineRule="auto"/>
        <w:tabs>
          <w:tab w:leader="none" w:pos="66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Represents the $75,000 of annual board and committee retainers paid in cash in fiscal 2025.</w:t>
      </w:r>
    </w:p>
    <w:p>
      <w:pPr>
        <w:spacing w:after="0" w:line="49" w:lineRule="exact"/>
        <w:rPr>
          <w:rFonts w:ascii="Arial" w:cs="Arial" w:eastAsia="Arial" w:hAnsi="Arial"/>
          <w:sz w:val="27"/>
          <w:szCs w:val="27"/>
          <w:color w:val="auto"/>
          <w:vertAlign w:val="superscript"/>
        </w:rPr>
      </w:pPr>
    </w:p>
    <w:p>
      <w:pPr>
        <w:jc w:val="both"/>
        <w:ind w:left="660" w:hanging="436"/>
        <w:spacing w:after="0" w:line="213" w:lineRule="auto"/>
        <w:tabs>
          <w:tab w:leader="none" w:pos="66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Represents $200,000 in annual board, committee, independent chairman of the board and committee chair retainers which would have been paid in cash in quarterly installments following his re-election that were forgone by Mr. Kelly to instead receive 291 stock options in one grant upon his re-election. The amount recognized for financial statement reporting purposes in fiscal 2025 with respect to such options, which was $204,483, is excluded from the “Option Awards” column.</w:t>
      </w:r>
    </w:p>
    <w:p>
      <w:pPr>
        <w:spacing w:after="0" w:line="32" w:lineRule="exact"/>
        <w:rPr>
          <w:rFonts w:ascii="Arial" w:cs="Arial" w:eastAsia="Arial" w:hAnsi="Arial"/>
          <w:sz w:val="27"/>
          <w:szCs w:val="27"/>
          <w:color w:val="auto"/>
          <w:vertAlign w:val="superscript"/>
        </w:rPr>
      </w:pPr>
    </w:p>
    <w:p>
      <w:pPr>
        <w:ind w:left="660" w:right="20" w:hanging="436"/>
        <w:spacing w:after="0" w:line="204" w:lineRule="auto"/>
        <w:tabs>
          <w:tab w:leader="none" w:pos="66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Represents $37,500 of annual board and committee retainers paid in cash in the first and second quarters of fiscal 2025 to Mr. Kirsner, who retired from service on the Board effective on March 5, 2025.</w:t>
      </w:r>
    </w:p>
    <w:p>
      <w:pPr>
        <w:spacing w:after="0" w:line="1" w:lineRule="exact"/>
        <w:rPr>
          <w:rFonts w:ascii="Arial" w:cs="Arial" w:eastAsia="Arial" w:hAnsi="Arial"/>
          <w:sz w:val="27"/>
          <w:szCs w:val="27"/>
          <w:color w:val="auto"/>
          <w:vertAlign w:val="superscript"/>
        </w:rPr>
      </w:pPr>
    </w:p>
    <w:p>
      <w:pPr>
        <w:ind w:left="660" w:hanging="436"/>
        <w:spacing w:after="0" w:line="208" w:lineRule="auto"/>
        <w:tabs>
          <w:tab w:leader="none" w:pos="66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Represents $75,000 of annual board and committee retainers paid in cash in fiscal 2025.</w:t>
      </w:r>
    </w:p>
    <w:p>
      <w:pPr>
        <w:spacing w:after="0" w:line="50" w:lineRule="exact"/>
        <w:rPr>
          <w:rFonts w:ascii="Arial" w:cs="Arial" w:eastAsia="Arial" w:hAnsi="Arial"/>
          <w:sz w:val="27"/>
          <w:szCs w:val="27"/>
          <w:color w:val="auto"/>
          <w:vertAlign w:val="superscript"/>
        </w:rPr>
      </w:pPr>
    </w:p>
    <w:p>
      <w:pPr>
        <w:jc w:val="both"/>
        <w:ind w:left="660" w:right="20" w:hanging="436"/>
        <w:spacing w:after="0" w:line="213" w:lineRule="auto"/>
        <w:tabs>
          <w:tab w:leader="none" w:pos="66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Represents $75,000 in annual board and committee retainers which would have been paid in cash in quarterly installments following his re-election that were forgone by Mr. McMorris to instead receive 109 stock options in one grant upon his re-election. The amount recognized for financial statement reporting purposes in fiscal 2025 with respect to such options, which was $76,593, is excluded from the “Option Awards” column.</w:t>
      </w:r>
    </w:p>
    <w:p>
      <w:pPr>
        <w:spacing w:after="0" w:line="32" w:lineRule="exact"/>
        <w:rPr>
          <w:rFonts w:ascii="Arial" w:cs="Arial" w:eastAsia="Arial" w:hAnsi="Arial"/>
          <w:sz w:val="27"/>
          <w:szCs w:val="27"/>
          <w:color w:val="auto"/>
          <w:vertAlign w:val="superscript"/>
        </w:rPr>
      </w:pPr>
    </w:p>
    <w:p>
      <w:pPr>
        <w:jc w:val="both"/>
        <w:ind w:left="660" w:hanging="436"/>
        <w:spacing w:after="0" w:line="218" w:lineRule="auto"/>
        <w:tabs>
          <w:tab w:leader="none" w:pos="66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Represents $100,000 in annual board, committee chair and committee retainers which would have been paid in cash in quarterly installments following her re-election that were foregone by Ms. Rees to instead receive 146 stock options in one grant upon her re-election. The amount recognized for financial statement reporting purposes in fiscal 2025 with respect to such options, which was $102,593, is excluded from the “Option Awards” column.</w:t>
      </w:r>
    </w:p>
    <w:p>
      <w:pPr>
        <w:spacing w:after="0" w:line="31" w:lineRule="exact"/>
        <w:rPr>
          <w:rFonts w:ascii="Arial" w:cs="Arial" w:eastAsia="Arial" w:hAnsi="Arial"/>
          <w:sz w:val="27"/>
          <w:szCs w:val="27"/>
          <w:color w:val="auto"/>
          <w:vertAlign w:val="superscript"/>
        </w:rPr>
      </w:pPr>
    </w:p>
    <w:p>
      <w:pPr>
        <w:jc w:val="both"/>
        <w:ind w:left="660" w:right="20" w:hanging="436"/>
        <w:spacing w:after="0" w:line="221" w:lineRule="auto"/>
        <w:tabs>
          <w:tab w:leader="none" w:pos="66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Includes (i) $80,000 in annual board and committee retainers paid quarterly to Mr. Rey in cash during fiscal 2025, and (ii) $20,000 in annual board and committee retainers which would have been paid in cash in quarterly installments following his re-election that were forgone by Mr. Rey to instead receive 30 stock options in one grant upon his re-election. The amount recognized for financial statement reporting purposes in fiscal 2025 with respect to such options, which was $21,081, is excluded from the “Option Awards” column.</w:t>
      </w:r>
    </w:p>
    <w:p>
      <w:pPr>
        <w:spacing w:after="0" w:line="31" w:lineRule="exact"/>
        <w:rPr>
          <w:rFonts w:ascii="Arial" w:cs="Arial" w:eastAsia="Arial" w:hAnsi="Arial"/>
          <w:sz w:val="27"/>
          <w:szCs w:val="27"/>
          <w:color w:val="auto"/>
          <w:vertAlign w:val="superscript"/>
        </w:rPr>
      </w:pPr>
    </w:p>
    <w:p>
      <w:pPr>
        <w:jc w:val="both"/>
        <w:ind w:left="660" w:right="20" w:hanging="436"/>
        <w:spacing w:after="0" w:line="218" w:lineRule="auto"/>
        <w:tabs>
          <w:tab w:leader="none" w:pos="66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Represents $75,000 in annual board and committee retainers which would have been paid in cash in quarterly installments following his re-election that were forgone by Mr. Stansbury to instead receive 109 stock options in one grant upon his re-election. The amount recognized for financial statement reporting purposes in fiscal 2025 with respect to such options, which was $76,593, is excluded from the “Option Awards” column.</w:t>
      </w:r>
    </w:p>
    <w:p>
      <w:pPr>
        <w:spacing w:after="0" w:line="31" w:lineRule="exact"/>
        <w:rPr>
          <w:rFonts w:ascii="Arial" w:cs="Arial" w:eastAsia="Arial" w:hAnsi="Arial"/>
          <w:sz w:val="27"/>
          <w:szCs w:val="27"/>
          <w:color w:val="auto"/>
          <w:vertAlign w:val="superscript"/>
        </w:rPr>
      </w:pPr>
    </w:p>
    <w:p>
      <w:pPr>
        <w:jc w:val="both"/>
        <w:ind w:left="660" w:hanging="436"/>
        <w:spacing w:after="0" w:line="218" w:lineRule="auto"/>
        <w:tabs>
          <w:tab w:leader="none" w:pos="66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The amounts in this column represent the aggregate grant date fair value of each award computed in accordance with Financial Accounting Standards Board (“FASB”) Accounting Standards Codification (“ASC”) Topic 718. For information on the assumptions used to calculate the value of the awards, refer to Note 13 of the Company’s Consolidated Financial Statements in the Annual Report on Form 10-K for the fiscal year ended September 30, 2025, as filed with the SEC.</w:t>
      </w:r>
    </w:p>
    <w:p>
      <w:pPr>
        <w:spacing w:after="0" w:line="31" w:lineRule="exact"/>
        <w:rPr>
          <w:rFonts w:ascii="Arial" w:cs="Arial" w:eastAsia="Arial" w:hAnsi="Arial"/>
          <w:sz w:val="27"/>
          <w:szCs w:val="27"/>
          <w:color w:val="auto"/>
          <w:vertAlign w:val="superscript"/>
        </w:rPr>
      </w:pPr>
    </w:p>
    <w:p>
      <w:pPr>
        <w:ind w:left="660" w:right="20" w:hanging="436"/>
        <w:spacing w:after="0" w:line="204" w:lineRule="auto"/>
        <w:tabs>
          <w:tab w:leader="none" w:pos="66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As of September 30, 2025, the RSU awards outstanding for each director are as follows: Ms. Arredondo — 154; Mr. Kelly — 171; Ms. Manolis — 154; Mr. McMorris — 77; Ms. Rees — 0; Mr. Rey — 94; and Mr. Stansbury — 168.</w:t>
      </w:r>
    </w:p>
    <w:p>
      <w:pPr>
        <w:spacing w:after="0" w:line="32" w:lineRule="exact"/>
        <w:rPr>
          <w:rFonts w:ascii="Arial" w:cs="Arial" w:eastAsia="Arial" w:hAnsi="Arial"/>
          <w:sz w:val="27"/>
          <w:szCs w:val="27"/>
          <w:color w:val="auto"/>
          <w:vertAlign w:val="superscript"/>
        </w:rPr>
      </w:pPr>
    </w:p>
    <w:p>
      <w:pPr>
        <w:ind w:left="660" w:hanging="436"/>
        <w:spacing w:after="0" w:line="204" w:lineRule="auto"/>
        <w:tabs>
          <w:tab w:leader="none" w:pos="66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As of September 30, 2025, the option awards outstanding for each director are as follows: Ms. Arredondo — 4,203; Mr. Kelly — 6,101; Ms. Manolis — 7,203; Mr. McMorris — 2,802; Ms. Rees — 8,751; Mr. Rey — 5,621; and Mr. Stansbury — 809.</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34</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29" w:lineRule="exact"/>
        <w:rPr>
          <w:sz w:val="20"/>
          <w:szCs w:val="20"/>
          <w:color w:val="auto"/>
        </w:rPr>
      </w:pPr>
    </w:p>
    <w:tbl>
      <w:tblPr>
        <w:tblLayout w:type="fixed"/>
        <w:tblInd w:w="130" w:type="dxa"/>
        <w:tblCellMar>
          <w:top w:w="0" w:type="dxa"/>
          <w:left w:w="0" w:type="dxa"/>
          <w:bottom w:w="0" w:type="dxa"/>
          <w:right w:w="0" w:type="dxa"/>
        </w:tblCellMar>
      </w:tblPr>
      <w:tr>
        <w:trPr>
          <w:trHeight w:val="346"/>
        </w:trPr>
        <w:tc>
          <w:tcPr>
            <w:tcW w:w="7380" w:type="dxa"/>
            <w:vAlign w:val="bottom"/>
            <w:tcBorders>
              <w:top w:val="single" w:sz="8" w:color="376DB5"/>
              <w:left w:val="single" w:sz="8" w:color="376DB5"/>
              <w:right w:val="single" w:sz="8" w:color="376DB5"/>
            </w:tcBorders>
            <w:shd w:val="clear" w:color="auto" w:fill="F4F9FC"/>
          </w:tcPr>
          <w:p>
            <w:pPr>
              <w:ind w:left="260"/>
              <w:spacing w:after="0"/>
              <w:rPr>
                <w:sz w:val="20"/>
                <w:szCs w:val="20"/>
                <w:color w:val="auto"/>
              </w:rPr>
            </w:pPr>
            <w:r>
              <w:rPr>
                <w:rFonts w:ascii="Arial" w:cs="Arial" w:eastAsia="Arial" w:hAnsi="Arial"/>
                <w:sz w:val="29"/>
                <w:szCs w:val="29"/>
                <w:b w:val="1"/>
                <w:bCs w:val="1"/>
                <w:color w:val="1F438E"/>
              </w:rPr>
              <w:t xml:space="preserve">PROPOSAL 2: </w:t>
            </w:r>
            <w:r>
              <w:rPr>
                <w:rFonts w:ascii="Arial" w:cs="Arial" w:eastAsia="Arial" w:hAnsi="Arial"/>
                <w:sz w:val="29"/>
                <w:szCs w:val="29"/>
                <w:color w:val="1F438E"/>
              </w:rPr>
              <w:t>Advisory Vote on Executive Officer</w:t>
            </w:r>
          </w:p>
        </w:tc>
        <w:tc>
          <w:tcPr>
            <w:tcW w:w="580" w:type="dxa"/>
            <w:vAlign w:val="bottom"/>
            <w:tcBorders>
              <w:top w:val="single" w:sz="8" w:color="376DB5"/>
            </w:tcBorders>
            <w:vMerge w:val="restart"/>
          </w:tcPr>
          <w:p>
            <w:pPr>
              <w:ind w:left="340"/>
              <w:spacing w:after="0"/>
              <w:rPr>
                <w:sz w:val="20"/>
                <w:szCs w:val="20"/>
                <w:color w:val="auto"/>
              </w:rPr>
            </w:pPr>
            <w:r>
              <w:rPr>
                <w:rFonts w:ascii="Arial" w:cs="Arial" w:eastAsia="Arial" w:hAnsi="Arial"/>
                <w:sz w:val="18"/>
                <w:szCs w:val="18"/>
                <w:color w:val="auto"/>
              </w:rPr>
              <w:t xml:space="preserve">   </w:t>
            </w:r>
          </w:p>
        </w:tc>
        <w:tc>
          <w:tcPr>
            <w:tcW w:w="3080" w:type="dxa"/>
            <w:vAlign w:val="bottom"/>
            <w:tcBorders>
              <w:top w:val="single" w:sz="8" w:color="376DB5"/>
              <w:right w:val="single" w:sz="8" w:color="376DB5"/>
            </w:tcBorders>
          </w:tcPr>
          <w:p>
            <w:pPr>
              <w:ind w:left="100"/>
              <w:spacing w:after="0"/>
              <w:rPr>
                <w:sz w:val="20"/>
                <w:szCs w:val="20"/>
                <w:color w:val="auto"/>
              </w:rPr>
            </w:pPr>
            <w:r>
              <w:rPr>
                <w:rFonts w:ascii="Arial" w:cs="Arial" w:eastAsia="Arial" w:hAnsi="Arial"/>
                <w:sz w:val="18"/>
                <w:szCs w:val="18"/>
                <w:color w:val="1F438E"/>
              </w:rPr>
              <w:t>The Board recommends a</w:t>
            </w:r>
          </w:p>
        </w:tc>
        <w:tc>
          <w:tcPr>
            <w:tcW w:w="0" w:type="dxa"/>
            <w:vAlign w:val="bottom"/>
          </w:tcPr>
          <w:p>
            <w:pPr>
              <w:spacing w:after="0"/>
              <w:rPr>
                <w:sz w:val="1"/>
                <w:szCs w:val="1"/>
                <w:color w:val="auto"/>
              </w:rPr>
            </w:pPr>
          </w:p>
        </w:tc>
      </w:tr>
      <w:tr>
        <w:trPr>
          <w:trHeight w:val="247"/>
        </w:trPr>
        <w:tc>
          <w:tcPr>
            <w:tcW w:w="7380" w:type="dxa"/>
            <w:vAlign w:val="bottom"/>
            <w:tcBorders>
              <w:left w:val="single" w:sz="8" w:color="376DB5"/>
              <w:right w:val="single" w:sz="8" w:color="376DB5"/>
            </w:tcBorders>
            <w:vMerge w:val="restart"/>
            <w:shd w:val="clear" w:color="auto" w:fill="F4F9FC"/>
          </w:tcPr>
          <w:p>
            <w:pPr>
              <w:ind w:left="260"/>
              <w:spacing w:after="0"/>
              <w:rPr>
                <w:sz w:val="20"/>
                <w:szCs w:val="20"/>
                <w:color w:val="auto"/>
              </w:rPr>
            </w:pPr>
            <w:r>
              <w:rPr>
                <w:rFonts w:ascii="Arial" w:cs="Arial" w:eastAsia="Arial" w:hAnsi="Arial"/>
                <w:sz w:val="29"/>
                <w:szCs w:val="29"/>
                <w:color w:val="1F438E"/>
              </w:rPr>
              <w:t>Compensation</w:t>
            </w:r>
          </w:p>
        </w:tc>
        <w:tc>
          <w:tcPr>
            <w:tcW w:w="580" w:type="dxa"/>
            <w:vAlign w:val="bottom"/>
            <w:vMerge w:val="continue"/>
          </w:tcPr>
          <w:p>
            <w:pPr>
              <w:spacing w:after="0"/>
              <w:rPr>
                <w:sz w:val="21"/>
                <w:szCs w:val="21"/>
                <w:color w:val="auto"/>
              </w:rPr>
            </w:pPr>
          </w:p>
        </w:tc>
        <w:tc>
          <w:tcPr>
            <w:tcW w:w="3080" w:type="dxa"/>
            <w:vAlign w:val="bottom"/>
            <w:tcBorders>
              <w:right w:val="single" w:sz="8" w:color="376DB5"/>
            </w:tcBorders>
          </w:tcPr>
          <w:p>
            <w:pPr>
              <w:ind w:left="100"/>
              <w:spacing w:after="0"/>
              <w:rPr>
                <w:sz w:val="20"/>
                <w:szCs w:val="20"/>
                <w:color w:val="auto"/>
              </w:rPr>
            </w:pPr>
            <w:r>
              <w:rPr>
                <w:rFonts w:ascii="Arial" w:cs="Arial" w:eastAsia="Arial" w:hAnsi="Arial"/>
                <w:sz w:val="18"/>
                <w:szCs w:val="18"/>
                <w:color w:val="1F438E"/>
              </w:rPr>
              <w:t xml:space="preserve">vote </w:t>
            </w:r>
            <w:r>
              <w:rPr>
                <w:rFonts w:ascii="Arial" w:cs="Arial" w:eastAsia="Arial" w:hAnsi="Arial"/>
                <w:sz w:val="18"/>
                <w:szCs w:val="18"/>
                <w:b w:val="1"/>
                <w:bCs w:val="1"/>
                <w:color w:val="376DB5"/>
              </w:rPr>
              <w:t>FOR</w:t>
            </w:r>
            <w:r>
              <w:rPr>
                <w:rFonts w:ascii="Arial" w:cs="Arial" w:eastAsia="Arial" w:hAnsi="Arial"/>
                <w:sz w:val="18"/>
                <w:szCs w:val="18"/>
                <w:color w:val="1F438E"/>
              </w:rPr>
              <w:t xml:space="preserve"> this proposal</w:t>
            </w:r>
          </w:p>
        </w:tc>
        <w:tc>
          <w:tcPr>
            <w:tcW w:w="0" w:type="dxa"/>
            <w:vAlign w:val="bottom"/>
          </w:tcPr>
          <w:p>
            <w:pPr>
              <w:spacing w:after="0"/>
              <w:rPr>
                <w:sz w:val="1"/>
                <w:szCs w:val="1"/>
                <w:color w:val="auto"/>
              </w:rPr>
            </w:pPr>
          </w:p>
        </w:tc>
      </w:tr>
      <w:tr>
        <w:trPr>
          <w:trHeight w:val="148"/>
        </w:trPr>
        <w:tc>
          <w:tcPr>
            <w:tcW w:w="7380" w:type="dxa"/>
            <w:vAlign w:val="bottom"/>
            <w:tcBorders>
              <w:left w:val="single" w:sz="8" w:color="376DB5"/>
              <w:right w:val="single" w:sz="8" w:color="376DB5"/>
            </w:tcBorders>
            <w:vMerge w:val="continue"/>
            <w:shd w:val="clear" w:color="auto" w:fill="F4F9FC"/>
          </w:tcPr>
          <w:p>
            <w:pPr>
              <w:spacing w:after="0"/>
              <w:rPr>
                <w:sz w:val="12"/>
                <w:szCs w:val="12"/>
                <w:color w:val="auto"/>
              </w:rPr>
            </w:pPr>
          </w:p>
        </w:tc>
        <w:tc>
          <w:tcPr>
            <w:tcW w:w="580" w:type="dxa"/>
            <w:vAlign w:val="bottom"/>
          </w:tcPr>
          <w:p>
            <w:pPr>
              <w:spacing w:after="0"/>
              <w:rPr>
                <w:sz w:val="12"/>
                <w:szCs w:val="12"/>
                <w:color w:val="auto"/>
              </w:rPr>
            </w:pPr>
          </w:p>
        </w:tc>
        <w:tc>
          <w:tcPr>
            <w:tcW w:w="3080" w:type="dxa"/>
            <w:vAlign w:val="bottom"/>
            <w:tcBorders>
              <w:right w:val="single" w:sz="8" w:color="376DB5"/>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380" w:type="dxa"/>
            <w:vAlign w:val="bottom"/>
            <w:tcBorders>
              <w:left w:val="single" w:sz="8" w:color="376DB5"/>
              <w:bottom w:val="single" w:sz="8" w:color="376DB5"/>
              <w:right w:val="single" w:sz="8" w:color="376DB5"/>
            </w:tcBorders>
            <w:shd w:val="clear" w:color="auto" w:fill="F4F9FC"/>
          </w:tcPr>
          <w:p>
            <w:pPr>
              <w:spacing w:after="0"/>
              <w:rPr>
                <w:sz w:val="11"/>
                <w:szCs w:val="11"/>
                <w:color w:val="auto"/>
              </w:rPr>
            </w:pPr>
          </w:p>
        </w:tc>
        <w:tc>
          <w:tcPr>
            <w:tcW w:w="580" w:type="dxa"/>
            <w:vAlign w:val="bottom"/>
            <w:tcBorders>
              <w:bottom w:val="single" w:sz="8" w:color="376DB5"/>
            </w:tcBorders>
          </w:tcPr>
          <w:p>
            <w:pPr>
              <w:spacing w:after="0"/>
              <w:rPr>
                <w:sz w:val="11"/>
                <w:szCs w:val="11"/>
                <w:color w:val="auto"/>
              </w:rPr>
            </w:pPr>
          </w:p>
        </w:tc>
        <w:tc>
          <w:tcPr>
            <w:tcW w:w="3080" w:type="dxa"/>
            <w:vAlign w:val="bottom"/>
            <w:tcBorders>
              <w:bottom w:val="single" w:sz="8" w:color="376DB5"/>
              <w:right w:val="single" w:sz="8" w:color="376DB5"/>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-419735</wp:posOffset>
            </wp:positionV>
            <wp:extent cx="154305"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177"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Pursuant to Section 14A of the Exchange Act, the Company seeks a non-binding advisory vote from its stockholders to approve the compensation of our named executive officers as described under “Executive Compensation — Compensation Discussion and Analysis” and the tabular disclosure regarding named executive officer compensation (together with the accompanying narrative disclosure) in this proxy statement.</w:t>
      </w:r>
    </w:p>
    <w:p>
      <w:pPr>
        <w:spacing w:after="0" w:line="66"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This proposal gives our stockholders the opportunity to express their views on the Company’s named executive officer compensation. Because your vote is advisory, it will not be binding upon the Board of Directors. However, the LDCC will consider the outcome of the vote when making future executive officer compensation decisions.</w:t>
      </w:r>
    </w:p>
    <w:p>
      <w:pPr>
        <w:spacing w:after="0" w:line="61" w:lineRule="exact"/>
        <w:rPr>
          <w:sz w:val="20"/>
          <w:szCs w:val="20"/>
          <w:color w:val="auto"/>
        </w:rPr>
      </w:pPr>
    </w:p>
    <w:p>
      <w:pPr>
        <w:jc w:val="both"/>
        <w:ind w:left="120" w:firstLine="551"/>
        <w:spacing w:after="0" w:line="247" w:lineRule="auto"/>
        <w:rPr>
          <w:sz w:val="20"/>
          <w:szCs w:val="20"/>
          <w:color w:val="auto"/>
        </w:rPr>
      </w:pPr>
      <w:r>
        <w:rPr>
          <w:rFonts w:ascii="Arial" w:cs="Arial" w:eastAsia="Arial" w:hAnsi="Arial"/>
          <w:sz w:val="18"/>
          <w:szCs w:val="18"/>
          <w:color w:val="auto"/>
        </w:rPr>
        <w:t>As we discuss below in our Compensation Discussion and Analysis, we believe that our compensation policies and decisions are designed to deliver a performance-based pay philosophy, are aligned with the long-term interests of our stockholders and are competitive. The Company’s principal compensation policies, which enable the Company to attract, motivate and retain talented executive officers to lead the Company in the achievement of our business objectives, include:</w:t>
      </w:r>
    </w:p>
    <w:p>
      <w:pPr>
        <w:spacing w:after="0" w:line="79" w:lineRule="exact"/>
        <w:rPr>
          <w:sz w:val="20"/>
          <w:szCs w:val="20"/>
          <w:color w:val="auto"/>
        </w:rPr>
      </w:pPr>
    </w:p>
    <w:p>
      <w:pPr>
        <w:ind w:left="1200" w:right="20" w:hanging="315"/>
        <w:spacing w:after="0" w:line="271" w:lineRule="auto"/>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make annual cash compensation decisions based on assessment of the Company’s performance against measurable financial goals, as well as each executive’s individual performance.</w:t>
      </w:r>
    </w:p>
    <w:p>
      <w:pPr>
        <w:spacing w:after="0" w:line="59" w:lineRule="exact"/>
        <w:rPr>
          <w:rFonts w:ascii="Arial" w:cs="Arial" w:eastAsia="Arial" w:hAnsi="Arial"/>
          <w:sz w:val="18"/>
          <w:szCs w:val="18"/>
          <w:color w:val="auto"/>
        </w:rPr>
      </w:pPr>
    </w:p>
    <w:p>
      <w:pPr>
        <w:ind w:left="1200" w:right="20" w:hanging="315"/>
        <w:spacing w:after="0" w:line="271" w:lineRule="auto"/>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emphasize long-term incentive compensation awards that collectively reward executive officers based on individual performance, external and internal peer equity compensation practices, and the performance of the Company’s stock.</w:t>
      </w:r>
    </w:p>
    <w:p>
      <w:pPr>
        <w:spacing w:after="0" w:line="59" w:lineRule="exact"/>
        <w:rPr>
          <w:rFonts w:ascii="Arial" w:cs="Arial" w:eastAsia="Arial" w:hAnsi="Arial"/>
          <w:sz w:val="18"/>
          <w:szCs w:val="18"/>
          <w:color w:val="auto"/>
        </w:rPr>
      </w:pPr>
    </w:p>
    <w:p>
      <w:pPr>
        <w:ind w:left="1200" w:right="20" w:hanging="315"/>
        <w:spacing w:after="0" w:line="271" w:lineRule="auto"/>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Approximately two-thirds of the target value of fiscal 2025 annual long-term equity awards granted to executive officers in December 2024 was in the form of performance-based incentives.</w:t>
      </w:r>
    </w:p>
    <w:p>
      <w:pPr>
        <w:spacing w:after="0" w:line="59" w:lineRule="exact"/>
        <w:rPr>
          <w:rFonts w:ascii="Arial" w:cs="Arial" w:eastAsia="Arial" w:hAnsi="Arial"/>
          <w:sz w:val="18"/>
          <w:szCs w:val="18"/>
          <w:color w:val="auto"/>
        </w:rPr>
      </w:pPr>
    </w:p>
    <w:p>
      <w:pPr>
        <w:ind w:left="1200" w:hanging="315"/>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require stock ownership by our senior executive officers.</w:t>
      </w:r>
    </w:p>
    <w:p>
      <w:pPr>
        <w:spacing w:after="0" w:line="104"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color w:val="auto"/>
        </w:rPr>
        <w:t>As a result, we are presenting this proposal, which gives you as a stockholder the opportunity to vote on our named executive officer compensation as disclosed in this proxy statement by voting “FOR” or “AGAINST” the following resolution:</w:t>
      </w:r>
    </w:p>
    <w:p>
      <w:pPr>
        <w:spacing w:after="0" w:line="46" w:lineRule="exact"/>
        <w:rPr>
          <w:sz w:val="20"/>
          <w:szCs w:val="20"/>
          <w:color w:val="auto"/>
        </w:rPr>
      </w:pPr>
    </w:p>
    <w:p>
      <w:pPr>
        <w:jc w:val="both"/>
        <w:ind w:left="1000" w:right="20"/>
        <w:spacing w:after="0" w:line="253" w:lineRule="auto"/>
        <w:rPr>
          <w:sz w:val="20"/>
          <w:szCs w:val="20"/>
          <w:color w:val="auto"/>
        </w:rPr>
      </w:pPr>
      <w:r>
        <w:rPr>
          <w:rFonts w:ascii="Arial" w:cs="Arial" w:eastAsia="Arial" w:hAnsi="Arial"/>
          <w:sz w:val="18"/>
          <w:szCs w:val="18"/>
          <w:color w:val="auto"/>
        </w:rPr>
        <w:t>RESOLVED, that the stockholders approve the compensation of the Company’s named executive officers, as disclosed in the Compensation Discussion and Analysis, the compensation tables, and the related disclosure contained in the Company’s Proxy Statement for its 2026 Annual Meeting of Stockholders.</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35</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24" w:lineRule="exact"/>
        <w:rPr>
          <w:sz w:val="20"/>
          <w:szCs w:val="20"/>
          <w:color w:val="auto"/>
        </w:rPr>
      </w:pPr>
    </w:p>
    <w:p>
      <w:pPr>
        <w:sectPr>
          <w:pgSz w:w="11900" w:h="16838" w:orient="portrait"/>
          <w:cols w:equalWidth="0" w:num="1">
            <w:col w:w="11140"/>
          </w:cols>
          <w:pgMar w:left="320" w:top="482" w:right="439" w:bottom="1440" w:gutter="0" w:footer="0" w:header="0"/>
        </w:sectPr>
      </w:pPr>
    </w:p>
    <w:p>
      <w:pPr>
        <w:ind w:left="120" w:right="1740"/>
        <w:spacing w:after="0" w:line="472" w:lineRule="auto"/>
        <w:rPr>
          <w:sz w:val="20"/>
          <w:szCs w:val="20"/>
          <w:color w:val="auto"/>
        </w:rPr>
      </w:pPr>
      <w:r>
        <w:rPr>
          <w:rFonts w:ascii="Arial" w:cs="Arial" w:eastAsia="Arial" w:hAnsi="Arial"/>
          <w:sz w:val="25"/>
          <w:szCs w:val="25"/>
          <w:b w:val="1"/>
          <w:bCs w:val="1"/>
          <w:color w:val="auto"/>
        </w:rPr>
        <w:t>EXECUTIVE COMPENSATION Compensation Roadmap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3086735</wp:posOffset>
            </wp:positionH>
            <wp:positionV relativeFrom="paragraph">
              <wp:posOffset>-11430</wp:posOffset>
            </wp:positionV>
            <wp:extent cx="102870" cy="3257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2870" cy="325755"/>
                    </a:xfrm>
                    <a:prstGeom prst="rect">
                      <a:avLst/>
                    </a:prstGeom>
                    <a:noFill/>
                  </pic:spPr>
                </pic:pic>
              </a:graphicData>
            </a:graphic>
          </wp:anchor>
        </w:drawing>
        <w:drawing>
          <wp:anchor simplePos="0" relativeHeight="251657728" behindDoc="1" locked="0" layoutInCell="0" allowOverlap="1">
            <wp:simplePos x="0" y="0"/>
            <wp:positionH relativeFrom="column">
              <wp:posOffset>3352800</wp:posOffset>
            </wp:positionH>
            <wp:positionV relativeFrom="paragraph">
              <wp:posOffset>-11430</wp:posOffset>
            </wp:positionV>
            <wp:extent cx="85725" cy="3257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325755"/>
                    </a:xfrm>
                    <a:prstGeom prst="rect">
                      <a:avLst/>
                    </a:prstGeom>
                    <a:noFill/>
                  </pic:spPr>
                </pic:pic>
              </a:graphicData>
            </a:graphic>
          </wp:anchor>
        </w:drawing>
      </w:r>
    </w:p>
    <w:tbl>
      <w:tblPr>
        <w:tblLayout w:type="fixed"/>
        <w:tblInd w:w="260" w:type="dxa"/>
        <w:tblCellMar>
          <w:top w:w="0" w:type="dxa"/>
          <w:left w:w="0" w:type="dxa"/>
          <w:bottom w:w="0" w:type="dxa"/>
          <w:right w:w="0" w:type="dxa"/>
        </w:tblCellMar>
      </w:tblPr>
      <w:tr>
        <w:trPr>
          <w:trHeight w:val="297"/>
        </w:trPr>
        <w:tc>
          <w:tcPr>
            <w:tcW w:w="500" w:type="dxa"/>
            <w:vAlign w:val="bottom"/>
          </w:tcPr>
          <w:p>
            <w:pPr>
              <w:jc w:val="right"/>
              <w:ind w:right="210"/>
              <w:spacing w:after="0"/>
              <w:rPr>
                <w:sz w:val="20"/>
                <w:szCs w:val="20"/>
                <w:color w:val="auto"/>
              </w:rPr>
            </w:pPr>
            <w:r>
              <w:rPr>
                <w:rFonts w:ascii="Arial" w:cs="Arial" w:eastAsia="Arial" w:hAnsi="Arial"/>
                <w:sz w:val="18"/>
                <w:szCs w:val="18"/>
                <w:b w:val="1"/>
                <w:bCs w:val="1"/>
                <w:color w:val="355BAA"/>
                <w:w w:val="89"/>
              </w:rPr>
              <w:t>01</w:t>
            </w:r>
          </w:p>
        </w:tc>
        <w:tc>
          <w:tcPr>
            <w:tcW w:w="17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b w:val="1"/>
                <w:bCs w:val="1"/>
                <w:color w:val="0000EE"/>
                <w:w w:val="99"/>
              </w:rPr>
              <w:t>Executive Summary</w:t>
            </w:r>
          </w:p>
        </w:tc>
        <w:tc>
          <w:tcPr>
            <w:tcW w:w="2500" w:type="dxa"/>
            <w:vAlign w:val="bottom"/>
            <w:gridSpan w:val="12"/>
          </w:tcPr>
          <w:p>
            <w:pPr>
              <w:spacing w:after="0"/>
              <w:rPr>
                <w:sz w:val="24"/>
                <w:szCs w:val="24"/>
                <w:color w:val="auto"/>
              </w:rPr>
            </w:pPr>
          </w:p>
        </w:tc>
        <w:tc>
          <w:tcPr>
            <w:tcW w:w="3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8"/>
                <w:szCs w:val="18"/>
                <w:color w:val="auto"/>
                <w:w w:val="83"/>
              </w:rPr>
              <w:t>38  </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60" w:type="dxa"/>
            <w:vAlign w:val="bottom"/>
            <w:gridSpan w:val="17"/>
            <w:vMerge w:val="restart"/>
          </w:tcPr>
          <w:p>
            <w:pPr>
              <w:spacing w:after="0"/>
              <w:rPr>
                <w:sz w:val="20"/>
                <w:szCs w:val="20"/>
                <w:color w:val="auto"/>
              </w:rPr>
            </w:pPr>
            <w:r>
              <w:rPr>
                <w:rFonts w:ascii="Arial" w:cs="Arial" w:eastAsia="Arial" w:hAnsi="Arial"/>
                <w:sz w:val="18"/>
                <w:szCs w:val="18"/>
                <w:color w:val="0000EE"/>
              </w:rPr>
              <w:t>Our 2025 Performance Highlights</w:t>
            </w:r>
          </w:p>
        </w:tc>
        <w:tc>
          <w:tcPr>
            <w:tcW w:w="100" w:type="dxa"/>
            <w:vAlign w:val="bottom"/>
          </w:tcPr>
          <w:p>
            <w:pPr>
              <w:spacing w:after="0"/>
              <w:rPr>
                <w:sz w:val="13"/>
                <w:szCs w:val="13"/>
                <w:color w:val="auto"/>
              </w:rPr>
            </w:pPr>
          </w:p>
        </w:tc>
        <w:tc>
          <w:tcPr>
            <w:tcW w:w="340" w:type="dxa"/>
            <w:vAlign w:val="bottom"/>
            <w:shd w:val="clear" w:color="auto" w:fill="F2F2F2"/>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60" w:type="dxa"/>
            <w:vAlign w:val="bottom"/>
            <w:gridSpan w:val="17"/>
            <w:vMerge w:val="continue"/>
          </w:tcPr>
          <w:p>
            <w:pPr>
              <w:spacing w:after="0"/>
              <w:rPr>
                <w:sz w:val="24"/>
                <w:szCs w:val="24"/>
                <w:color w:val="auto"/>
              </w:rPr>
            </w:pPr>
          </w:p>
        </w:tc>
        <w:tc>
          <w:tcPr>
            <w:tcW w:w="100" w:type="dxa"/>
            <w:vAlign w:val="bottom"/>
            <w:shd w:val="clear" w:color="auto" w:fill="F2F2F2"/>
          </w:tcPr>
          <w:p>
            <w:pPr>
              <w:spacing w:after="0"/>
              <w:rPr>
                <w:sz w:val="24"/>
                <w:szCs w:val="24"/>
                <w:color w:val="auto"/>
              </w:rPr>
            </w:pPr>
          </w:p>
        </w:tc>
        <w:tc>
          <w:tcPr>
            <w:tcW w:w="420" w:type="dxa"/>
            <w:vAlign w:val="bottom"/>
            <w:gridSpan w:val="2"/>
            <w:shd w:val="clear" w:color="auto" w:fill="F2F2F2"/>
          </w:tcPr>
          <w:p>
            <w:pPr>
              <w:ind w:left="8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F2F2F2"/>
          </w:tcPr>
          <w:p>
            <w:pPr>
              <w:spacing w:after="0" w:line="20" w:lineRule="exact"/>
              <w:rPr>
                <w:sz w:val="1"/>
                <w:szCs w:val="1"/>
                <w:color w:val="auto"/>
              </w:rPr>
            </w:pPr>
          </w:p>
        </w:tc>
        <w:tc>
          <w:tcPr>
            <w:tcW w:w="420" w:type="dxa"/>
            <w:vAlign w:val="bottom"/>
            <w:gridSpan w:val="2"/>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60" w:type="dxa"/>
            <w:vAlign w:val="bottom"/>
            <w:gridSpan w:val="17"/>
          </w:tcPr>
          <w:p>
            <w:pPr>
              <w:spacing w:after="0"/>
              <w:rPr>
                <w:sz w:val="20"/>
                <w:szCs w:val="20"/>
                <w:color w:val="auto"/>
              </w:rPr>
            </w:pPr>
            <w:r>
              <w:rPr>
                <w:rFonts w:ascii="Arial" w:cs="Arial" w:eastAsia="Arial" w:hAnsi="Arial"/>
                <w:sz w:val="18"/>
                <w:szCs w:val="18"/>
                <w:color w:val="0000EE"/>
              </w:rPr>
              <w:t>2025 Compensation Highlights</w:t>
            </w:r>
          </w:p>
        </w:tc>
        <w:tc>
          <w:tcPr>
            <w:tcW w:w="100" w:type="dxa"/>
            <w:vAlign w:val="bottom"/>
            <w:shd w:val="clear" w:color="auto" w:fill="F2F2F2"/>
          </w:tcPr>
          <w:p>
            <w:pPr>
              <w:spacing w:after="0"/>
              <w:rPr>
                <w:sz w:val="24"/>
                <w:szCs w:val="24"/>
                <w:color w:val="auto"/>
              </w:rPr>
            </w:pPr>
          </w:p>
        </w:tc>
        <w:tc>
          <w:tcPr>
            <w:tcW w:w="420" w:type="dxa"/>
            <w:vAlign w:val="bottom"/>
            <w:gridSpan w:val="2"/>
            <w:shd w:val="clear" w:color="auto" w:fill="F2F2F2"/>
          </w:tcPr>
          <w:p>
            <w:pPr>
              <w:ind w:left="8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F2F2F2"/>
          </w:tcPr>
          <w:p>
            <w:pPr>
              <w:spacing w:after="0" w:line="20" w:lineRule="exact"/>
              <w:rPr>
                <w:sz w:val="1"/>
                <w:szCs w:val="1"/>
                <w:color w:val="auto"/>
              </w:rPr>
            </w:pPr>
          </w:p>
        </w:tc>
        <w:tc>
          <w:tcPr>
            <w:tcW w:w="420" w:type="dxa"/>
            <w:vAlign w:val="bottom"/>
            <w:gridSpan w:val="2"/>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60" w:type="dxa"/>
            <w:vAlign w:val="bottom"/>
            <w:gridSpan w:val="17"/>
          </w:tcPr>
          <w:p>
            <w:pPr>
              <w:spacing w:after="0"/>
              <w:rPr>
                <w:sz w:val="20"/>
                <w:szCs w:val="20"/>
                <w:color w:val="auto"/>
              </w:rPr>
            </w:pPr>
            <w:r>
              <w:rPr>
                <w:rFonts w:ascii="Arial" w:cs="Arial" w:eastAsia="Arial" w:hAnsi="Arial"/>
                <w:sz w:val="18"/>
                <w:szCs w:val="18"/>
                <w:color w:val="0000EE"/>
              </w:rPr>
              <w:t>Quality Pay Practices and Policies</w:t>
            </w:r>
          </w:p>
        </w:tc>
        <w:tc>
          <w:tcPr>
            <w:tcW w:w="100" w:type="dxa"/>
            <w:vAlign w:val="bottom"/>
            <w:shd w:val="clear" w:color="auto" w:fill="F2F2F2"/>
          </w:tcPr>
          <w:p>
            <w:pPr>
              <w:spacing w:after="0"/>
              <w:rPr>
                <w:sz w:val="24"/>
                <w:szCs w:val="24"/>
                <w:color w:val="auto"/>
              </w:rPr>
            </w:pPr>
          </w:p>
        </w:tc>
        <w:tc>
          <w:tcPr>
            <w:tcW w:w="420" w:type="dxa"/>
            <w:vAlign w:val="bottom"/>
            <w:gridSpan w:val="2"/>
            <w:shd w:val="clear" w:color="auto" w:fill="F2F2F2"/>
          </w:tcPr>
          <w:p>
            <w:pPr>
              <w:ind w:left="80"/>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F2F2F2"/>
          </w:tcPr>
          <w:p>
            <w:pPr>
              <w:spacing w:after="0" w:line="20" w:lineRule="exact"/>
              <w:rPr>
                <w:sz w:val="1"/>
                <w:szCs w:val="1"/>
                <w:color w:val="auto"/>
              </w:rPr>
            </w:pPr>
          </w:p>
        </w:tc>
        <w:tc>
          <w:tcPr>
            <w:tcW w:w="420" w:type="dxa"/>
            <w:vAlign w:val="bottom"/>
            <w:gridSpan w:val="2"/>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jc w:val="right"/>
              <w:ind w:right="210"/>
              <w:spacing w:after="0"/>
              <w:rPr>
                <w:sz w:val="20"/>
                <w:szCs w:val="20"/>
                <w:color w:val="auto"/>
              </w:rPr>
            </w:pPr>
            <w:r>
              <w:rPr>
                <w:rFonts w:ascii="Arial" w:cs="Arial" w:eastAsia="Arial" w:hAnsi="Arial"/>
                <w:sz w:val="18"/>
                <w:szCs w:val="18"/>
                <w:b w:val="1"/>
                <w:bCs w:val="1"/>
                <w:color w:val="355BAA"/>
                <w:w w:val="89"/>
              </w:rPr>
              <w:t>02</w:t>
            </w:r>
          </w:p>
        </w:tc>
        <w:tc>
          <w:tcPr>
            <w:tcW w:w="29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b w:val="1"/>
                <w:bCs w:val="1"/>
                <w:color w:val="0000EE"/>
              </w:rPr>
              <w:t>Executive Compensation Program</w:t>
            </w:r>
          </w:p>
        </w:tc>
        <w:tc>
          <w:tcPr>
            <w:tcW w:w="1140" w:type="dxa"/>
            <w:vAlign w:val="bottom"/>
            <w:gridSpan w:val="5"/>
          </w:tcPr>
          <w:p>
            <w:pPr>
              <w:spacing w:after="0"/>
              <w:rPr>
                <w:sz w:val="24"/>
                <w:szCs w:val="24"/>
                <w:color w:val="auto"/>
              </w:rPr>
            </w:pPr>
          </w:p>
        </w:tc>
        <w:tc>
          <w:tcPr>
            <w:tcW w:w="100" w:type="dxa"/>
            <w:vAlign w:val="bottom"/>
            <w:tcBorders>
              <w:bottom w:val="single" w:sz="8" w:color="F2F2F2"/>
            </w:tcBorders>
            <w:shd w:val="clear" w:color="auto" w:fill="F2F2F2"/>
          </w:tcPr>
          <w:p>
            <w:pPr>
              <w:spacing w:after="0"/>
              <w:rPr>
                <w:sz w:val="24"/>
                <w:szCs w:val="24"/>
                <w:color w:val="auto"/>
              </w:rPr>
            </w:pPr>
          </w:p>
        </w:tc>
        <w:tc>
          <w:tcPr>
            <w:tcW w:w="420" w:type="dxa"/>
            <w:vAlign w:val="bottom"/>
            <w:tcBorders>
              <w:bottom w:val="single" w:sz="8" w:color="F2F2F2"/>
            </w:tcBorders>
            <w:gridSpan w:val="2"/>
            <w:shd w:val="clear" w:color="auto" w:fill="F2F2F2"/>
          </w:tcPr>
          <w:p>
            <w:pPr>
              <w:ind w:left="80"/>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466"/>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60" w:type="dxa"/>
            <w:vAlign w:val="bottom"/>
            <w:gridSpan w:val="17"/>
          </w:tcPr>
          <w:p>
            <w:pPr>
              <w:spacing w:after="0"/>
              <w:rPr>
                <w:sz w:val="20"/>
                <w:szCs w:val="20"/>
                <w:color w:val="auto"/>
              </w:rPr>
            </w:pPr>
            <w:r>
              <w:rPr>
                <w:rFonts w:ascii="Arial" w:cs="Arial" w:eastAsia="Arial" w:hAnsi="Arial"/>
                <w:sz w:val="18"/>
                <w:szCs w:val="18"/>
                <w:color w:val="0000EE"/>
              </w:rPr>
              <w:t>Compensation Philosophy and Objectives</w:t>
            </w:r>
          </w:p>
        </w:tc>
        <w:tc>
          <w:tcPr>
            <w:tcW w:w="100" w:type="dxa"/>
            <w:vAlign w:val="bottom"/>
            <w:shd w:val="clear" w:color="auto" w:fill="F2F2F2"/>
          </w:tcPr>
          <w:p>
            <w:pPr>
              <w:spacing w:after="0"/>
              <w:rPr>
                <w:sz w:val="24"/>
                <w:szCs w:val="24"/>
                <w:color w:val="auto"/>
              </w:rPr>
            </w:pPr>
          </w:p>
        </w:tc>
        <w:tc>
          <w:tcPr>
            <w:tcW w:w="420" w:type="dxa"/>
            <w:vAlign w:val="bottom"/>
            <w:gridSpan w:val="2"/>
            <w:shd w:val="clear" w:color="auto" w:fill="F2F2F2"/>
          </w:tcPr>
          <w:p>
            <w:pPr>
              <w:ind w:left="80"/>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F2F2F2"/>
          </w:tcPr>
          <w:p>
            <w:pPr>
              <w:spacing w:after="0" w:line="20" w:lineRule="exact"/>
              <w:rPr>
                <w:sz w:val="1"/>
                <w:szCs w:val="1"/>
                <w:color w:val="auto"/>
              </w:rPr>
            </w:pPr>
          </w:p>
        </w:tc>
        <w:tc>
          <w:tcPr>
            <w:tcW w:w="420" w:type="dxa"/>
            <w:vAlign w:val="bottom"/>
            <w:gridSpan w:val="2"/>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60" w:type="dxa"/>
            <w:vAlign w:val="bottom"/>
            <w:gridSpan w:val="17"/>
          </w:tcPr>
          <w:p>
            <w:pPr>
              <w:spacing w:after="0"/>
              <w:rPr>
                <w:sz w:val="20"/>
                <w:szCs w:val="20"/>
                <w:color w:val="auto"/>
              </w:rPr>
            </w:pPr>
            <w:r>
              <w:rPr>
                <w:rFonts w:ascii="Arial" w:cs="Arial" w:eastAsia="Arial" w:hAnsi="Arial"/>
                <w:sz w:val="18"/>
                <w:szCs w:val="18"/>
                <w:color w:val="0000EE"/>
              </w:rPr>
              <w:t>2025 Elements of Compensation</w:t>
            </w:r>
          </w:p>
        </w:tc>
        <w:tc>
          <w:tcPr>
            <w:tcW w:w="100" w:type="dxa"/>
            <w:vAlign w:val="bottom"/>
            <w:shd w:val="clear" w:color="auto" w:fill="F2F2F2"/>
          </w:tcPr>
          <w:p>
            <w:pPr>
              <w:spacing w:after="0"/>
              <w:rPr>
                <w:sz w:val="24"/>
                <w:szCs w:val="24"/>
                <w:color w:val="auto"/>
              </w:rPr>
            </w:pPr>
          </w:p>
        </w:tc>
        <w:tc>
          <w:tcPr>
            <w:tcW w:w="420" w:type="dxa"/>
            <w:vAlign w:val="bottom"/>
            <w:gridSpan w:val="2"/>
            <w:shd w:val="clear" w:color="auto" w:fill="F2F2F2"/>
          </w:tcPr>
          <w:p>
            <w:pPr>
              <w:ind w:left="80"/>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F2F2F2"/>
          </w:tcPr>
          <w:p>
            <w:pPr>
              <w:spacing w:after="0" w:line="20" w:lineRule="exact"/>
              <w:rPr>
                <w:sz w:val="1"/>
                <w:szCs w:val="1"/>
                <w:color w:val="auto"/>
              </w:rPr>
            </w:pPr>
          </w:p>
        </w:tc>
        <w:tc>
          <w:tcPr>
            <w:tcW w:w="420" w:type="dxa"/>
            <w:vAlign w:val="bottom"/>
            <w:gridSpan w:val="2"/>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60" w:type="dxa"/>
            <w:vAlign w:val="bottom"/>
            <w:gridSpan w:val="17"/>
          </w:tcPr>
          <w:p>
            <w:pPr>
              <w:spacing w:after="0"/>
              <w:rPr>
                <w:sz w:val="20"/>
                <w:szCs w:val="20"/>
                <w:color w:val="auto"/>
              </w:rPr>
            </w:pPr>
            <w:r>
              <w:rPr>
                <w:rFonts w:ascii="Arial" w:cs="Arial" w:eastAsia="Arial" w:hAnsi="Arial"/>
                <w:sz w:val="18"/>
                <w:szCs w:val="18"/>
                <w:color w:val="0000EE"/>
              </w:rPr>
              <w:t>Base Salary in Fiscal 2025</w:t>
            </w:r>
          </w:p>
        </w:tc>
        <w:tc>
          <w:tcPr>
            <w:tcW w:w="100" w:type="dxa"/>
            <w:vAlign w:val="bottom"/>
            <w:shd w:val="clear" w:color="auto" w:fill="F2F2F2"/>
          </w:tcPr>
          <w:p>
            <w:pPr>
              <w:spacing w:after="0"/>
              <w:rPr>
                <w:sz w:val="24"/>
                <w:szCs w:val="24"/>
                <w:color w:val="auto"/>
              </w:rPr>
            </w:pPr>
          </w:p>
        </w:tc>
        <w:tc>
          <w:tcPr>
            <w:tcW w:w="420" w:type="dxa"/>
            <w:vAlign w:val="bottom"/>
            <w:gridSpan w:val="2"/>
            <w:shd w:val="clear" w:color="auto" w:fill="F2F2F2"/>
          </w:tcPr>
          <w:p>
            <w:pPr>
              <w:ind w:left="80"/>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F2F2F2"/>
          </w:tcPr>
          <w:p>
            <w:pPr>
              <w:spacing w:after="0" w:line="20" w:lineRule="exact"/>
              <w:rPr>
                <w:sz w:val="1"/>
                <w:szCs w:val="1"/>
                <w:color w:val="auto"/>
              </w:rPr>
            </w:pPr>
          </w:p>
        </w:tc>
        <w:tc>
          <w:tcPr>
            <w:tcW w:w="420" w:type="dxa"/>
            <w:vAlign w:val="bottom"/>
            <w:gridSpan w:val="2"/>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60" w:type="dxa"/>
            <w:vAlign w:val="bottom"/>
            <w:gridSpan w:val="17"/>
          </w:tcPr>
          <w:p>
            <w:pPr>
              <w:spacing w:after="0"/>
              <w:rPr>
                <w:sz w:val="20"/>
                <w:szCs w:val="20"/>
                <w:color w:val="auto"/>
              </w:rPr>
            </w:pPr>
            <w:r>
              <w:rPr>
                <w:rFonts w:ascii="Arial" w:cs="Arial" w:eastAsia="Arial" w:hAnsi="Arial"/>
                <w:sz w:val="18"/>
                <w:szCs w:val="18"/>
                <w:color w:val="0000EE"/>
              </w:rPr>
              <w:t>Short-Term Cash Incentives</w:t>
            </w:r>
          </w:p>
        </w:tc>
        <w:tc>
          <w:tcPr>
            <w:tcW w:w="100" w:type="dxa"/>
            <w:vAlign w:val="bottom"/>
            <w:shd w:val="clear" w:color="auto" w:fill="F2F2F2"/>
          </w:tcPr>
          <w:p>
            <w:pPr>
              <w:spacing w:after="0"/>
              <w:rPr>
                <w:sz w:val="24"/>
                <w:szCs w:val="24"/>
                <w:color w:val="auto"/>
              </w:rPr>
            </w:pPr>
          </w:p>
        </w:tc>
        <w:tc>
          <w:tcPr>
            <w:tcW w:w="420" w:type="dxa"/>
            <w:vAlign w:val="bottom"/>
            <w:gridSpan w:val="2"/>
            <w:shd w:val="clear" w:color="auto" w:fill="F2F2F2"/>
          </w:tcPr>
          <w:p>
            <w:pPr>
              <w:ind w:left="80"/>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F2F2F2"/>
          </w:tcPr>
          <w:p>
            <w:pPr>
              <w:spacing w:after="0" w:line="20" w:lineRule="exact"/>
              <w:rPr>
                <w:sz w:val="1"/>
                <w:szCs w:val="1"/>
                <w:color w:val="auto"/>
              </w:rPr>
            </w:pPr>
          </w:p>
        </w:tc>
        <w:tc>
          <w:tcPr>
            <w:tcW w:w="420" w:type="dxa"/>
            <w:vAlign w:val="bottom"/>
            <w:gridSpan w:val="2"/>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60" w:type="dxa"/>
            <w:vAlign w:val="bottom"/>
            <w:gridSpan w:val="17"/>
          </w:tcPr>
          <w:p>
            <w:pPr>
              <w:spacing w:after="0"/>
              <w:rPr>
                <w:sz w:val="20"/>
                <w:szCs w:val="20"/>
                <w:color w:val="auto"/>
              </w:rPr>
            </w:pPr>
            <w:r>
              <w:rPr>
                <w:rFonts w:ascii="Arial" w:cs="Arial" w:eastAsia="Arial" w:hAnsi="Arial"/>
                <w:sz w:val="18"/>
                <w:szCs w:val="18"/>
                <w:color w:val="0000EE"/>
              </w:rPr>
              <w:t>Company Performance Factor</w:t>
            </w:r>
          </w:p>
        </w:tc>
        <w:tc>
          <w:tcPr>
            <w:tcW w:w="100" w:type="dxa"/>
            <w:vAlign w:val="bottom"/>
            <w:shd w:val="clear" w:color="auto" w:fill="F2F2F2"/>
          </w:tcPr>
          <w:p>
            <w:pPr>
              <w:spacing w:after="0"/>
              <w:rPr>
                <w:sz w:val="24"/>
                <w:szCs w:val="24"/>
                <w:color w:val="auto"/>
              </w:rPr>
            </w:pPr>
          </w:p>
        </w:tc>
        <w:tc>
          <w:tcPr>
            <w:tcW w:w="420" w:type="dxa"/>
            <w:vAlign w:val="bottom"/>
            <w:gridSpan w:val="2"/>
            <w:shd w:val="clear" w:color="auto" w:fill="F2F2F2"/>
          </w:tcPr>
          <w:p>
            <w:pPr>
              <w:ind w:left="80"/>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F2F2F2"/>
          </w:tcPr>
          <w:p>
            <w:pPr>
              <w:spacing w:after="0" w:line="20" w:lineRule="exact"/>
              <w:rPr>
                <w:sz w:val="1"/>
                <w:szCs w:val="1"/>
                <w:color w:val="auto"/>
              </w:rPr>
            </w:pPr>
          </w:p>
        </w:tc>
        <w:tc>
          <w:tcPr>
            <w:tcW w:w="420" w:type="dxa"/>
            <w:vAlign w:val="bottom"/>
            <w:gridSpan w:val="2"/>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60" w:type="dxa"/>
            <w:vAlign w:val="bottom"/>
            <w:gridSpan w:val="17"/>
          </w:tcPr>
          <w:p>
            <w:pPr>
              <w:spacing w:after="0"/>
              <w:rPr>
                <w:sz w:val="20"/>
                <w:szCs w:val="20"/>
                <w:color w:val="auto"/>
              </w:rPr>
            </w:pPr>
            <w:r>
              <w:rPr>
                <w:rFonts w:ascii="Arial" w:cs="Arial" w:eastAsia="Arial" w:hAnsi="Arial"/>
                <w:sz w:val="18"/>
                <w:szCs w:val="18"/>
                <w:color w:val="0000EE"/>
              </w:rPr>
              <w:t>Participant Performance Factor</w:t>
            </w:r>
          </w:p>
        </w:tc>
        <w:tc>
          <w:tcPr>
            <w:tcW w:w="100" w:type="dxa"/>
            <w:vAlign w:val="bottom"/>
            <w:shd w:val="clear" w:color="auto" w:fill="F2F2F2"/>
          </w:tcPr>
          <w:p>
            <w:pPr>
              <w:spacing w:after="0"/>
              <w:rPr>
                <w:sz w:val="24"/>
                <w:szCs w:val="24"/>
                <w:color w:val="auto"/>
              </w:rPr>
            </w:pPr>
          </w:p>
        </w:tc>
        <w:tc>
          <w:tcPr>
            <w:tcW w:w="420" w:type="dxa"/>
            <w:vAlign w:val="bottom"/>
            <w:gridSpan w:val="2"/>
            <w:shd w:val="clear" w:color="auto" w:fill="F2F2F2"/>
          </w:tcPr>
          <w:p>
            <w:pPr>
              <w:ind w:left="80"/>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F2F2F2"/>
          </w:tcPr>
          <w:p>
            <w:pPr>
              <w:spacing w:after="0" w:line="20" w:lineRule="exact"/>
              <w:rPr>
                <w:sz w:val="1"/>
                <w:szCs w:val="1"/>
                <w:color w:val="auto"/>
              </w:rPr>
            </w:pPr>
          </w:p>
        </w:tc>
        <w:tc>
          <w:tcPr>
            <w:tcW w:w="420" w:type="dxa"/>
            <w:vAlign w:val="bottom"/>
            <w:gridSpan w:val="2"/>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60" w:type="dxa"/>
            <w:vAlign w:val="bottom"/>
            <w:gridSpan w:val="17"/>
          </w:tcPr>
          <w:p>
            <w:pPr>
              <w:spacing w:after="0"/>
              <w:rPr>
                <w:sz w:val="20"/>
                <w:szCs w:val="20"/>
                <w:color w:val="auto"/>
              </w:rPr>
            </w:pPr>
            <w:r>
              <w:rPr>
                <w:rFonts w:ascii="Arial" w:cs="Arial" w:eastAsia="Arial" w:hAnsi="Arial"/>
                <w:sz w:val="18"/>
                <w:szCs w:val="18"/>
                <w:color w:val="0000EE"/>
              </w:rPr>
              <w:t>2025 Payouts</w:t>
            </w:r>
          </w:p>
        </w:tc>
        <w:tc>
          <w:tcPr>
            <w:tcW w:w="100" w:type="dxa"/>
            <w:vAlign w:val="bottom"/>
            <w:shd w:val="clear" w:color="auto" w:fill="F2F2F2"/>
          </w:tcPr>
          <w:p>
            <w:pPr>
              <w:spacing w:after="0"/>
              <w:rPr>
                <w:sz w:val="24"/>
                <w:szCs w:val="24"/>
                <w:color w:val="auto"/>
              </w:rPr>
            </w:pPr>
          </w:p>
        </w:tc>
        <w:tc>
          <w:tcPr>
            <w:tcW w:w="420" w:type="dxa"/>
            <w:vAlign w:val="bottom"/>
            <w:gridSpan w:val="2"/>
            <w:shd w:val="clear" w:color="auto" w:fill="F2F2F2"/>
          </w:tcPr>
          <w:p>
            <w:pPr>
              <w:ind w:left="80"/>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F2F2F2"/>
          </w:tcPr>
          <w:p>
            <w:pPr>
              <w:spacing w:after="0" w:line="20" w:lineRule="exact"/>
              <w:rPr>
                <w:sz w:val="1"/>
                <w:szCs w:val="1"/>
                <w:color w:val="auto"/>
              </w:rPr>
            </w:pPr>
          </w:p>
        </w:tc>
        <w:tc>
          <w:tcPr>
            <w:tcW w:w="420" w:type="dxa"/>
            <w:vAlign w:val="bottom"/>
            <w:gridSpan w:val="2"/>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60" w:type="dxa"/>
            <w:vAlign w:val="bottom"/>
            <w:gridSpan w:val="17"/>
          </w:tcPr>
          <w:p>
            <w:pPr>
              <w:spacing w:after="0"/>
              <w:rPr>
                <w:sz w:val="20"/>
                <w:szCs w:val="20"/>
                <w:color w:val="auto"/>
              </w:rPr>
            </w:pPr>
            <w:r>
              <w:rPr>
                <w:rFonts w:ascii="Arial" w:cs="Arial" w:eastAsia="Arial" w:hAnsi="Arial"/>
                <w:sz w:val="18"/>
                <w:szCs w:val="18"/>
                <w:color w:val="0000EE"/>
              </w:rPr>
              <w:t>Long-Term Equity Incentives in Fiscal 2025</w:t>
            </w:r>
          </w:p>
        </w:tc>
        <w:tc>
          <w:tcPr>
            <w:tcW w:w="100" w:type="dxa"/>
            <w:vAlign w:val="bottom"/>
            <w:shd w:val="clear" w:color="auto" w:fill="F2F2F2"/>
          </w:tcPr>
          <w:p>
            <w:pPr>
              <w:spacing w:after="0"/>
              <w:rPr>
                <w:sz w:val="24"/>
                <w:szCs w:val="24"/>
                <w:color w:val="auto"/>
              </w:rPr>
            </w:pPr>
          </w:p>
        </w:tc>
        <w:tc>
          <w:tcPr>
            <w:tcW w:w="420" w:type="dxa"/>
            <w:vAlign w:val="bottom"/>
            <w:gridSpan w:val="2"/>
            <w:shd w:val="clear" w:color="auto" w:fill="F2F2F2"/>
          </w:tcPr>
          <w:p>
            <w:pPr>
              <w:ind w:left="80"/>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F2F2F2"/>
          </w:tcPr>
          <w:p>
            <w:pPr>
              <w:spacing w:after="0" w:line="20" w:lineRule="exact"/>
              <w:rPr>
                <w:sz w:val="1"/>
                <w:szCs w:val="1"/>
                <w:color w:val="auto"/>
              </w:rPr>
            </w:pPr>
          </w:p>
        </w:tc>
        <w:tc>
          <w:tcPr>
            <w:tcW w:w="420" w:type="dxa"/>
            <w:vAlign w:val="bottom"/>
            <w:gridSpan w:val="2"/>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jc w:val="right"/>
              <w:ind w:right="210"/>
              <w:spacing w:after="0"/>
              <w:rPr>
                <w:sz w:val="20"/>
                <w:szCs w:val="20"/>
                <w:color w:val="auto"/>
              </w:rPr>
            </w:pPr>
            <w:r>
              <w:rPr>
                <w:rFonts w:ascii="Arial" w:cs="Arial" w:eastAsia="Arial" w:hAnsi="Arial"/>
                <w:sz w:val="18"/>
                <w:szCs w:val="18"/>
                <w:b w:val="1"/>
                <w:bCs w:val="1"/>
                <w:color w:val="355BAA"/>
                <w:w w:val="89"/>
              </w:rPr>
              <w:t>03</w:t>
            </w:r>
          </w:p>
        </w:tc>
        <w:tc>
          <w:tcPr>
            <w:tcW w:w="27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b w:val="1"/>
                <w:bCs w:val="1"/>
                <w:color w:val="0000EE"/>
                <w:w w:val="99"/>
              </w:rPr>
              <w:t>Compensation-Setting Process</w:t>
            </w:r>
          </w:p>
        </w:tc>
        <w:tc>
          <w:tcPr>
            <w:tcW w:w="1420" w:type="dxa"/>
            <w:vAlign w:val="bottom"/>
            <w:gridSpan w:val="7"/>
          </w:tcPr>
          <w:p>
            <w:pPr>
              <w:spacing w:after="0"/>
              <w:rPr>
                <w:sz w:val="24"/>
                <w:szCs w:val="24"/>
                <w:color w:val="auto"/>
              </w:rPr>
            </w:pPr>
          </w:p>
        </w:tc>
        <w:tc>
          <w:tcPr>
            <w:tcW w:w="100" w:type="dxa"/>
            <w:vAlign w:val="bottom"/>
            <w:tcBorders>
              <w:bottom w:val="single" w:sz="8" w:color="F2F2F2"/>
            </w:tcBorders>
            <w:shd w:val="clear" w:color="auto" w:fill="F2F2F2"/>
          </w:tcPr>
          <w:p>
            <w:pPr>
              <w:spacing w:after="0"/>
              <w:rPr>
                <w:sz w:val="24"/>
                <w:szCs w:val="24"/>
                <w:color w:val="auto"/>
              </w:rPr>
            </w:pPr>
          </w:p>
        </w:tc>
        <w:tc>
          <w:tcPr>
            <w:tcW w:w="420" w:type="dxa"/>
            <w:vAlign w:val="bottom"/>
            <w:tcBorders>
              <w:bottom w:val="single" w:sz="8" w:color="F2F2F2"/>
            </w:tcBorders>
            <w:gridSpan w:val="2"/>
            <w:shd w:val="clear" w:color="auto" w:fill="F2F2F2"/>
          </w:tcPr>
          <w:p>
            <w:pPr>
              <w:ind w:left="80"/>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466"/>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60" w:type="dxa"/>
            <w:vAlign w:val="bottom"/>
            <w:gridSpan w:val="17"/>
          </w:tcPr>
          <w:p>
            <w:pPr>
              <w:spacing w:after="0"/>
              <w:rPr>
                <w:sz w:val="20"/>
                <w:szCs w:val="20"/>
                <w:color w:val="auto"/>
              </w:rPr>
            </w:pPr>
            <w:r>
              <w:rPr>
                <w:rFonts w:ascii="Arial" w:cs="Arial" w:eastAsia="Arial" w:hAnsi="Arial"/>
                <w:sz w:val="18"/>
                <w:szCs w:val="18"/>
                <w:color w:val="0000EE"/>
              </w:rPr>
              <w:t>LDCC Process</w:t>
            </w:r>
          </w:p>
        </w:tc>
        <w:tc>
          <w:tcPr>
            <w:tcW w:w="100" w:type="dxa"/>
            <w:vAlign w:val="bottom"/>
            <w:shd w:val="clear" w:color="auto" w:fill="F2F2F2"/>
          </w:tcPr>
          <w:p>
            <w:pPr>
              <w:spacing w:after="0"/>
              <w:rPr>
                <w:sz w:val="24"/>
                <w:szCs w:val="24"/>
                <w:color w:val="auto"/>
              </w:rPr>
            </w:pPr>
          </w:p>
        </w:tc>
        <w:tc>
          <w:tcPr>
            <w:tcW w:w="420" w:type="dxa"/>
            <w:vAlign w:val="bottom"/>
            <w:gridSpan w:val="2"/>
            <w:shd w:val="clear" w:color="auto" w:fill="F2F2F2"/>
          </w:tcPr>
          <w:p>
            <w:pPr>
              <w:ind w:left="80"/>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F2F2F2"/>
          </w:tcPr>
          <w:p>
            <w:pPr>
              <w:spacing w:after="0" w:line="20" w:lineRule="exact"/>
              <w:rPr>
                <w:sz w:val="1"/>
                <w:szCs w:val="1"/>
                <w:color w:val="auto"/>
              </w:rPr>
            </w:pPr>
          </w:p>
        </w:tc>
        <w:tc>
          <w:tcPr>
            <w:tcW w:w="420" w:type="dxa"/>
            <w:vAlign w:val="bottom"/>
            <w:gridSpan w:val="2"/>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60" w:type="dxa"/>
            <w:vAlign w:val="bottom"/>
            <w:gridSpan w:val="17"/>
          </w:tcPr>
          <w:p>
            <w:pPr>
              <w:spacing w:after="0"/>
              <w:rPr>
                <w:sz w:val="20"/>
                <w:szCs w:val="20"/>
                <w:color w:val="auto"/>
              </w:rPr>
            </w:pPr>
            <w:r>
              <w:rPr>
                <w:rFonts w:ascii="Arial" w:cs="Arial" w:eastAsia="Arial" w:hAnsi="Arial"/>
                <w:sz w:val="18"/>
                <w:szCs w:val="18"/>
                <w:color w:val="0000EE"/>
              </w:rPr>
              <w:t>Use of Compensation Consultant</w:t>
            </w:r>
          </w:p>
        </w:tc>
        <w:tc>
          <w:tcPr>
            <w:tcW w:w="100" w:type="dxa"/>
            <w:vAlign w:val="bottom"/>
            <w:shd w:val="clear" w:color="auto" w:fill="F2F2F2"/>
          </w:tcPr>
          <w:p>
            <w:pPr>
              <w:spacing w:after="0"/>
              <w:rPr>
                <w:sz w:val="24"/>
                <w:szCs w:val="24"/>
                <w:color w:val="auto"/>
              </w:rPr>
            </w:pPr>
          </w:p>
        </w:tc>
        <w:tc>
          <w:tcPr>
            <w:tcW w:w="420" w:type="dxa"/>
            <w:vAlign w:val="bottom"/>
            <w:gridSpan w:val="2"/>
            <w:shd w:val="clear" w:color="auto" w:fill="F2F2F2"/>
          </w:tcPr>
          <w:p>
            <w:pPr>
              <w:ind w:left="80"/>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F2F2F2"/>
          </w:tcPr>
          <w:p>
            <w:pPr>
              <w:spacing w:after="0" w:line="20" w:lineRule="exact"/>
              <w:rPr>
                <w:sz w:val="1"/>
                <w:szCs w:val="1"/>
                <w:color w:val="auto"/>
              </w:rPr>
            </w:pPr>
          </w:p>
        </w:tc>
        <w:tc>
          <w:tcPr>
            <w:tcW w:w="340" w:type="dxa"/>
            <w:vAlign w:val="bottom"/>
            <w:shd w:val="clear" w:color="auto" w:fill="F2F2F2"/>
          </w:tcPr>
          <w:p>
            <w:pPr>
              <w:spacing w:after="0" w:line="20" w:lineRule="exact"/>
              <w:rPr>
                <w:sz w:val="1"/>
                <w:szCs w:val="1"/>
                <w:color w:val="auto"/>
              </w:rPr>
            </w:pPr>
          </w:p>
        </w:tc>
        <w:tc>
          <w:tcPr>
            <w:tcW w:w="80" w:type="dxa"/>
            <w:vAlign w:val="bottom"/>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60" w:type="dxa"/>
            <w:vAlign w:val="bottom"/>
            <w:gridSpan w:val="17"/>
          </w:tcPr>
          <w:p>
            <w:pPr>
              <w:spacing w:after="0"/>
              <w:rPr>
                <w:sz w:val="20"/>
                <w:szCs w:val="20"/>
                <w:color w:val="auto"/>
              </w:rPr>
            </w:pPr>
            <w:r>
              <w:rPr>
                <w:rFonts w:ascii="Arial" w:cs="Arial" w:eastAsia="Arial" w:hAnsi="Arial"/>
                <w:sz w:val="18"/>
                <w:szCs w:val="18"/>
                <w:color w:val="0000EE"/>
              </w:rPr>
              <w:t>Compensation Consultant Conflict of Interest</w:t>
            </w:r>
          </w:p>
        </w:tc>
        <w:tc>
          <w:tcPr>
            <w:tcW w:w="100" w:type="dxa"/>
            <w:vAlign w:val="bottom"/>
            <w:shd w:val="clear" w:color="auto" w:fill="F2F2F2"/>
          </w:tcPr>
          <w:p>
            <w:pPr>
              <w:spacing w:after="0"/>
              <w:rPr>
                <w:sz w:val="24"/>
                <w:szCs w:val="24"/>
                <w:color w:val="auto"/>
              </w:rPr>
            </w:pPr>
          </w:p>
        </w:tc>
        <w:tc>
          <w:tcPr>
            <w:tcW w:w="420" w:type="dxa"/>
            <w:vAlign w:val="bottom"/>
            <w:gridSpan w:val="2"/>
            <w:vMerge w:val="restart"/>
            <w:shd w:val="clear" w:color="auto" w:fill="F2F2F2"/>
          </w:tcPr>
          <w:p>
            <w:pPr>
              <w:ind w:left="80"/>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tcBorders>
              <w:top w:val="single" w:sz="8" w:color="0000EE"/>
            </w:tcBorders>
            <w:gridSpan w:val="15"/>
          </w:tcPr>
          <w:p>
            <w:pPr>
              <w:spacing w:after="0" w:line="169" w:lineRule="exact"/>
              <w:rPr>
                <w:sz w:val="20"/>
                <w:szCs w:val="20"/>
                <w:color w:val="auto"/>
              </w:rPr>
            </w:pPr>
            <w:r>
              <w:rPr>
                <w:rFonts w:ascii="Arial" w:cs="Arial" w:eastAsia="Arial" w:hAnsi="Arial"/>
                <w:sz w:val="18"/>
                <w:szCs w:val="18"/>
                <w:color w:val="0000EE"/>
              </w:rPr>
              <w:t>Analysis</w:t>
            </w:r>
          </w:p>
        </w:tc>
        <w:tc>
          <w:tcPr>
            <w:tcW w:w="300" w:type="dxa"/>
            <w:vAlign w:val="bottom"/>
          </w:tcPr>
          <w:p>
            <w:pPr>
              <w:spacing w:after="0"/>
              <w:rPr>
                <w:sz w:val="15"/>
                <w:szCs w:val="15"/>
                <w:color w:val="auto"/>
              </w:rPr>
            </w:pPr>
          </w:p>
        </w:tc>
        <w:tc>
          <w:tcPr>
            <w:tcW w:w="100" w:type="dxa"/>
            <w:vAlign w:val="bottom"/>
            <w:tcBorders>
              <w:top w:val="single" w:sz="8" w:color="F2F2F2"/>
            </w:tcBorders>
            <w:shd w:val="clear" w:color="auto" w:fill="F2F2F2"/>
          </w:tcPr>
          <w:p>
            <w:pPr>
              <w:spacing w:after="0"/>
              <w:rPr>
                <w:sz w:val="15"/>
                <w:szCs w:val="15"/>
                <w:color w:val="auto"/>
              </w:rPr>
            </w:pPr>
          </w:p>
        </w:tc>
        <w:tc>
          <w:tcPr>
            <w:tcW w:w="420" w:type="dxa"/>
            <w:vAlign w:val="bottom"/>
            <w:tcBorders>
              <w:top w:val="single" w:sz="8" w:color="F2F2F2"/>
            </w:tcBorders>
            <w:gridSpan w:val="2"/>
            <w:vMerge w:val="continue"/>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00" w:type="dxa"/>
            <w:vAlign w:val="bottom"/>
            <w:shd w:val="clear" w:color="auto" w:fill="F2F2F2"/>
          </w:tcPr>
          <w:p>
            <w:pPr>
              <w:spacing w:after="0" w:line="20" w:lineRule="exact"/>
              <w:rPr>
                <w:sz w:val="1"/>
                <w:szCs w:val="1"/>
                <w:color w:val="auto"/>
              </w:rPr>
            </w:pPr>
          </w:p>
        </w:tc>
        <w:tc>
          <w:tcPr>
            <w:tcW w:w="420" w:type="dxa"/>
            <w:vAlign w:val="bottom"/>
            <w:gridSpan w:val="2"/>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60" w:type="dxa"/>
            <w:vAlign w:val="bottom"/>
            <w:gridSpan w:val="17"/>
          </w:tcPr>
          <w:p>
            <w:pPr>
              <w:spacing w:after="0"/>
              <w:rPr>
                <w:sz w:val="20"/>
                <w:szCs w:val="20"/>
                <w:color w:val="auto"/>
              </w:rPr>
            </w:pPr>
            <w:r>
              <w:rPr>
                <w:rFonts w:ascii="Arial" w:cs="Arial" w:eastAsia="Arial" w:hAnsi="Arial"/>
                <w:sz w:val="18"/>
                <w:szCs w:val="18"/>
                <w:color w:val="0000EE"/>
              </w:rPr>
              <w:t>Retirement Arrangements</w:t>
            </w:r>
          </w:p>
        </w:tc>
        <w:tc>
          <w:tcPr>
            <w:tcW w:w="100" w:type="dxa"/>
            <w:vAlign w:val="bottom"/>
            <w:shd w:val="clear" w:color="auto" w:fill="F2F2F2"/>
          </w:tcPr>
          <w:p>
            <w:pPr>
              <w:spacing w:after="0"/>
              <w:rPr>
                <w:sz w:val="24"/>
                <w:szCs w:val="24"/>
                <w:color w:val="auto"/>
              </w:rPr>
            </w:pPr>
          </w:p>
        </w:tc>
        <w:tc>
          <w:tcPr>
            <w:tcW w:w="420" w:type="dxa"/>
            <w:vAlign w:val="bottom"/>
            <w:gridSpan w:val="2"/>
            <w:shd w:val="clear" w:color="auto" w:fill="F2F2F2"/>
          </w:tcPr>
          <w:p>
            <w:pPr>
              <w:ind w:left="80"/>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00" w:type="dxa"/>
            <w:vAlign w:val="bottom"/>
            <w:shd w:val="clear" w:color="auto" w:fill="F2F2F2"/>
          </w:tcPr>
          <w:p>
            <w:pPr>
              <w:spacing w:after="0" w:line="20" w:lineRule="exact"/>
              <w:rPr>
                <w:sz w:val="1"/>
                <w:szCs w:val="1"/>
                <w:color w:val="auto"/>
              </w:rPr>
            </w:pPr>
          </w:p>
        </w:tc>
        <w:tc>
          <w:tcPr>
            <w:tcW w:w="420" w:type="dxa"/>
            <w:vAlign w:val="bottom"/>
            <w:gridSpan w:val="2"/>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60" w:type="dxa"/>
            <w:vAlign w:val="bottom"/>
            <w:gridSpan w:val="17"/>
          </w:tcPr>
          <w:p>
            <w:pPr>
              <w:spacing w:after="0"/>
              <w:rPr>
                <w:sz w:val="20"/>
                <w:szCs w:val="20"/>
                <w:color w:val="auto"/>
              </w:rPr>
            </w:pPr>
            <w:r>
              <w:rPr>
                <w:rFonts w:ascii="Arial" w:cs="Arial" w:eastAsia="Arial" w:hAnsi="Arial"/>
                <w:sz w:val="18"/>
                <w:szCs w:val="18"/>
                <w:color w:val="0000EE"/>
              </w:rPr>
              <w:t>Other Compensation Arrangements</w:t>
            </w:r>
          </w:p>
        </w:tc>
        <w:tc>
          <w:tcPr>
            <w:tcW w:w="100" w:type="dxa"/>
            <w:vAlign w:val="bottom"/>
            <w:shd w:val="clear" w:color="auto" w:fill="F2F2F2"/>
          </w:tcPr>
          <w:p>
            <w:pPr>
              <w:spacing w:after="0"/>
              <w:rPr>
                <w:sz w:val="24"/>
                <w:szCs w:val="24"/>
                <w:color w:val="auto"/>
              </w:rPr>
            </w:pPr>
          </w:p>
        </w:tc>
        <w:tc>
          <w:tcPr>
            <w:tcW w:w="420" w:type="dxa"/>
            <w:vAlign w:val="bottom"/>
            <w:gridSpan w:val="2"/>
            <w:shd w:val="clear" w:color="auto" w:fill="F2F2F2"/>
          </w:tcPr>
          <w:p>
            <w:pPr>
              <w:ind w:left="80"/>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60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F2F2F2"/>
            </w:tcBorders>
            <w:shd w:val="clear" w:color="auto" w:fill="F2F2F2"/>
          </w:tcPr>
          <w:p>
            <w:pPr>
              <w:spacing w:after="0"/>
              <w:rPr>
                <w:sz w:val="13"/>
                <w:szCs w:val="13"/>
                <w:color w:val="auto"/>
              </w:rPr>
            </w:pPr>
          </w:p>
        </w:tc>
        <w:tc>
          <w:tcPr>
            <w:tcW w:w="340" w:type="dxa"/>
            <w:vAlign w:val="bottom"/>
            <w:tcBorders>
              <w:top w:val="single" w:sz="8" w:color="F2F2F2"/>
            </w:tcBorders>
            <w:shd w:val="clear" w:color="auto" w:fill="F2F2F2"/>
          </w:tcPr>
          <w:p>
            <w:pPr>
              <w:spacing w:after="0"/>
              <w:rPr>
                <w:sz w:val="13"/>
                <w:szCs w:val="13"/>
                <w:color w:val="auto"/>
              </w:rPr>
            </w:pPr>
          </w:p>
        </w:tc>
        <w:tc>
          <w:tcPr>
            <w:tcW w:w="80" w:type="dxa"/>
            <w:vAlign w:val="bottom"/>
            <w:tcBorders>
              <w:top w:val="single" w:sz="8" w:color="F2F2F2"/>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5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355BAA"/>
                <w:w w:val="89"/>
              </w:rPr>
              <w:t>04</w:t>
            </w:r>
          </w:p>
        </w:tc>
        <w:tc>
          <w:tcPr>
            <w:tcW w:w="4220" w:type="dxa"/>
            <w:vAlign w:val="bottom"/>
            <w:gridSpan w:val="19"/>
          </w:tcPr>
          <w:p>
            <w:pPr>
              <w:spacing w:after="0"/>
              <w:rPr>
                <w:sz w:val="20"/>
                <w:szCs w:val="20"/>
                <w:color w:val="auto"/>
              </w:rPr>
            </w:pPr>
            <w:r>
              <w:rPr>
                <w:rFonts w:ascii="Arial" w:cs="Arial" w:eastAsia="Arial" w:hAnsi="Arial"/>
                <w:sz w:val="18"/>
                <w:szCs w:val="18"/>
                <w:b w:val="1"/>
                <w:bCs w:val="1"/>
                <w:color w:val="0000EE"/>
              </w:rPr>
              <w:t>Post-Employment Compensation</w:t>
            </w:r>
          </w:p>
        </w:tc>
        <w:tc>
          <w:tcPr>
            <w:tcW w:w="340" w:type="dxa"/>
            <w:vAlign w:val="bottom"/>
            <w:vMerge w:val="restart"/>
            <w:shd w:val="clear" w:color="auto" w:fill="F2F2F2"/>
          </w:tcPr>
          <w:p>
            <w:pPr>
              <w:ind w:left="80"/>
              <w:spacing w:after="0"/>
              <w:rPr>
                <w:sz w:val="20"/>
                <w:szCs w:val="20"/>
                <w:color w:val="auto"/>
              </w:rPr>
            </w:pPr>
            <w:r>
              <w:rPr>
                <w:rFonts w:ascii="Arial" w:cs="Arial" w:eastAsia="Arial" w:hAnsi="Arial"/>
                <w:sz w:val="18"/>
                <w:szCs w:val="18"/>
                <w:color w:val="auto"/>
                <w:w w:val="83"/>
              </w:rPr>
              <w:t>56  </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500" w:type="dxa"/>
            <w:vAlign w:val="bottom"/>
            <w:vMerge w:val="continue"/>
          </w:tcPr>
          <w:p>
            <w:pPr>
              <w:spacing w:after="0"/>
              <w:rPr>
                <w:sz w:val="15"/>
                <w:szCs w:val="15"/>
                <w:color w:val="auto"/>
              </w:rPr>
            </w:pPr>
          </w:p>
        </w:tc>
        <w:tc>
          <w:tcPr>
            <w:tcW w:w="2860" w:type="dxa"/>
            <w:vAlign w:val="bottom"/>
            <w:tcBorders>
              <w:top w:val="single" w:sz="8" w:color="0000EE"/>
            </w:tcBorders>
            <w:gridSpan w:val="12"/>
          </w:tcPr>
          <w:p>
            <w:pPr>
              <w:spacing w:after="0" w:line="169" w:lineRule="exact"/>
              <w:rPr>
                <w:sz w:val="20"/>
                <w:szCs w:val="20"/>
                <w:color w:val="auto"/>
              </w:rPr>
            </w:pPr>
            <w:r>
              <w:rPr>
                <w:rFonts w:ascii="Arial" w:cs="Arial" w:eastAsia="Arial" w:hAnsi="Arial"/>
                <w:sz w:val="18"/>
                <w:szCs w:val="18"/>
                <w:b w:val="1"/>
                <w:bCs w:val="1"/>
                <w:color w:val="0000EE"/>
              </w:rPr>
              <w:t>Arrangements</w:t>
            </w:r>
          </w:p>
        </w:tc>
        <w:tc>
          <w:tcPr>
            <w:tcW w:w="1360" w:type="dxa"/>
            <w:vAlign w:val="bottom"/>
            <w:gridSpan w:val="7"/>
          </w:tcPr>
          <w:p>
            <w:pPr>
              <w:spacing w:after="0"/>
              <w:rPr>
                <w:sz w:val="15"/>
                <w:szCs w:val="15"/>
                <w:color w:val="auto"/>
              </w:rPr>
            </w:pPr>
          </w:p>
        </w:tc>
        <w:tc>
          <w:tcPr>
            <w:tcW w:w="340" w:type="dxa"/>
            <w:vAlign w:val="bottom"/>
            <w:tcBorders>
              <w:top w:val="single" w:sz="8" w:color="F2F2F2"/>
            </w:tcBorders>
            <w:vMerge w:val="continue"/>
            <w:shd w:val="clear" w:color="auto" w:fill="F2F2F2"/>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4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F2F2F2"/>
            </w:tcBorders>
            <w:shd w:val="clear" w:color="auto" w:fill="F2F2F2"/>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-6102985</wp:posOffset>
            </wp:positionV>
            <wp:extent cx="29317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-5794375</wp:posOffset>
            </wp:positionV>
            <wp:extent cx="26746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7462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-5485765</wp:posOffset>
            </wp:positionV>
            <wp:extent cx="2674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7462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-5177155</wp:posOffset>
            </wp:positionV>
            <wp:extent cx="26746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7462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-4868545</wp:posOffset>
            </wp:positionV>
            <wp:extent cx="29317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-4559935</wp:posOffset>
            </wp:positionV>
            <wp:extent cx="26746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7462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-4251325</wp:posOffset>
            </wp:positionV>
            <wp:extent cx="2674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7462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-3942715</wp:posOffset>
            </wp:positionV>
            <wp:extent cx="26746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7462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-3634105</wp:posOffset>
            </wp:positionV>
            <wp:extent cx="26746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7462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-3325495</wp:posOffset>
            </wp:positionV>
            <wp:extent cx="2674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7462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-3016885</wp:posOffset>
            </wp:positionV>
            <wp:extent cx="26746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7462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-2708275</wp:posOffset>
            </wp:positionV>
            <wp:extent cx="26746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7462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-2399665</wp:posOffset>
            </wp:positionV>
            <wp:extent cx="2674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7462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-2091055</wp:posOffset>
            </wp:positionV>
            <wp:extent cx="29317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-1782445</wp:posOffset>
            </wp:positionV>
            <wp:extent cx="2674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7462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-1473835</wp:posOffset>
            </wp:positionV>
            <wp:extent cx="2674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7462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-1036955</wp:posOffset>
            </wp:positionV>
            <wp:extent cx="26746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7462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-728345</wp:posOffset>
            </wp:positionV>
            <wp:extent cx="2674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7462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-423545</wp:posOffset>
            </wp:positionV>
            <wp:extent cx="3107055" cy="436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107055" cy="436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500" w:type="dxa"/>
            <w:vAlign w:val="bottom"/>
            <w:vMerge w:val="restart"/>
          </w:tcPr>
          <w:p>
            <w:pPr>
              <w:spacing w:after="0"/>
              <w:rPr>
                <w:sz w:val="20"/>
                <w:szCs w:val="20"/>
                <w:color w:val="auto"/>
              </w:rPr>
            </w:pPr>
            <w:r>
              <w:rPr>
                <w:rFonts w:ascii="Arial" w:cs="Arial" w:eastAsia="Arial" w:hAnsi="Arial"/>
                <w:sz w:val="18"/>
                <w:szCs w:val="18"/>
                <w:b w:val="1"/>
                <w:bCs w:val="1"/>
                <w:color w:val="355BAA"/>
              </w:rPr>
              <w:t>05</w:t>
            </w:r>
          </w:p>
        </w:tc>
        <w:tc>
          <w:tcPr>
            <w:tcW w:w="4360" w:type="dxa"/>
            <w:vAlign w:val="bottom"/>
            <w:tcBorders>
              <w:right w:val="single" w:sz="8" w:color="F2F2F2"/>
            </w:tcBorders>
            <w:gridSpan w:val="25"/>
          </w:tcPr>
          <w:p>
            <w:pPr>
              <w:spacing w:after="0"/>
              <w:rPr>
                <w:sz w:val="20"/>
                <w:szCs w:val="20"/>
                <w:color w:val="auto"/>
              </w:rPr>
            </w:pPr>
            <w:r>
              <w:rPr>
                <w:rFonts w:ascii="Arial" w:cs="Arial" w:eastAsia="Arial" w:hAnsi="Arial"/>
                <w:sz w:val="18"/>
                <w:szCs w:val="18"/>
                <w:b w:val="1"/>
                <w:bCs w:val="1"/>
                <w:color w:val="0000EE"/>
              </w:rPr>
              <w:t>Policies and Procedures Related to the Grant</w:t>
            </w:r>
          </w:p>
        </w:tc>
        <w:tc>
          <w:tcPr>
            <w:tcW w:w="320" w:type="dxa"/>
            <w:vAlign w:val="bottom"/>
            <w:vMerge w:val="restart"/>
            <w:shd w:val="clear" w:color="auto" w:fill="F2F2F2"/>
          </w:tcPr>
          <w:p>
            <w:pPr>
              <w:ind w:left="60"/>
              <w:spacing w:after="0"/>
              <w:rPr>
                <w:sz w:val="20"/>
                <w:szCs w:val="20"/>
                <w:color w:val="auto"/>
              </w:rPr>
            </w:pPr>
            <w:r>
              <w:rPr>
                <w:rFonts w:ascii="Arial" w:cs="Arial" w:eastAsia="Arial" w:hAnsi="Arial"/>
                <w:sz w:val="18"/>
                <w:szCs w:val="18"/>
                <w:color w:val="auto"/>
                <w:w w:val="83"/>
              </w:rPr>
              <w:t>57  </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00" w:type="dxa"/>
            <w:vAlign w:val="bottom"/>
            <w:vMerge w:val="continue"/>
          </w:tcPr>
          <w:p>
            <w:pPr>
              <w:spacing w:after="0"/>
              <w:rPr>
                <w:sz w:val="15"/>
                <w:szCs w:val="15"/>
                <w:color w:val="auto"/>
              </w:rPr>
            </w:pPr>
          </w:p>
        </w:tc>
        <w:tc>
          <w:tcPr>
            <w:tcW w:w="3860" w:type="dxa"/>
            <w:vAlign w:val="bottom"/>
            <w:tcBorders>
              <w:top w:val="single" w:sz="8" w:color="0000EE"/>
            </w:tcBorders>
            <w:gridSpan w:val="21"/>
          </w:tcPr>
          <w:p>
            <w:pPr>
              <w:spacing w:after="0" w:line="169" w:lineRule="exact"/>
              <w:rPr>
                <w:sz w:val="20"/>
                <w:szCs w:val="20"/>
                <w:color w:val="auto"/>
              </w:rPr>
            </w:pPr>
            <w:r>
              <w:rPr>
                <w:rFonts w:ascii="Arial" w:cs="Arial" w:eastAsia="Arial" w:hAnsi="Arial"/>
                <w:sz w:val="18"/>
                <w:szCs w:val="18"/>
                <w:b w:val="1"/>
                <w:bCs w:val="1"/>
                <w:color w:val="0000EE"/>
              </w:rPr>
              <w:t>of Certain Equity Awards</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right w:val="single" w:sz="8" w:color="F2F2F2"/>
            </w:tcBorders>
            <w:gridSpan w:val="2"/>
          </w:tcPr>
          <w:p>
            <w:pPr>
              <w:spacing w:after="0"/>
              <w:rPr>
                <w:sz w:val="15"/>
                <w:szCs w:val="15"/>
                <w:color w:val="auto"/>
              </w:rPr>
            </w:pPr>
          </w:p>
        </w:tc>
        <w:tc>
          <w:tcPr>
            <w:tcW w:w="320" w:type="dxa"/>
            <w:vAlign w:val="bottom"/>
            <w:tcBorders>
              <w:top w:val="single" w:sz="8" w:color="F2F2F2"/>
            </w:tcBorders>
            <w:vMerge w:val="continue"/>
            <w:shd w:val="clear" w:color="auto" w:fill="F2F2F2"/>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F2F2F2"/>
            </w:tcBorders>
          </w:tcPr>
          <w:p>
            <w:pPr>
              <w:spacing w:after="0" w:line="20" w:lineRule="exact"/>
              <w:rPr>
                <w:sz w:val="1"/>
                <w:szCs w:val="1"/>
                <w:color w:val="auto"/>
              </w:rPr>
            </w:pPr>
          </w:p>
        </w:tc>
        <w:tc>
          <w:tcPr>
            <w:tcW w:w="320" w:type="dxa"/>
            <w:vAlign w:val="bottom"/>
            <w:shd w:val="clear" w:color="auto" w:fill="F2F2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00" w:type="dxa"/>
            <w:vAlign w:val="bottom"/>
            <w:vMerge w:val="restart"/>
          </w:tcPr>
          <w:p>
            <w:pPr>
              <w:spacing w:after="0"/>
              <w:rPr>
                <w:sz w:val="20"/>
                <w:szCs w:val="20"/>
                <w:color w:val="auto"/>
              </w:rPr>
            </w:pPr>
            <w:r>
              <w:rPr>
                <w:rFonts w:ascii="Arial" w:cs="Arial" w:eastAsia="Arial" w:hAnsi="Arial"/>
                <w:sz w:val="18"/>
                <w:szCs w:val="18"/>
                <w:b w:val="1"/>
                <w:bCs w:val="1"/>
                <w:color w:val="355BAA"/>
              </w:rPr>
              <w:t>06</w:t>
            </w:r>
          </w:p>
        </w:tc>
        <w:tc>
          <w:tcPr>
            <w:tcW w:w="3340" w:type="dxa"/>
            <w:vAlign w:val="bottom"/>
            <w:gridSpan w:val="15"/>
            <w:vMerge w:val="restart"/>
          </w:tcPr>
          <w:p>
            <w:pPr>
              <w:spacing w:after="0"/>
              <w:rPr>
                <w:sz w:val="20"/>
                <w:szCs w:val="20"/>
                <w:color w:val="auto"/>
              </w:rPr>
            </w:pPr>
            <w:r>
              <w:rPr>
                <w:rFonts w:ascii="Arial" w:cs="Arial" w:eastAsia="Arial" w:hAnsi="Arial"/>
                <w:sz w:val="18"/>
                <w:szCs w:val="18"/>
                <w:b w:val="1"/>
                <w:bCs w:val="1"/>
                <w:color w:val="0000EE"/>
                <w:w w:val="99"/>
              </w:rPr>
              <w:t>Executive Stock Ownership Guidelines</w:t>
            </w:r>
          </w:p>
        </w:tc>
        <w:tc>
          <w:tcPr>
            <w:tcW w:w="900" w:type="dxa"/>
            <w:vAlign w:val="bottom"/>
            <w:gridSpan w:val="9"/>
            <w:vMerge w:val="restart"/>
          </w:tcPr>
          <w:p>
            <w:pPr>
              <w:spacing w:after="0"/>
              <w:rPr>
                <w:sz w:val="13"/>
                <w:szCs w:val="13"/>
                <w:color w:val="auto"/>
              </w:rPr>
            </w:pPr>
          </w:p>
        </w:tc>
        <w:tc>
          <w:tcPr>
            <w:tcW w:w="120" w:type="dxa"/>
            <w:vAlign w:val="bottom"/>
            <w:tcBorders>
              <w:right w:val="single" w:sz="8" w:color="F2F2F2"/>
            </w:tcBorders>
          </w:tcPr>
          <w:p>
            <w:pPr>
              <w:spacing w:after="0"/>
              <w:rPr>
                <w:sz w:val="13"/>
                <w:szCs w:val="13"/>
                <w:color w:val="auto"/>
              </w:rPr>
            </w:pPr>
          </w:p>
        </w:tc>
        <w:tc>
          <w:tcPr>
            <w:tcW w:w="320" w:type="dxa"/>
            <w:vAlign w:val="bottom"/>
            <w:shd w:val="clear" w:color="auto" w:fill="F2F2F2"/>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500" w:type="dxa"/>
            <w:vAlign w:val="bottom"/>
            <w:vMerge w:val="continue"/>
          </w:tcPr>
          <w:p>
            <w:pPr>
              <w:spacing w:after="0"/>
              <w:rPr>
                <w:sz w:val="24"/>
                <w:szCs w:val="24"/>
                <w:color w:val="auto"/>
              </w:rPr>
            </w:pPr>
          </w:p>
        </w:tc>
        <w:tc>
          <w:tcPr>
            <w:tcW w:w="3340" w:type="dxa"/>
            <w:vAlign w:val="bottom"/>
            <w:tcBorders>
              <w:bottom w:val="single" w:sz="8" w:color="0000EE"/>
            </w:tcBorders>
            <w:gridSpan w:val="15"/>
            <w:vMerge w:val="continue"/>
          </w:tcPr>
          <w:p>
            <w:pPr>
              <w:spacing w:after="0"/>
              <w:rPr>
                <w:sz w:val="24"/>
                <w:szCs w:val="24"/>
                <w:color w:val="auto"/>
              </w:rPr>
            </w:pPr>
          </w:p>
        </w:tc>
        <w:tc>
          <w:tcPr>
            <w:tcW w:w="900" w:type="dxa"/>
            <w:vAlign w:val="bottom"/>
            <w:gridSpan w:val="9"/>
            <w:vMerge w:val="continue"/>
          </w:tcPr>
          <w:p>
            <w:pPr>
              <w:spacing w:after="0"/>
              <w:rPr>
                <w:sz w:val="24"/>
                <w:szCs w:val="24"/>
                <w:color w:val="auto"/>
              </w:rPr>
            </w:pPr>
          </w:p>
        </w:tc>
        <w:tc>
          <w:tcPr>
            <w:tcW w:w="120" w:type="dxa"/>
            <w:vAlign w:val="bottom"/>
            <w:tcBorders>
              <w:bottom w:val="single" w:sz="8" w:color="F2F2F2"/>
              <w:right w:val="single" w:sz="8" w:color="F2F2F2"/>
            </w:tcBorders>
            <w:shd w:val="clear" w:color="auto" w:fill="F2F2F2"/>
          </w:tcPr>
          <w:p>
            <w:pPr>
              <w:spacing w:after="0"/>
              <w:rPr>
                <w:sz w:val="24"/>
                <w:szCs w:val="24"/>
                <w:color w:val="auto"/>
              </w:rPr>
            </w:pPr>
          </w:p>
        </w:tc>
        <w:tc>
          <w:tcPr>
            <w:tcW w:w="400" w:type="dxa"/>
            <w:vAlign w:val="bottom"/>
            <w:tcBorders>
              <w:bottom w:val="single" w:sz="8" w:color="F2F2F2"/>
            </w:tcBorders>
            <w:gridSpan w:val="2"/>
            <w:shd w:val="clear" w:color="auto" w:fill="F2F2F2"/>
          </w:tcPr>
          <w:p>
            <w:pPr>
              <w:ind w:left="60"/>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574"/>
        </w:trPr>
        <w:tc>
          <w:tcPr>
            <w:tcW w:w="500" w:type="dxa"/>
            <w:vAlign w:val="bottom"/>
            <w:vMerge w:val="restart"/>
          </w:tcPr>
          <w:p>
            <w:pPr>
              <w:spacing w:after="0"/>
              <w:rPr>
                <w:sz w:val="20"/>
                <w:szCs w:val="20"/>
                <w:color w:val="auto"/>
              </w:rPr>
            </w:pPr>
            <w:r>
              <w:rPr>
                <w:rFonts w:ascii="Arial" w:cs="Arial" w:eastAsia="Arial" w:hAnsi="Arial"/>
                <w:sz w:val="18"/>
                <w:szCs w:val="18"/>
                <w:b w:val="1"/>
                <w:bCs w:val="1"/>
                <w:color w:val="355BAA"/>
              </w:rPr>
              <w:t>07</w:t>
            </w:r>
          </w:p>
        </w:tc>
        <w:tc>
          <w:tcPr>
            <w:tcW w:w="4240" w:type="dxa"/>
            <w:vAlign w:val="bottom"/>
            <w:gridSpan w:val="24"/>
          </w:tcPr>
          <w:p>
            <w:pPr>
              <w:spacing w:after="0"/>
              <w:rPr>
                <w:sz w:val="20"/>
                <w:szCs w:val="20"/>
                <w:color w:val="auto"/>
              </w:rPr>
            </w:pPr>
            <w:r>
              <w:rPr>
                <w:rFonts w:ascii="Arial" w:cs="Arial" w:eastAsia="Arial" w:hAnsi="Arial"/>
                <w:sz w:val="18"/>
                <w:szCs w:val="18"/>
                <w:b w:val="1"/>
                <w:bCs w:val="1"/>
                <w:color w:val="0000EE"/>
              </w:rPr>
              <w:t>Executive Officer Incentive Compensation</w:t>
            </w:r>
          </w:p>
        </w:tc>
        <w:tc>
          <w:tcPr>
            <w:tcW w:w="120" w:type="dxa"/>
            <w:vAlign w:val="bottom"/>
            <w:tcBorders>
              <w:right w:val="single" w:sz="8" w:color="F2F2F2"/>
            </w:tcBorders>
            <w:shd w:val="clear" w:color="auto" w:fill="F2F2F2"/>
          </w:tcPr>
          <w:p>
            <w:pPr>
              <w:spacing w:after="0"/>
              <w:rPr>
                <w:sz w:val="24"/>
                <w:szCs w:val="24"/>
                <w:color w:val="auto"/>
              </w:rPr>
            </w:pPr>
          </w:p>
        </w:tc>
        <w:tc>
          <w:tcPr>
            <w:tcW w:w="400" w:type="dxa"/>
            <w:vAlign w:val="bottom"/>
            <w:gridSpan w:val="2"/>
            <w:vMerge w:val="restart"/>
            <w:shd w:val="clear" w:color="auto" w:fill="F2F2F2"/>
          </w:tcPr>
          <w:p>
            <w:pPr>
              <w:ind w:left="60"/>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183"/>
        </w:trPr>
        <w:tc>
          <w:tcPr>
            <w:tcW w:w="500" w:type="dxa"/>
            <w:vAlign w:val="bottom"/>
            <w:vMerge w:val="continue"/>
          </w:tcPr>
          <w:p>
            <w:pPr>
              <w:spacing w:after="0"/>
              <w:rPr>
                <w:sz w:val="15"/>
                <w:szCs w:val="15"/>
                <w:color w:val="auto"/>
              </w:rPr>
            </w:pPr>
          </w:p>
        </w:tc>
        <w:tc>
          <w:tcPr>
            <w:tcW w:w="3600" w:type="dxa"/>
            <w:vAlign w:val="bottom"/>
            <w:tcBorders>
              <w:top w:val="single" w:sz="8" w:color="0000EE"/>
            </w:tcBorders>
            <w:gridSpan w:val="18"/>
          </w:tcPr>
          <w:p>
            <w:pPr>
              <w:spacing w:after="0" w:line="169" w:lineRule="exact"/>
              <w:rPr>
                <w:sz w:val="20"/>
                <w:szCs w:val="20"/>
                <w:color w:val="auto"/>
              </w:rPr>
            </w:pPr>
            <w:r>
              <w:rPr>
                <w:rFonts w:ascii="Arial" w:cs="Arial" w:eastAsia="Arial" w:hAnsi="Arial"/>
                <w:sz w:val="18"/>
                <w:szCs w:val="18"/>
                <w:b w:val="1"/>
                <w:bCs w:val="1"/>
                <w:color w:val="0000EE"/>
              </w:rPr>
              <w:t>Recovery Policies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F2F2F2"/>
              <w:right w:val="single" w:sz="8" w:color="F2F2F2"/>
            </w:tcBorders>
            <w:shd w:val="clear" w:color="auto" w:fill="F2F2F2"/>
          </w:tcPr>
          <w:p>
            <w:pPr>
              <w:spacing w:after="0"/>
              <w:rPr>
                <w:sz w:val="15"/>
                <w:szCs w:val="15"/>
                <w:color w:val="auto"/>
              </w:rPr>
            </w:pPr>
          </w:p>
        </w:tc>
        <w:tc>
          <w:tcPr>
            <w:tcW w:w="400" w:type="dxa"/>
            <w:vAlign w:val="bottom"/>
            <w:tcBorders>
              <w:top w:val="single" w:sz="8" w:color="F2F2F2"/>
            </w:tcBorders>
            <w:gridSpan w:val="2"/>
            <w:vMerge w:val="continue"/>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500" w:type="dxa"/>
            <w:vAlign w:val="bottom"/>
          </w:tcPr>
          <w:p>
            <w:pPr>
              <w:spacing w:after="0"/>
              <w:rPr>
                <w:sz w:val="20"/>
                <w:szCs w:val="20"/>
                <w:color w:val="auto"/>
              </w:rPr>
            </w:pPr>
            <w:r>
              <w:rPr>
                <w:rFonts w:ascii="Arial" w:cs="Arial" w:eastAsia="Arial" w:hAnsi="Arial"/>
                <w:sz w:val="18"/>
                <w:szCs w:val="18"/>
                <w:b w:val="1"/>
                <w:bCs w:val="1"/>
                <w:color w:val="355BAA"/>
              </w:rPr>
              <w:t>08</w:t>
            </w:r>
          </w:p>
        </w:tc>
        <w:tc>
          <w:tcPr>
            <w:tcW w:w="102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8"/>
              </w:rPr>
              <w:t>No Hedging</w:t>
            </w:r>
          </w:p>
        </w:tc>
        <w:tc>
          <w:tcPr>
            <w:tcW w:w="520" w:type="dxa"/>
            <w:vAlign w:val="bottom"/>
            <w:tcBorders>
              <w:top w:val="single" w:sz="8" w:color="0000EE"/>
            </w:tcBorders>
            <w:gridSpan w:val="3"/>
          </w:tcPr>
          <w:p>
            <w:pPr>
              <w:spacing w:after="0"/>
              <w:rPr>
                <w:sz w:val="24"/>
                <w:szCs w:val="24"/>
                <w:color w:val="auto"/>
              </w:rPr>
            </w:pPr>
          </w:p>
        </w:tc>
        <w:tc>
          <w:tcPr>
            <w:tcW w:w="2700" w:type="dxa"/>
            <w:vAlign w:val="bottom"/>
            <w:gridSpan w:val="17"/>
          </w:tcPr>
          <w:p>
            <w:pPr>
              <w:spacing w:after="0"/>
              <w:rPr>
                <w:sz w:val="24"/>
                <w:szCs w:val="24"/>
                <w:color w:val="auto"/>
              </w:rPr>
            </w:pPr>
          </w:p>
        </w:tc>
        <w:tc>
          <w:tcPr>
            <w:tcW w:w="120" w:type="dxa"/>
            <w:vAlign w:val="bottom"/>
            <w:tcBorders>
              <w:top w:val="single" w:sz="8" w:color="F2F2F2"/>
              <w:bottom w:val="single" w:sz="8" w:color="F2F2F2"/>
              <w:right w:val="single" w:sz="8" w:color="F2F2F2"/>
            </w:tcBorders>
            <w:shd w:val="clear" w:color="auto" w:fill="F2F2F2"/>
          </w:tcPr>
          <w:p>
            <w:pPr>
              <w:spacing w:after="0"/>
              <w:rPr>
                <w:sz w:val="24"/>
                <w:szCs w:val="24"/>
                <w:color w:val="auto"/>
              </w:rPr>
            </w:pPr>
          </w:p>
        </w:tc>
        <w:tc>
          <w:tcPr>
            <w:tcW w:w="400" w:type="dxa"/>
            <w:vAlign w:val="bottom"/>
            <w:tcBorders>
              <w:top w:val="single" w:sz="8" w:color="F2F2F2"/>
              <w:bottom w:val="single" w:sz="8" w:color="F2F2F2"/>
            </w:tcBorders>
            <w:gridSpan w:val="2"/>
            <w:shd w:val="clear" w:color="auto" w:fill="F2F2F2"/>
          </w:tcPr>
          <w:p>
            <w:pPr>
              <w:ind w:left="60"/>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466"/>
        </w:trPr>
        <w:tc>
          <w:tcPr>
            <w:tcW w:w="500" w:type="dxa"/>
            <w:vAlign w:val="bottom"/>
          </w:tcPr>
          <w:p>
            <w:pPr>
              <w:spacing w:after="0"/>
              <w:rPr>
                <w:sz w:val="20"/>
                <w:szCs w:val="20"/>
                <w:color w:val="auto"/>
              </w:rPr>
            </w:pPr>
            <w:r>
              <w:rPr>
                <w:rFonts w:ascii="Arial" w:cs="Arial" w:eastAsia="Arial" w:hAnsi="Arial"/>
                <w:sz w:val="18"/>
                <w:szCs w:val="18"/>
                <w:b w:val="1"/>
                <w:bCs w:val="1"/>
                <w:color w:val="355BAA"/>
              </w:rPr>
              <w:t>09</w:t>
            </w:r>
          </w:p>
        </w:tc>
        <w:tc>
          <w:tcPr>
            <w:tcW w:w="10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7"/>
              </w:rPr>
              <w:t>Tax Matters</w:t>
            </w:r>
          </w:p>
        </w:tc>
        <w:tc>
          <w:tcPr>
            <w:tcW w:w="3240" w:type="dxa"/>
            <w:vAlign w:val="bottom"/>
            <w:gridSpan w:val="21"/>
          </w:tcPr>
          <w:p>
            <w:pPr>
              <w:spacing w:after="0"/>
              <w:rPr>
                <w:sz w:val="24"/>
                <w:szCs w:val="24"/>
                <w:color w:val="auto"/>
              </w:rPr>
            </w:pPr>
          </w:p>
        </w:tc>
        <w:tc>
          <w:tcPr>
            <w:tcW w:w="120" w:type="dxa"/>
            <w:vAlign w:val="bottom"/>
            <w:tcBorders>
              <w:bottom w:val="single" w:sz="8" w:color="F2F2F2"/>
              <w:right w:val="single" w:sz="8" w:color="F2F2F2"/>
            </w:tcBorders>
            <w:shd w:val="clear" w:color="auto" w:fill="F2F2F2"/>
          </w:tcPr>
          <w:p>
            <w:pPr>
              <w:spacing w:after="0"/>
              <w:rPr>
                <w:sz w:val="24"/>
                <w:szCs w:val="24"/>
                <w:color w:val="auto"/>
              </w:rPr>
            </w:pPr>
          </w:p>
        </w:tc>
        <w:tc>
          <w:tcPr>
            <w:tcW w:w="400" w:type="dxa"/>
            <w:vAlign w:val="bottom"/>
            <w:tcBorders>
              <w:bottom w:val="single" w:sz="8" w:color="F2F2F2"/>
            </w:tcBorders>
            <w:gridSpan w:val="2"/>
            <w:shd w:val="clear" w:color="auto" w:fill="F2F2F2"/>
          </w:tcPr>
          <w:p>
            <w:pPr>
              <w:ind w:left="60"/>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574"/>
        </w:trPr>
        <w:tc>
          <w:tcPr>
            <w:tcW w:w="500" w:type="dxa"/>
            <w:vAlign w:val="bottom"/>
            <w:vMerge w:val="restart"/>
          </w:tcPr>
          <w:p>
            <w:pPr>
              <w:spacing w:after="0"/>
              <w:rPr>
                <w:sz w:val="20"/>
                <w:szCs w:val="20"/>
                <w:color w:val="auto"/>
              </w:rPr>
            </w:pPr>
            <w:r>
              <w:rPr>
                <w:rFonts w:ascii="Arial" w:cs="Arial" w:eastAsia="Arial" w:hAnsi="Arial"/>
                <w:sz w:val="18"/>
                <w:szCs w:val="18"/>
                <w:b w:val="1"/>
                <w:bCs w:val="1"/>
                <w:color w:val="355BAA"/>
              </w:rPr>
              <w:t>10</w:t>
            </w:r>
          </w:p>
        </w:tc>
        <w:tc>
          <w:tcPr>
            <w:tcW w:w="4240" w:type="dxa"/>
            <w:vAlign w:val="bottom"/>
            <w:gridSpan w:val="24"/>
          </w:tcPr>
          <w:p>
            <w:pPr>
              <w:spacing w:after="0"/>
              <w:rPr>
                <w:sz w:val="20"/>
                <w:szCs w:val="20"/>
                <w:color w:val="auto"/>
              </w:rPr>
            </w:pPr>
            <w:r>
              <w:rPr>
                <w:rFonts w:ascii="Arial" w:cs="Arial" w:eastAsia="Arial" w:hAnsi="Arial"/>
                <w:sz w:val="18"/>
                <w:szCs w:val="18"/>
                <w:b w:val="1"/>
                <w:bCs w:val="1"/>
                <w:color w:val="0000EE"/>
              </w:rPr>
              <w:t>Leadership Development and Compensation</w:t>
            </w:r>
          </w:p>
        </w:tc>
        <w:tc>
          <w:tcPr>
            <w:tcW w:w="120" w:type="dxa"/>
            <w:vAlign w:val="bottom"/>
            <w:tcBorders>
              <w:right w:val="single" w:sz="8" w:color="F2F2F2"/>
            </w:tcBorders>
            <w:shd w:val="clear" w:color="auto" w:fill="F2F2F2"/>
          </w:tcPr>
          <w:p>
            <w:pPr>
              <w:spacing w:after="0"/>
              <w:rPr>
                <w:sz w:val="24"/>
                <w:szCs w:val="24"/>
                <w:color w:val="auto"/>
              </w:rPr>
            </w:pPr>
          </w:p>
        </w:tc>
        <w:tc>
          <w:tcPr>
            <w:tcW w:w="400" w:type="dxa"/>
            <w:vAlign w:val="bottom"/>
            <w:gridSpan w:val="2"/>
            <w:vMerge w:val="restart"/>
            <w:shd w:val="clear" w:color="auto" w:fill="F2F2F2"/>
          </w:tcPr>
          <w:p>
            <w:pPr>
              <w:ind w:left="60"/>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183"/>
        </w:trPr>
        <w:tc>
          <w:tcPr>
            <w:tcW w:w="500" w:type="dxa"/>
            <w:vAlign w:val="bottom"/>
            <w:vMerge w:val="continue"/>
          </w:tcPr>
          <w:p>
            <w:pPr>
              <w:spacing w:after="0"/>
              <w:rPr>
                <w:sz w:val="15"/>
                <w:szCs w:val="15"/>
                <w:color w:val="auto"/>
              </w:rPr>
            </w:pPr>
          </w:p>
        </w:tc>
        <w:tc>
          <w:tcPr>
            <w:tcW w:w="1580" w:type="dxa"/>
            <w:vAlign w:val="bottom"/>
            <w:tcBorders>
              <w:top w:val="single" w:sz="8" w:color="0000EE"/>
              <w:bottom w:val="single" w:sz="8" w:color="0000EE"/>
            </w:tcBorders>
            <w:gridSpan w:val="9"/>
          </w:tcPr>
          <w:p>
            <w:pPr>
              <w:spacing w:after="0" w:line="169" w:lineRule="exact"/>
              <w:rPr>
                <w:sz w:val="20"/>
                <w:szCs w:val="20"/>
                <w:color w:val="auto"/>
              </w:rPr>
            </w:pPr>
            <w:r>
              <w:rPr>
                <w:rFonts w:ascii="Arial" w:cs="Arial" w:eastAsia="Arial" w:hAnsi="Arial"/>
                <w:sz w:val="18"/>
                <w:szCs w:val="18"/>
                <w:b w:val="1"/>
                <w:bCs w:val="1"/>
                <w:color w:val="0000EE"/>
                <w:w w:val="99"/>
              </w:rPr>
              <w:t>Committee Report</w:t>
            </w:r>
          </w:p>
        </w:tc>
        <w:tc>
          <w:tcPr>
            <w:tcW w:w="2240" w:type="dxa"/>
            <w:vAlign w:val="bottom"/>
            <w:tcBorders>
              <w:top w:val="single" w:sz="8" w:color="0000EE"/>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F2F2F2"/>
              <w:bottom w:val="single" w:sz="8" w:color="F2F2F2"/>
              <w:right w:val="single" w:sz="8" w:color="F2F2F2"/>
            </w:tcBorders>
            <w:shd w:val="clear" w:color="auto" w:fill="F2F2F2"/>
          </w:tcPr>
          <w:p>
            <w:pPr>
              <w:spacing w:after="0"/>
              <w:rPr>
                <w:sz w:val="15"/>
                <w:szCs w:val="15"/>
                <w:color w:val="auto"/>
              </w:rPr>
            </w:pPr>
          </w:p>
        </w:tc>
        <w:tc>
          <w:tcPr>
            <w:tcW w:w="400" w:type="dxa"/>
            <w:vAlign w:val="bottom"/>
            <w:tcBorders>
              <w:top w:val="single" w:sz="8" w:color="F2F2F2"/>
              <w:bottom w:val="single" w:sz="8" w:color="F2F2F2"/>
            </w:tcBorders>
            <w:gridSpan w:val="2"/>
            <w:vMerge w:val="continue"/>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500" w:type="dxa"/>
            <w:vAlign w:val="bottom"/>
          </w:tcPr>
          <w:p>
            <w:pPr>
              <w:spacing w:after="0"/>
              <w:rPr>
                <w:sz w:val="20"/>
                <w:szCs w:val="20"/>
                <w:color w:val="auto"/>
              </w:rPr>
            </w:pPr>
            <w:r>
              <w:rPr>
                <w:rFonts w:ascii="Arial" w:cs="Arial" w:eastAsia="Arial" w:hAnsi="Arial"/>
                <w:sz w:val="18"/>
                <w:szCs w:val="18"/>
                <w:b w:val="1"/>
                <w:bCs w:val="1"/>
                <w:color w:val="355BAA"/>
              </w:rPr>
              <w:t>11</w:t>
            </w:r>
          </w:p>
        </w:tc>
        <w:tc>
          <w:tcPr>
            <w:tcW w:w="4240" w:type="dxa"/>
            <w:vAlign w:val="bottom"/>
            <w:gridSpan w:val="24"/>
          </w:tcPr>
          <w:p>
            <w:pPr>
              <w:spacing w:after="0"/>
              <w:rPr>
                <w:sz w:val="20"/>
                <w:szCs w:val="20"/>
                <w:color w:val="auto"/>
              </w:rPr>
            </w:pPr>
            <w:r>
              <w:rPr>
                <w:rFonts w:ascii="Arial" w:cs="Arial" w:eastAsia="Arial" w:hAnsi="Arial"/>
                <w:sz w:val="18"/>
                <w:szCs w:val="18"/>
                <w:b w:val="1"/>
                <w:bCs w:val="1"/>
                <w:color w:val="0000EE"/>
              </w:rPr>
              <w:t>Compensation Tables</w:t>
            </w:r>
          </w:p>
        </w:tc>
        <w:tc>
          <w:tcPr>
            <w:tcW w:w="120" w:type="dxa"/>
            <w:vAlign w:val="bottom"/>
            <w:tcBorders>
              <w:right w:val="single" w:sz="8" w:color="F2F2F2"/>
            </w:tcBorders>
            <w:shd w:val="clear" w:color="auto" w:fill="F2F2F2"/>
          </w:tcPr>
          <w:p>
            <w:pPr>
              <w:spacing w:after="0"/>
              <w:rPr>
                <w:sz w:val="24"/>
                <w:szCs w:val="24"/>
                <w:color w:val="auto"/>
              </w:rPr>
            </w:pPr>
          </w:p>
        </w:tc>
        <w:tc>
          <w:tcPr>
            <w:tcW w:w="400" w:type="dxa"/>
            <w:vAlign w:val="bottom"/>
            <w:gridSpan w:val="2"/>
            <w:shd w:val="clear" w:color="auto" w:fill="F2F2F2"/>
          </w:tcPr>
          <w:p>
            <w:pPr>
              <w:ind w:left="60"/>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F2F2F2"/>
            </w:tcBorders>
            <w:shd w:val="clear" w:color="auto" w:fill="F2F2F2"/>
          </w:tcPr>
          <w:p>
            <w:pPr>
              <w:spacing w:after="0" w:line="20" w:lineRule="exact"/>
              <w:rPr>
                <w:sz w:val="1"/>
                <w:szCs w:val="1"/>
                <w:color w:val="auto"/>
              </w:rPr>
            </w:pPr>
          </w:p>
        </w:tc>
        <w:tc>
          <w:tcPr>
            <w:tcW w:w="400" w:type="dxa"/>
            <w:vAlign w:val="bottom"/>
            <w:gridSpan w:val="2"/>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8"/>
              </w:rPr>
              <w:t>Summary Compensation Table</w:t>
            </w:r>
          </w:p>
        </w:tc>
        <w:tc>
          <w:tcPr>
            <w:tcW w:w="1520" w:type="dxa"/>
            <w:vAlign w:val="bottom"/>
            <w:gridSpan w:val="11"/>
          </w:tcPr>
          <w:p>
            <w:pPr>
              <w:spacing w:after="0"/>
              <w:rPr>
                <w:sz w:val="24"/>
                <w:szCs w:val="24"/>
                <w:color w:val="auto"/>
              </w:rPr>
            </w:pPr>
          </w:p>
        </w:tc>
        <w:tc>
          <w:tcPr>
            <w:tcW w:w="120" w:type="dxa"/>
            <w:vAlign w:val="bottom"/>
            <w:tcBorders>
              <w:bottom w:val="single" w:sz="8" w:color="F2F2F2"/>
              <w:right w:val="single" w:sz="8" w:color="F2F2F2"/>
            </w:tcBorders>
            <w:shd w:val="clear" w:color="auto" w:fill="F2F2F2"/>
          </w:tcPr>
          <w:p>
            <w:pPr>
              <w:spacing w:after="0"/>
              <w:rPr>
                <w:sz w:val="24"/>
                <w:szCs w:val="24"/>
                <w:color w:val="auto"/>
              </w:rPr>
            </w:pPr>
          </w:p>
        </w:tc>
        <w:tc>
          <w:tcPr>
            <w:tcW w:w="400" w:type="dxa"/>
            <w:vAlign w:val="bottom"/>
            <w:tcBorders>
              <w:bottom w:val="single" w:sz="8" w:color="F2F2F2"/>
            </w:tcBorders>
            <w:gridSpan w:val="2"/>
            <w:shd w:val="clear" w:color="auto" w:fill="F2F2F2"/>
          </w:tcPr>
          <w:p>
            <w:pPr>
              <w:ind w:left="60"/>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466"/>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80" w:type="dxa"/>
            <w:vAlign w:val="bottom"/>
            <w:gridSpan w:val="23"/>
          </w:tcPr>
          <w:p>
            <w:pPr>
              <w:spacing w:after="0"/>
              <w:rPr>
                <w:sz w:val="20"/>
                <w:szCs w:val="20"/>
                <w:color w:val="auto"/>
              </w:rPr>
            </w:pPr>
            <w:r>
              <w:rPr>
                <w:rFonts w:ascii="Arial" w:cs="Arial" w:eastAsia="Arial" w:hAnsi="Arial"/>
                <w:sz w:val="18"/>
                <w:szCs w:val="18"/>
                <w:color w:val="0000EE"/>
              </w:rPr>
              <w:t>All Other Compensation Table</w:t>
            </w:r>
          </w:p>
        </w:tc>
        <w:tc>
          <w:tcPr>
            <w:tcW w:w="120" w:type="dxa"/>
            <w:vAlign w:val="bottom"/>
            <w:tcBorders>
              <w:right w:val="single" w:sz="8" w:color="F2F2F2"/>
            </w:tcBorders>
            <w:shd w:val="clear" w:color="auto" w:fill="F2F2F2"/>
          </w:tcPr>
          <w:p>
            <w:pPr>
              <w:spacing w:after="0"/>
              <w:rPr>
                <w:sz w:val="24"/>
                <w:szCs w:val="24"/>
                <w:color w:val="auto"/>
              </w:rPr>
            </w:pPr>
          </w:p>
        </w:tc>
        <w:tc>
          <w:tcPr>
            <w:tcW w:w="400" w:type="dxa"/>
            <w:vAlign w:val="bottom"/>
            <w:gridSpan w:val="2"/>
            <w:shd w:val="clear" w:color="auto" w:fill="F2F2F2"/>
          </w:tcPr>
          <w:p>
            <w:pPr>
              <w:ind w:left="60"/>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F2F2F2"/>
            </w:tcBorders>
            <w:shd w:val="clear" w:color="auto" w:fill="F2F2F2"/>
          </w:tcPr>
          <w:p>
            <w:pPr>
              <w:spacing w:after="0" w:line="20" w:lineRule="exact"/>
              <w:rPr>
                <w:sz w:val="1"/>
                <w:szCs w:val="1"/>
                <w:color w:val="auto"/>
              </w:rPr>
            </w:pPr>
          </w:p>
        </w:tc>
        <w:tc>
          <w:tcPr>
            <w:tcW w:w="400" w:type="dxa"/>
            <w:vAlign w:val="bottom"/>
            <w:gridSpan w:val="2"/>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80" w:type="dxa"/>
            <w:vAlign w:val="bottom"/>
            <w:gridSpan w:val="23"/>
          </w:tcPr>
          <w:p>
            <w:pPr>
              <w:spacing w:after="0"/>
              <w:rPr>
                <w:sz w:val="20"/>
                <w:szCs w:val="20"/>
                <w:color w:val="auto"/>
              </w:rPr>
            </w:pPr>
            <w:r>
              <w:rPr>
                <w:rFonts w:ascii="Arial" w:cs="Arial" w:eastAsia="Arial" w:hAnsi="Arial"/>
                <w:sz w:val="18"/>
                <w:szCs w:val="18"/>
                <w:color w:val="0000EE"/>
              </w:rPr>
              <w:t>Grants of Plan-Based Awards for Fiscal 2025</w:t>
            </w:r>
          </w:p>
        </w:tc>
        <w:tc>
          <w:tcPr>
            <w:tcW w:w="120" w:type="dxa"/>
            <w:vAlign w:val="bottom"/>
            <w:tcBorders>
              <w:right w:val="single" w:sz="8" w:color="F2F2F2"/>
            </w:tcBorders>
            <w:shd w:val="clear" w:color="auto" w:fill="F2F2F2"/>
          </w:tcPr>
          <w:p>
            <w:pPr>
              <w:spacing w:after="0"/>
              <w:rPr>
                <w:sz w:val="24"/>
                <w:szCs w:val="24"/>
                <w:color w:val="auto"/>
              </w:rPr>
            </w:pPr>
          </w:p>
        </w:tc>
        <w:tc>
          <w:tcPr>
            <w:tcW w:w="400" w:type="dxa"/>
            <w:vAlign w:val="bottom"/>
            <w:gridSpan w:val="2"/>
            <w:shd w:val="clear" w:color="auto" w:fill="F2F2F2"/>
          </w:tcPr>
          <w:p>
            <w:pPr>
              <w:ind w:left="60"/>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F2F2F2"/>
            </w:tcBorders>
            <w:shd w:val="clear" w:color="auto" w:fill="F2F2F2"/>
          </w:tcPr>
          <w:p>
            <w:pPr>
              <w:spacing w:after="0" w:line="20" w:lineRule="exact"/>
              <w:rPr>
                <w:sz w:val="1"/>
                <w:szCs w:val="1"/>
                <w:color w:val="auto"/>
              </w:rPr>
            </w:pPr>
          </w:p>
        </w:tc>
        <w:tc>
          <w:tcPr>
            <w:tcW w:w="320" w:type="dxa"/>
            <w:vAlign w:val="bottom"/>
            <w:shd w:val="clear" w:color="auto" w:fill="F2F2F2"/>
          </w:tcPr>
          <w:p>
            <w:pPr>
              <w:spacing w:after="0" w:line="20" w:lineRule="exact"/>
              <w:rPr>
                <w:sz w:val="1"/>
                <w:szCs w:val="1"/>
                <w:color w:val="auto"/>
              </w:rPr>
            </w:pPr>
          </w:p>
        </w:tc>
        <w:tc>
          <w:tcPr>
            <w:tcW w:w="80" w:type="dxa"/>
            <w:vAlign w:val="bottom"/>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80" w:type="dxa"/>
            <w:vAlign w:val="bottom"/>
            <w:gridSpan w:val="23"/>
          </w:tcPr>
          <w:p>
            <w:pPr>
              <w:spacing w:after="0"/>
              <w:rPr>
                <w:sz w:val="20"/>
                <w:szCs w:val="20"/>
                <w:color w:val="auto"/>
              </w:rPr>
            </w:pPr>
            <w:r>
              <w:rPr>
                <w:rFonts w:ascii="Arial" w:cs="Arial" w:eastAsia="Arial" w:hAnsi="Arial"/>
                <w:sz w:val="18"/>
                <w:szCs w:val="18"/>
                <w:color w:val="0000EE"/>
              </w:rPr>
              <w:t>Outstanding Equity Awards at Fiscal 2025 Year</w:t>
            </w:r>
          </w:p>
        </w:tc>
        <w:tc>
          <w:tcPr>
            <w:tcW w:w="120" w:type="dxa"/>
            <w:vAlign w:val="bottom"/>
            <w:tcBorders>
              <w:right w:val="single" w:sz="8" w:color="F2F2F2"/>
            </w:tcBorders>
            <w:shd w:val="clear" w:color="auto" w:fill="F2F2F2"/>
          </w:tcPr>
          <w:p>
            <w:pPr>
              <w:spacing w:after="0"/>
              <w:rPr>
                <w:sz w:val="24"/>
                <w:szCs w:val="24"/>
                <w:color w:val="auto"/>
              </w:rPr>
            </w:pPr>
          </w:p>
        </w:tc>
        <w:tc>
          <w:tcPr>
            <w:tcW w:w="400" w:type="dxa"/>
            <w:vAlign w:val="bottom"/>
            <w:gridSpan w:val="2"/>
            <w:vMerge w:val="restart"/>
            <w:shd w:val="clear" w:color="auto" w:fill="F2F2F2"/>
          </w:tcPr>
          <w:p>
            <w:pPr>
              <w:ind w:left="60"/>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top w:val="single" w:sz="8" w:color="0000EE"/>
              <w:bottom w:val="single" w:sz="8" w:color="0000EE"/>
            </w:tcBorders>
          </w:tcPr>
          <w:p>
            <w:pPr>
              <w:spacing w:after="0" w:line="169" w:lineRule="exact"/>
              <w:rPr>
                <w:sz w:val="20"/>
                <w:szCs w:val="20"/>
                <w:color w:val="auto"/>
              </w:rPr>
            </w:pPr>
            <w:r>
              <w:rPr>
                <w:rFonts w:ascii="Arial" w:cs="Arial" w:eastAsia="Arial" w:hAnsi="Arial"/>
                <w:sz w:val="18"/>
                <w:szCs w:val="18"/>
                <w:color w:val="0000EE"/>
                <w:w w:val="93"/>
              </w:rPr>
              <w:t>End</w:t>
            </w:r>
          </w:p>
        </w:tc>
        <w:tc>
          <w:tcPr>
            <w:tcW w:w="3420" w:type="dxa"/>
            <w:vAlign w:val="bottom"/>
            <w:tcBorders>
              <w:top w:val="single" w:sz="8" w:color="0000EE"/>
            </w:tcBorders>
            <w:gridSpan w:val="20"/>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F2F2F2"/>
              <w:bottom w:val="single" w:sz="8" w:color="F2F2F2"/>
              <w:right w:val="single" w:sz="8" w:color="F2F2F2"/>
            </w:tcBorders>
            <w:shd w:val="clear" w:color="auto" w:fill="F2F2F2"/>
          </w:tcPr>
          <w:p>
            <w:pPr>
              <w:spacing w:after="0"/>
              <w:rPr>
                <w:sz w:val="15"/>
                <w:szCs w:val="15"/>
                <w:color w:val="auto"/>
              </w:rPr>
            </w:pPr>
          </w:p>
        </w:tc>
        <w:tc>
          <w:tcPr>
            <w:tcW w:w="400" w:type="dxa"/>
            <w:vAlign w:val="bottom"/>
            <w:tcBorders>
              <w:top w:val="single" w:sz="8" w:color="F2F2F2"/>
              <w:bottom w:val="single" w:sz="8" w:color="F2F2F2"/>
            </w:tcBorders>
            <w:gridSpan w:val="2"/>
            <w:vMerge w:val="continue"/>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8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9"/>
              </w:rPr>
              <w:t>Fiscal 2025 Option Exercises and Stock Vested</w:t>
            </w:r>
          </w:p>
        </w:tc>
        <w:tc>
          <w:tcPr>
            <w:tcW w:w="200" w:type="dxa"/>
            <w:vAlign w:val="bottom"/>
          </w:tcPr>
          <w:p>
            <w:pPr>
              <w:spacing w:after="0"/>
              <w:rPr>
                <w:sz w:val="24"/>
                <w:szCs w:val="24"/>
                <w:color w:val="auto"/>
              </w:rPr>
            </w:pPr>
          </w:p>
        </w:tc>
        <w:tc>
          <w:tcPr>
            <w:tcW w:w="120" w:type="dxa"/>
            <w:vAlign w:val="bottom"/>
            <w:tcBorders>
              <w:bottom w:val="single" w:sz="8" w:color="F2F2F2"/>
              <w:right w:val="single" w:sz="8" w:color="F2F2F2"/>
            </w:tcBorders>
            <w:shd w:val="clear" w:color="auto" w:fill="F2F2F2"/>
          </w:tcPr>
          <w:p>
            <w:pPr>
              <w:spacing w:after="0"/>
              <w:rPr>
                <w:sz w:val="24"/>
                <w:szCs w:val="24"/>
                <w:color w:val="auto"/>
              </w:rPr>
            </w:pPr>
          </w:p>
        </w:tc>
        <w:tc>
          <w:tcPr>
            <w:tcW w:w="400" w:type="dxa"/>
            <w:vAlign w:val="bottom"/>
            <w:tcBorders>
              <w:bottom w:val="single" w:sz="8" w:color="F2F2F2"/>
            </w:tcBorders>
            <w:gridSpan w:val="2"/>
            <w:shd w:val="clear" w:color="auto" w:fill="F2F2F2"/>
          </w:tcPr>
          <w:p>
            <w:pPr>
              <w:ind w:left="60"/>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466"/>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80" w:type="dxa"/>
            <w:vAlign w:val="bottom"/>
            <w:gridSpan w:val="23"/>
          </w:tcPr>
          <w:p>
            <w:pPr>
              <w:spacing w:after="0"/>
              <w:rPr>
                <w:sz w:val="20"/>
                <w:szCs w:val="20"/>
                <w:color w:val="auto"/>
              </w:rPr>
            </w:pPr>
            <w:r>
              <w:rPr>
                <w:rFonts w:ascii="Arial" w:cs="Arial" w:eastAsia="Arial" w:hAnsi="Arial"/>
                <w:sz w:val="18"/>
                <w:szCs w:val="18"/>
                <w:color w:val="0000EE"/>
              </w:rPr>
              <w:t>Non-Qualified Deferred Compensation for</w:t>
            </w:r>
          </w:p>
        </w:tc>
        <w:tc>
          <w:tcPr>
            <w:tcW w:w="120" w:type="dxa"/>
            <w:vAlign w:val="bottom"/>
            <w:tcBorders>
              <w:right w:val="single" w:sz="8" w:color="F2F2F2"/>
            </w:tcBorders>
            <w:shd w:val="clear" w:color="auto" w:fill="F2F2F2"/>
          </w:tcPr>
          <w:p>
            <w:pPr>
              <w:spacing w:after="0"/>
              <w:rPr>
                <w:sz w:val="24"/>
                <w:szCs w:val="24"/>
                <w:color w:val="auto"/>
              </w:rPr>
            </w:pPr>
          </w:p>
        </w:tc>
        <w:tc>
          <w:tcPr>
            <w:tcW w:w="400" w:type="dxa"/>
            <w:vAlign w:val="bottom"/>
            <w:gridSpan w:val="2"/>
            <w:vMerge w:val="restart"/>
            <w:shd w:val="clear" w:color="auto" w:fill="F2F2F2"/>
          </w:tcPr>
          <w:p>
            <w:pPr>
              <w:ind w:left="60"/>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Borders>
              <w:top w:val="single" w:sz="8" w:color="0000EE"/>
              <w:bottom w:val="single" w:sz="8" w:color="0000EE"/>
            </w:tcBorders>
            <w:gridSpan w:val="4"/>
          </w:tcPr>
          <w:p>
            <w:pPr>
              <w:spacing w:after="0" w:line="169" w:lineRule="exact"/>
              <w:rPr>
                <w:sz w:val="20"/>
                <w:szCs w:val="20"/>
                <w:color w:val="auto"/>
              </w:rPr>
            </w:pPr>
            <w:r>
              <w:rPr>
                <w:rFonts w:ascii="Arial" w:cs="Arial" w:eastAsia="Arial" w:hAnsi="Arial"/>
                <w:sz w:val="18"/>
                <w:szCs w:val="18"/>
                <w:color w:val="0000EE"/>
                <w:w w:val="97"/>
              </w:rPr>
              <w:t>Fiscal 2025</w:t>
            </w:r>
          </w:p>
        </w:tc>
        <w:tc>
          <w:tcPr>
            <w:tcW w:w="2400" w:type="dxa"/>
            <w:vAlign w:val="bottom"/>
            <w:tcBorders>
              <w:top w:val="single" w:sz="8" w:color="0000EE"/>
            </w:tcBorders>
            <w:gridSpan w:val="12"/>
          </w:tcPr>
          <w:p>
            <w:pPr>
              <w:spacing w:after="0"/>
              <w:rPr>
                <w:sz w:val="15"/>
                <w:szCs w:val="15"/>
                <w:color w:val="auto"/>
              </w:rPr>
            </w:pPr>
          </w:p>
        </w:tc>
        <w:tc>
          <w:tcPr>
            <w:tcW w:w="660" w:type="dxa"/>
            <w:vAlign w:val="bottom"/>
            <w:gridSpan w:val="7"/>
          </w:tcPr>
          <w:p>
            <w:pPr>
              <w:spacing w:after="0"/>
              <w:rPr>
                <w:sz w:val="15"/>
                <w:szCs w:val="15"/>
                <w:color w:val="auto"/>
              </w:rPr>
            </w:pPr>
          </w:p>
        </w:tc>
        <w:tc>
          <w:tcPr>
            <w:tcW w:w="120" w:type="dxa"/>
            <w:vAlign w:val="bottom"/>
            <w:tcBorders>
              <w:top w:val="single" w:sz="8" w:color="F2F2F2"/>
              <w:bottom w:val="single" w:sz="8" w:color="F2F2F2"/>
              <w:right w:val="single" w:sz="8" w:color="F2F2F2"/>
            </w:tcBorders>
            <w:shd w:val="clear" w:color="auto" w:fill="F2F2F2"/>
          </w:tcPr>
          <w:p>
            <w:pPr>
              <w:spacing w:after="0"/>
              <w:rPr>
                <w:sz w:val="15"/>
                <w:szCs w:val="15"/>
                <w:color w:val="auto"/>
              </w:rPr>
            </w:pPr>
          </w:p>
        </w:tc>
        <w:tc>
          <w:tcPr>
            <w:tcW w:w="400" w:type="dxa"/>
            <w:vAlign w:val="bottom"/>
            <w:tcBorders>
              <w:top w:val="single" w:sz="8" w:color="F2F2F2"/>
              <w:bottom w:val="single" w:sz="8" w:color="F2F2F2"/>
            </w:tcBorders>
            <w:gridSpan w:val="2"/>
            <w:vMerge w:val="continue"/>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500" w:type="dxa"/>
            <w:vAlign w:val="bottom"/>
            <w:vMerge w:val="restart"/>
          </w:tcPr>
          <w:p>
            <w:pPr>
              <w:spacing w:after="0"/>
              <w:rPr>
                <w:sz w:val="20"/>
                <w:szCs w:val="20"/>
                <w:color w:val="auto"/>
              </w:rPr>
            </w:pPr>
            <w:r>
              <w:rPr>
                <w:rFonts w:ascii="Arial" w:cs="Arial" w:eastAsia="Arial" w:hAnsi="Arial"/>
                <w:sz w:val="18"/>
                <w:szCs w:val="18"/>
                <w:b w:val="1"/>
                <w:bCs w:val="1"/>
                <w:color w:val="355BAA"/>
              </w:rPr>
              <w:t>12</w:t>
            </w:r>
          </w:p>
        </w:tc>
        <w:tc>
          <w:tcPr>
            <w:tcW w:w="348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b w:val="1"/>
                <w:bCs w:val="1"/>
                <w:color w:val="0000EE"/>
                <w:w w:val="99"/>
              </w:rPr>
              <w:t>Potential Payments Upon Termination or</w:t>
            </w:r>
          </w:p>
        </w:tc>
        <w:tc>
          <w:tcPr>
            <w:tcW w:w="760" w:type="dxa"/>
            <w:vAlign w:val="bottom"/>
            <w:gridSpan w:val="8"/>
          </w:tcPr>
          <w:p>
            <w:pPr>
              <w:spacing w:after="0"/>
              <w:rPr>
                <w:sz w:val="24"/>
                <w:szCs w:val="24"/>
                <w:color w:val="auto"/>
              </w:rPr>
            </w:pPr>
          </w:p>
        </w:tc>
        <w:tc>
          <w:tcPr>
            <w:tcW w:w="120" w:type="dxa"/>
            <w:vAlign w:val="bottom"/>
            <w:tcBorders>
              <w:bottom w:val="single" w:sz="8" w:color="F2F2F2"/>
              <w:right w:val="single" w:sz="8" w:color="F2F2F2"/>
            </w:tcBorders>
            <w:shd w:val="clear" w:color="auto" w:fill="F2F2F2"/>
          </w:tcPr>
          <w:p>
            <w:pPr>
              <w:spacing w:after="0"/>
              <w:rPr>
                <w:sz w:val="24"/>
                <w:szCs w:val="24"/>
                <w:color w:val="auto"/>
              </w:rPr>
            </w:pPr>
          </w:p>
        </w:tc>
        <w:tc>
          <w:tcPr>
            <w:tcW w:w="320" w:type="dxa"/>
            <w:vAlign w:val="bottom"/>
            <w:tcBorders>
              <w:bottom w:val="single" w:sz="8" w:color="F2F2F2"/>
            </w:tcBorders>
            <w:shd w:val="clear" w:color="auto" w:fill="F2F2F2"/>
          </w:tcPr>
          <w:p>
            <w:pPr>
              <w:spacing w:after="0"/>
              <w:rPr>
                <w:sz w:val="24"/>
                <w:szCs w:val="24"/>
                <w:color w:val="auto"/>
              </w:rPr>
            </w:pPr>
          </w:p>
        </w:tc>
        <w:tc>
          <w:tcPr>
            <w:tcW w:w="80" w:type="dxa"/>
            <w:vAlign w:val="bottom"/>
            <w:tcBorders>
              <w:bottom w:val="single" w:sz="8" w:color="F2F2F2"/>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500" w:type="dxa"/>
            <w:vAlign w:val="bottom"/>
            <w:vMerge w:val="continue"/>
          </w:tcPr>
          <w:p>
            <w:pPr>
              <w:spacing w:after="0"/>
              <w:rPr>
                <w:sz w:val="11"/>
                <w:szCs w:val="11"/>
                <w:color w:val="auto"/>
              </w:rPr>
            </w:pPr>
          </w:p>
        </w:tc>
        <w:tc>
          <w:tcPr>
            <w:tcW w:w="4240" w:type="dxa"/>
            <w:vAlign w:val="bottom"/>
            <w:gridSpan w:val="24"/>
            <w:vMerge w:val="restart"/>
          </w:tcPr>
          <w:p>
            <w:pPr>
              <w:spacing w:after="0" w:line="169" w:lineRule="exact"/>
              <w:rPr>
                <w:sz w:val="20"/>
                <w:szCs w:val="20"/>
                <w:color w:val="auto"/>
              </w:rPr>
            </w:pPr>
            <w:r>
              <w:rPr>
                <w:rFonts w:ascii="Arial" w:cs="Arial" w:eastAsia="Arial" w:hAnsi="Arial"/>
                <w:sz w:val="18"/>
                <w:szCs w:val="18"/>
                <w:b w:val="1"/>
                <w:bCs w:val="1"/>
                <w:color w:val="0000EE"/>
              </w:rPr>
              <w:t>Change in Control</w:t>
            </w:r>
          </w:p>
        </w:tc>
        <w:tc>
          <w:tcPr>
            <w:tcW w:w="120" w:type="dxa"/>
            <w:vAlign w:val="bottom"/>
            <w:tcBorders>
              <w:right w:val="single" w:sz="8" w:color="F2F2F2"/>
            </w:tcBorders>
            <w:shd w:val="clear" w:color="auto" w:fill="F2F2F2"/>
          </w:tcPr>
          <w:p>
            <w:pPr>
              <w:spacing w:after="0"/>
              <w:rPr>
                <w:sz w:val="11"/>
                <w:szCs w:val="11"/>
                <w:color w:val="auto"/>
              </w:rPr>
            </w:pPr>
          </w:p>
        </w:tc>
        <w:tc>
          <w:tcPr>
            <w:tcW w:w="400" w:type="dxa"/>
            <w:vAlign w:val="bottom"/>
            <w:gridSpan w:val="2"/>
            <w:vMerge w:val="restart"/>
            <w:shd w:val="clear" w:color="auto" w:fill="F2F2F2"/>
          </w:tcPr>
          <w:p>
            <w:pPr>
              <w:ind w:left="60"/>
              <w:spacing w:after="0" w:line="169" w:lineRule="exact"/>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55"/>
        </w:trPr>
        <w:tc>
          <w:tcPr>
            <w:tcW w:w="500" w:type="dxa"/>
            <w:vAlign w:val="bottom"/>
          </w:tcPr>
          <w:p>
            <w:pPr>
              <w:spacing w:after="0"/>
              <w:rPr>
                <w:sz w:val="4"/>
                <w:szCs w:val="4"/>
                <w:color w:val="auto"/>
              </w:rPr>
            </w:pPr>
          </w:p>
        </w:tc>
        <w:tc>
          <w:tcPr>
            <w:tcW w:w="4240" w:type="dxa"/>
            <w:vAlign w:val="bottom"/>
            <w:gridSpan w:val="24"/>
            <w:vMerge w:val="continue"/>
          </w:tcPr>
          <w:p>
            <w:pPr>
              <w:spacing w:after="0"/>
              <w:rPr>
                <w:sz w:val="4"/>
                <w:szCs w:val="4"/>
                <w:color w:val="auto"/>
              </w:rPr>
            </w:pPr>
          </w:p>
        </w:tc>
        <w:tc>
          <w:tcPr>
            <w:tcW w:w="120" w:type="dxa"/>
            <w:vAlign w:val="bottom"/>
            <w:tcBorders>
              <w:right w:val="single" w:sz="8" w:color="F2F2F2"/>
            </w:tcBorders>
            <w:shd w:val="clear" w:color="auto" w:fill="F2F2F2"/>
          </w:tcPr>
          <w:p>
            <w:pPr>
              <w:spacing w:after="0"/>
              <w:rPr>
                <w:sz w:val="4"/>
                <w:szCs w:val="4"/>
                <w:color w:val="auto"/>
              </w:rPr>
            </w:pPr>
          </w:p>
        </w:tc>
        <w:tc>
          <w:tcPr>
            <w:tcW w:w="400" w:type="dxa"/>
            <w:vAlign w:val="bottom"/>
            <w:gridSpan w:val="2"/>
            <w:vMerge w:val="continue"/>
            <w:shd w:val="clear" w:color="auto" w:fill="F2F2F2"/>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920" w:type="dxa"/>
            <w:vAlign w:val="bottom"/>
            <w:gridSpan w:val="10"/>
          </w:tcPr>
          <w:p>
            <w:pPr>
              <w:spacing w:after="0" w:line="20" w:lineRule="exact"/>
              <w:rPr>
                <w:sz w:val="1"/>
                <w:szCs w:val="1"/>
                <w:color w:val="auto"/>
              </w:rPr>
            </w:pPr>
          </w:p>
        </w:tc>
        <w:tc>
          <w:tcPr>
            <w:tcW w:w="120" w:type="dxa"/>
            <w:vAlign w:val="bottom"/>
            <w:tcBorders>
              <w:right w:val="single" w:sz="8" w:color="F2F2F2"/>
            </w:tcBorders>
            <w:shd w:val="clear" w:color="auto" w:fill="F2F2F2"/>
          </w:tcPr>
          <w:p>
            <w:pPr>
              <w:spacing w:after="0" w:line="20" w:lineRule="exact"/>
              <w:rPr>
                <w:sz w:val="1"/>
                <w:szCs w:val="1"/>
                <w:color w:val="auto"/>
              </w:rPr>
            </w:pPr>
          </w:p>
        </w:tc>
        <w:tc>
          <w:tcPr>
            <w:tcW w:w="400" w:type="dxa"/>
            <w:vAlign w:val="bottom"/>
            <w:gridSpan w:val="2"/>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0"/>
                <w:szCs w:val="20"/>
                <w:color w:val="auto"/>
              </w:rPr>
            </w:pPr>
            <w:r>
              <w:rPr>
                <w:rFonts w:ascii="Arial" w:cs="Arial" w:eastAsia="Arial" w:hAnsi="Arial"/>
                <w:sz w:val="18"/>
                <w:szCs w:val="18"/>
                <w:b w:val="1"/>
                <w:bCs w:val="1"/>
                <w:color w:val="355BAA"/>
              </w:rPr>
              <w:t>13</w:t>
            </w:r>
          </w:p>
        </w:tc>
        <w:tc>
          <w:tcPr>
            <w:tcW w:w="4240" w:type="dxa"/>
            <w:vAlign w:val="bottom"/>
            <w:gridSpan w:val="24"/>
          </w:tcPr>
          <w:p>
            <w:pPr>
              <w:spacing w:after="0"/>
              <w:rPr>
                <w:sz w:val="20"/>
                <w:szCs w:val="20"/>
                <w:color w:val="auto"/>
              </w:rPr>
            </w:pPr>
            <w:r>
              <w:rPr>
                <w:rFonts w:ascii="Arial" w:cs="Arial" w:eastAsia="Arial" w:hAnsi="Arial"/>
                <w:sz w:val="18"/>
                <w:szCs w:val="18"/>
                <w:b w:val="1"/>
                <w:bCs w:val="1"/>
                <w:color w:val="0000EE"/>
              </w:rPr>
              <w:t>Equity Compensation Plan Information</w:t>
            </w:r>
          </w:p>
        </w:tc>
        <w:tc>
          <w:tcPr>
            <w:tcW w:w="120" w:type="dxa"/>
            <w:vAlign w:val="bottom"/>
            <w:tcBorders>
              <w:right w:val="single" w:sz="8" w:color="F2F2F2"/>
            </w:tcBorders>
            <w:shd w:val="clear" w:color="auto" w:fill="F2F2F2"/>
          </w:tcPr>
          <w:p>
            <w:pPr>
              <w:spacing w:after="0"/>
              <w:rPr>
                <w:sz w:val="24"/>
                <w:szCs w:val="24"/>
                <w:color w:val="auto"/>
              </w:rPr>
            </w:pPr>
          </w:p>
        </w:tc>
        <w:tc>
          <w:tcPr>
            <w:tcW w:w="400" w:type="dxa"/>
            <w:vAlign w:val="bottom"/>
            <w:gridSpan w:val="2"/>
            <w:shd w:val="clear" w:color="auto" w:fill="F2F2F2"/>
          </w:tcPr>
          <w:p>
            <w:pPr>
              <w:ind w:left="60"/>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466"/>
        </w:trPr>
        <w:tc>
          <w:tcPr>
            <w:tcW w:w="500" w:type="dxa"/>
            <w:vAlign w:val="bottom"/>
          </w:tcPr>
          <w:p>
            <w:pPr>
              <w:spacing w:after="0"/>
              <w:rPr>
                <w:sz w:val="20"/>
                <w:szCs w:val="20"/>
                <w:color w:val="auto"/>
              </w:rPr>
            </w:pPr>
            <w:r>
              <w:rPr>
                <w:rFonts w:ascii="Arial" w:cs="Arial" w:eastAsia="Arial" w:hAnsi="Arial"/>
                <w:sz w:val="18"/>
                <w:szCs w:val="18"/>
                <w:b w:val="1"/>
                <w:bCs w:val="1"/>
                <w:color w:val="355BAA"/>
              </w:rPr>
              <w:t>14</w:t>
            </w:r>
          </w:p>
        </w:tc>
        <w:tc>
          <w:tcPr>
            <w:tcW w:w="3320" w:type="dxa"/>
            <w:vAlign w:val="bottom"/>
            <w:tcBorders>
              <w:top w:val="single" w:sz="8" w:color="0000EE"/>
            </w:tcBorders>
            <w:gridSpan w:val="14"/>
          </w:tcPr>
          <w:p>
            <w:pPr>
              <w:spacing w:after="0"/>
              <w:rPr>
                <w:sz w:val="20"/>
                <w:szCs w:val="20"/>
                <w:color w:val="auto"/>
              </w:rPr>
            </w:pPr>
            <w:r>
              <w:rPr>
                <w:rFonts w:ascii="Arial" w:cs="Arial" w:eastAsia="Arial" w:hAnsi="Arial"/>
                <w:sz w:val="18"/>
                <w:szCs w:val="18"/>
                <w:b w:val="1"/>
                <w:bCs w:val="1"/>
                <w:color w:val="0000EE"/>
              </w:rPr>
              <w:t>CEO Pay Ratio</w:t>
            </w:r>
          </w:p>
        </w:tc>
        <w:tc>
          <w:tcPr>
            <w:tcW w:w="920" w:type="dxa"/>
            <w:vAlign w:val="bottom"/>
            <w:gridSpan w:val="10"/>
          </w:tcPr>
          <w:p>
            <w:pPr>
              <w:spacing w:after="0"/>
              <w:rPr>
                <w:sz w:val="24"/>
                <w:szCs w:val="24"/>
                <w:color w:val="auto"/>
              </w:rPr>
            </w:pPr>
          </w:p>
        </w:tc>
        <w:tc>
          <w:tcPr>
            <w:tcW w:w="120" w:type="dxa"/>
            <w:vAlign w:val="bottom"/>
            <w:tcBorders>
              <w:top w:val="single" w:sz="8" w:color="F2F2F2"/>
              <w:right w:val="single" w:sz="8" w:color="F2F2F2"/>
            </w:tcBorders>
            <w:shd w:val="clear" w:color="auto" w:fill="F2F2F2"/>
          </w:tcPr>
          <w:p>
            <w:pPr>
              <w:spacing w:after="0"/>
              <w:rPr>
                <w:sz w:val="24"/>
                <w:szCs w:val="24"/>
                <w:color w:val="auto"/>
              </w:rPr>
            </w:pPr>
          </w:p>
        </w:tc>
        <w:tc>
          <w:tcPr>
            <w:tcW w:w="400" w:type="dxa"/>
            <w:vAlign w:val="bottom"/>
            <w:tcBorders>
              <w:top w:val="single" w:sz="8" w:color="F2F2F2"/>
            </w:tcBorders>
            <w:gridSpan w:val="2"/>
            <w:shd w:val="clear" w:color="auto" w:fill="F2F2F2"/>
          </w:tcPr>
          <w:p>
            <w:pPr>
              <w:ind w:left="60"/>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F2F2F2"/>
              <w:right w:val="single" w:sz="8" w:color="F2F2F2"/>
            </w:tcBorders>
            <w:shd w:val="clear" w:color="auto" w:fill="F2F2F2"/>
          </w:tcPr>
          <w:p>
            <w:pPr>
              <w:spacing w:after="0"/>
              <w:rPr>
                <w:sz w:val="13"/>
                <w:szCs w:val="13"/>
                <w:color w:val="auto"/>
              </w:rPr>
            </w:pPr>
          </w:p>
        </w:tc>
        <w:tc>
          <w:tcPr>
            <w:tcW w:w="320" w:type="dxa"/>
            <w:vAlign w:val="bottom"/>
            <w:tcBorders>
              <w:top w:val="single" w:sz="8" w:color="F2F2F2"/>
            </w:tcBorders>
            <w:shd w:val="clear" w:color="auto" w:fill="F2F2F2"/>
          </w:tcPr>
          <w:p>
            <w:pPr>
              <w:spacing w:after="0"/>
              <w:rPr>
                <w:sz w:val="13"/>
                <w:szCs w:val="13"/>
                <w:color w:val="auto"/>
              </w:rPr>
            </w:pPr>
          </w:p>
        </w:tc>
        <w:tc>
          <w:tcPr>
            <w:tcW w:w="80" w:type="dxa"/>
            <w:vAlign w:val="bottom"/>
            <w:tcBorders>
              <w:top w:val="single" w:sz="8" w:color="F2F2F2"/>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00" w:type="dxa"/>
            <w:vAlign w:val="bottom"/>
          </w:tcPr>
          <w:p>
            <w:pPr>
              <w:spacing w:after="0"/>
              <w:rPr>
                <w:sz w:val="20"/>
                <w:szCs w:val="20"/>
                <w:color w:val="auto"/>
              </w:rPr>
            </w:pPr>
            <w:r>
              <w:rPr>
                <w:rFonts w:ascii="Arial" w:cs="Arial" w:eastAsia="Arial" w:hAnsi="Arial"/>
                <w:sz w:val="18"/>
                <w:szCs w:val="18"/>
                <w:b w:val="1"/>
                <w:bCs w:val="1"/>
                <w:color w:val="355BAA"/>
              </w:rPr>
              <w:t>15</w:t>
            </w:r>
          </w:p>
        </w:tc>
        <w:tc>
          <w:tcPr>
            <w:tcW w:w="4360" w:type="dxa"/>
            <w:vAlign w:val="bottom"/>
            <w:tcBorders>
              <w:right w:val="single" w:sz="8" w:color="F2F2F2"/>
            </w:tcBorders>
            <w:gridSpan w:val="25"/>
          </w:tcPr>
          <w:p>
            <w:pPr>
              <w:spacing w:after="0"/>
              <w:rPr>
                <w:sz w:val="20"/>
                <w:szCs w:val="20"/>
                <w:color w:val="auto"/>
              </w:rPr>
            </w:pPr>
            <w:r>
              <w:rPr>
                <w:rFonts w:ascii="Arial" w:cs="Arial" w:eastAsia="Arial" w:hAnsi="Arial"/>
                <w:sz w:val="18"/>
                <w:szCs w:val="18"/>
                <w:b w:val="1"/>
                <w:bCs w:val="1"/>
                <w:color w:val="0000EE"/>
              </w:rPr>
              <w:t>Pay Versus Performance</w:t>
            </w:r>
          </w:p>
        </w:tc>
        <w:tc>
          <w:tcPr>
            <w:tcW w:w="320" w:type="dxa"/>
            <w:vAlign w:val="bottom"/>
            <w:shd w:val="clear" w:color="auto" w:fill="F2F2F2"/>
          </w:tcPr>
          <w:p>
            <w:pPr>
              <w:spacing w:after="0"/>
              <w:rPr>
                <w:sz w:val="20"/>
                <w:szCs w:val="20"/>
                <w:color w:val="auto"/>
              </w:rPr>
            </w:pPr>
            <w:r>
              <w:rPr>
                <w:rFonts w:ascii="Arial" w:cs="Arial" w:eastAsia="Arial" w:hAnsi="Arial"/>
                <w:sz w:val="18"/>
                <w:szCs w:val="18"/>
                <w:color w:val="auto"/>
              </w:rPr>
              <w:t>  78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right w:val="single" w:sz="8" w:color="F2F2F2"/>
            </w:tcBorders>
          </w:tcPr>
          <w:p>
            <w:pPr>
              <w:spacing w:after="0"/>
              <w:rPr>
                <w:sz w:val="13"/>
                <w:szCs w:val="13"/>
                <w:color w:val="auto"/>
              </w:rPr>
            </w:pPr>
          </w:p>
        </w:tc>
        <w:tc>
          <w:tcPr>
            <w:tcW w:w="320" w:type="dxa"/>
            <w:vAlign w:val="bottom"/>
            <w:tcBorders>
              <w:top w:val="single" w:sz="8" w:color="F2F2F2"/>
            </w:tcBorders>
            <w:shd w:val="clear" w:color="auto" w:fill="F2F2F2"/>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-6141085</wp:posOffset>
            </wp:positionV>
            <wp:extent cx="3432810" cy="4457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32810" cy="445770"/>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-5408930</wp:posOffset>
            </wp:positionV>
            <wp:extent cx="300037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-4902835</wp:posOffset>
            </wp:positionV>
            <wp:extent cx="300037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-4594225</wp:posOffset>
            </wp:positionV>
            <wp:extent cx="30003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-4285615</wp:posOffset>
            </wp:positionV>
            <wp:extent cx="30003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-3780155</wp:posOffset>
            </wp:positionV>
            <wp:extent cx="300037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-3471545</wp:posOffset>
            </wp:positionV>
            <wp:extent cx="300037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000375" cy="8890"/>
                    </a:xfrm>
                    <a:prstGeom prst="rect">
                      <a:avLst/>
                    </a:prstGeom>
                    <a:noFill/>
                  </pic:spPr>
                </pic:pic>
              </a:graphicData>
            </a:graphic>
          </wp:anchor>
        </w:drawing>
        <w:drawing>
          <wp:anchor simplePos="0" relativeHeight="251657728" behindDoc="1" locked="0" layoutInCell="0" allowOverlap="1">
            <wp:simplePos x="0" y="0"/>
            <wp:positionH relativeFrom="column">
              <wp:posOffset>171450</wp:posOffset>
            </wp:positionH>
            <wp:positionV relativeFrom="paragraph">
              <wp:posOffset>-3162935</wp:posOffset>
            </wp:positionV>
            <wp:extent cx="27432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743200" cy="8890"/>
                    </a:xfrm>
                    <a:prstGeom prst="rect">
                      <a:avLst/>
                    </a:prstGeom>
                    <a:noFill/>
                  </pic:spPr>
                </pic:pic>
              </a:graphicData>
            </a:graphic>
          </wp:anchor>
        </w:drawing>
        <w:drawing>
          <wp:anchor simplePos="0" relativeHeight="251657728" behindDoc="1" locked="0" layoutInCell="0" allowOverlap="1">
            <wp:simplePos x="0" y="0"/>
            <wp:positionH relativeFrom="column">
              <wp:posOffset>171450</wp:posOffset>
            </wp:positionH>
            <wp:positionV relativeFrom="paragraph">
              <wp:posOffset>-2854325</wp:posOffset>
            </wp:positionV>
            <wp:extent cx="27432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743200" cy="8255"/>
                    </a:xfrm>
                    <a:prstGeom prst="rect">
                      <a:avLst/>
                    </a:prstGeom>
                    <a:noFill/>
                  </pic:spPr>
                </pic:pic>
              </a:graphicData>
            </a:graphic>
          </wp:anchor>
        </w:drawing>
        <w:drawing>
          <wp:anchor simplePos="0" relativeHeight="251657728" behindDoc="1" locked="0" layoutInCell="0" allowOverlap="1">
            <wp:simplePos x="0" y="0"/>
            <wp:positionH relativeFrom="column">
              <wp:posOffset>171450</wp:posOffset>
            </wp:positionH>
            <wp:positionV relativeFrom="paragraph">
              <wp:posOffset>-2545715</wp:posOffset>
            </wp:positionV>
            <wp:extent cx="27432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743200" cy="8890"/>
                    </a:xfrm>
                    <a:prstGeom prst="rect">
                      <a:avLst/>
                    </a:prstGeom>
                    <a:noFill/>
                  </pic:spPr>
                </pic:pic>
              </a:graphicData>
            </a:graphic>
          </wp:anchor>
        </w:drawing>
        <w:drawing>
          <wp:anchor simplePos="0" relativeHeight="251657728" behindDoc="1" locked="0" layoutInCell="0" allowOverlap="1">
            <wp:simplePos x="0" y="0"/>
            <wp:positionH relativeFrom="column">
              <wp:posOffset>171450</wp:posOffset>
            </wp:positionH>
            <wp:positionV relativeFrom="paragraph">
              <wp:posOffset>-2108200</wp:posOffset>
            </wp:positionV>
            <wp:extent cx="27432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743200" cy="8255"/>
                    </a:xfrm>
                    <a:prstGeom prst="rect">
                      <a:avLst/>
                    </a:prstGeom>
                    <a:noFill/>
                  </pic:spPr>
                </pic:pic>
              </a:graphicData>
            </a:graphic>
          </wp:anchor>
        </w:drawing>
        <w:drawing>
          <wp:anchor simplePos="0" relativeHeight="251657728" behindDoc="1" locked="0" layoutInCell="0" allowOverlap="1">
            <wp:simplePos x="0" y="0"/>
            <wp:positionH relativeFrom="column">
              <wp:posOffset>171450</wp:posOffset>
            </wp:positionH>
            <wp:positionV relativeFrom="paragraph">
              <wp:posOffset>-1799590</wp:posOffset>
            </wp:positionV>
            <wp:extent cx="27432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743200" cy="8255"/>
                    </a:xfrm>
                    <a:prstGeom prst="rect">
                      <a:avLst/>
                    </a:prstGeom>
                    <a:noFill/>
                  </pic:spPr>
                </pic:pic>
              </a:graphicData>
            </a:graphic>
          </wp:anchor>
        </w:drawing>
        <w:drawing>
          <wp:anchor simplePos="0" relativeHeight="251657728" behindDoc="1" locked="0" layoutInCell="0" allowOverlap="1">
            <wp:simplePos x="0" y="0"/>
            <wp:positionH relativeFrom="column">
              <wp:posOffset>171450</wp:posOffset>
            </wp:positionH>
            <wp:positionV relativeFrom="paragraph">
              <wp:posOffset>-1362710</wp:posOffset>
            </wp:positionV>
            <wp:extent cx="27432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743200" cy="8890"/>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-925195</wp:posOffset>
            </wp:positionV>
            <wp:extent cx="30003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-616585</wp:posOffset>
            </wp:positionV>
            <wp:extent cx="300037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000375" cy="8890"/>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-312420</wp:posOffset>
            </wp:positionV>
            <wp:extent cx="3432810" cy="3257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32810" cy="325755"/>
                    </a:xfrm>
                    <a:prstGeom prst="rect">
                      <a:avLst/>
                    </a:prstGeom>
                    <a:noFill/>
                  </pic:spPr>
                </pic:pic>
              </a:graphicData>
            </a:graphic>
          </wp:anchor>
        </w:drawing>
      </w:r>
    </w:p>
    <w:p>
      <w:pPr>
        <w:spacing w:after="0" w:line="618" w:lineRule="exact"/>
        <w:rPr>
          <w:sz w:val="20"/>
          <w:szCs w:val="20"/>
          <w:color w:val="auto"/>
        </w:rPr>
      </w:pPr>
    </w:p>
    <w:p>
      <w:pPr>
        <w:sectPr>
          <w:pgSz w:w="11900" w:h="16838" w:orient="portrait"/>
          <w:cols w:equalWidth="0" w:num="2">
            <w:col w:w="5400" w:space="480"/>
            <w:col w:w="5260"/>
          </w:cols>
          <w:pgMar w:left="320" w:top="482" w:right="439" w:bottom="1440" w:gutter="0" w:footer="0" w:header="0"/>
          <w:type w:val="continuous"/>
        </w:sectPr>
      </w:pPr>
    </w:p>
    <w:p>
      <w:pPr>
        <w:spacing w:after="0" w:line="65"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36</w:t>
      </w:r>
    </w:p>
    <w:p>
      <w:pPr>
        <w:sectPr>
          <w:pgSz w:w="11900" w:h="16838" w:orient="portrait"/>
          <w:cols w:equalWidth="0" w:num="1">
            <w:col w:w="11140"/>
          </w:cols>
          <w:pgMar w:left="320" w:top="482" w:right="4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Compensation Discussion and Analysis</w:t>
      </w:r>
    </w:p>
    <w:p>
      <w:pPr>
        <w:spacing w:after="0" w:line="231"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This section describes our executive compensation philosophy, and the process by which our Leadership Development and Compensation Committee (“LDCC”) makes executive compensation and pay decisions for our named executive officers.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Fiscal 2025 Named Executive Officers</w:t>
      </w:r>
    </w:p>
    <w:p>
      <w:pPr>
        <w:spacing w:after="0" w:line="379"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140" w:type="dxa"/>
            <w:vAlign w:val="bottom"/>
            <w:tcBorders>
              <w:right w:val="single" w:sz="8" w:color="F2F2F2"/>
            </w:tcBorders>
            <w:shd w:val="clear" w:color="auto" w:fill="F2F2F2"/>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1760" w:type="dxa"/>
            <w:vAlign w:val="bottom"/>
            <w:gridSpan w:val="2"/>
            <w:vMerge w:val="restart"/>
            <w:shd w:val="clear" w:color="auto" w:fill="F2F2F2"/>
          </w:tcPr>
          <w:p>
            <w:pPr>
              <w:spacing w:after="0"/>
              <w:rPr>
                <w:sz w:val="20"/>
                <w:szCs w:val="20"/>
                <w:color w:val="auto"/>
              </w:rPr>
            </w:pPr>
            <w:r>
              <w:rPr>
                <w:rFonts w:ascii="Arial" w:cs="Arial" w:eastAsia="Arial" w:hAnsi="Arial"/>
                <w:sz w:val="18"/>
                <w:szCs w:val="18"/>
                <w:color w:val="376DB5"/>
              </w:rPr>
              <w:t>William Lansing</w:t>
            </w:r>
          </w:p>
        </w:tc>
        <w:tc>
          <w:tcPr>
            <w:tcW w:w="120" w:type="dxa"/>
            <w:vAlign w:val="bottom"/>
            <w:tcBorders>
              <w:left w:val="single" w:sz="8" w:color="F2F2F2"/>
            </w:tcBorders>
            <w:shd w:val="clear" w:color="auto" w:fill="F2F2F2"/>
          </w:tcPr>
          <w:p>
            <w:pPr>
              <w:spacing w:after="0"/>
              <w:rPr>
                <w:sz w:val="17"/>
                <w:szCs w:val="17"/>
                <w:color w:val="auto"/>
              </w:rPr>
            </w:pPr>
          </w:p>
        </w:tc>
        <w:tc>
          <w:tcPr>
            <w:tcW w:w="1660" w:type="dxa"/>
            <w:vAlign w:val="bottom"/>
            <w:vMerge w:val="restart"/>
            <w:shd w:val="clear" w:color="auto" w:fill="F2F2F2"/>
          </w:tcPr>
          <w:p>
            <w:pPr>
              <w:spacing w:after="0"/>
              <w:rPr>
                <w:sz w:val="20"/>
                <w:szCs w:val="20"/>
                <w:color w:val="auto"/>
              </w:rPr>
            </w:pPr>
            <w:r>
              <w:rPr>
                <w:rFonts w:ascii="Arial" w:cs="Arial" w:eastAsia="Arial" w:hAnsi="Arial"/>
                <w:sz w:val="18"/>
                <w:szCs w:val="18"/>
                <w:color w:val="376DB5"/>
              </w:rPr>
              <w:t>Steven Weber</w:t>
            </w:r>
          </w:p>
        </w:tc>
        <w:tc>
          <w:tcPr>
            <w:tcW w:w="20" w:type="dxa"/>
            <w:vAlign w:val="bottom"/>
            <w:shd w:val="clear" w:color="auto" w:fill="F2F2F2"/>
          </w:tcPr>
          <w:p>
            <w:pPr>
              <w:spacing w:after="0"/>
              <w:rPr>
                <w:sz w:val="17"/>
                <w:szCs w:val="17"/>
                <w:color w:val="auto"/>
              </w:rPr>
            </w:pPr>
          </w:p>
        </w:tc>
        <w:tc>
          <w:tcPr>
            <w:tcW w:w="1740" w:type="dxa"/>
            <w:vAlign w:val="bottom"/>
            <w:vMerge w:val="restart"/>
            <w:shd w:val="clear" w:color="auto" w:fill="F2F2F2"/>
          </w:tcPr>
          <w:p>
            <w:pPr>
              <w:ind w:left="80"/>
              <w:spacing w:after="0"/>
              <w:rPr>
                <w:sz w:val="20"/>
                <w:szCs w:val="20"/>
                <w:color w:val="auto"/>
              </w:rPr>
            </w:pPr>
            <w:r>
              <w:rPr>
                <w:rFonts w:ascii="Arial" w:cs="Arial" w:eastAsia="Arial" w:hAnsi="Arial"/>
                <w:sz w:val="18"/>
                <w:szCs w:val="18"/>
                <w:color w:val="376DB5"/>
              </w:rPr>
              <w:t>Nikhil Behl</w:t>
            </w:r>
          </w:p>
        </w:tc>
        <w:tc>
          <w:tcPr>
            <w:tcW w:w="20" w:type="dxa"/>
            <w:vAlign w:val="bottom"/>
            <w:shd w:val="clear" w:color="auto" w:fill="F2F2F2"/>
          </w:tcPr>
          <w:p>
            <w:pPr>
              <w:spacing w:after="0"/>
              <w:rPr>
                <w:sz w:val="17"/>
                <w:szCs w:val="17"/>
                <w:color w:val="auto"/>
              </w:rPr>
            </w:pPr>
          </w:p>
        </w:tc>
        <w:tc>
          <w:tcPr>
            <w:tcW w:w="1720" w:type="dxa"/>
            <w:vAlign w:val="bottom"/>
            <w:vMerge w:val="restart"/>
            <w:shd w:val="clear" w:color="auto" w:fill="F2F2F2"/>
          </w:tcPr>
          <w:p>
            <w:pPr>
              <w:ind w:left="80"/>
              <w:spacing w:after="0"/>
              <w:rPr>
                <w:sz w:val="20"/>
                <w:szCs w:val="20"/>
                <w:color w:val="auto"/>
              </w:rPr>
            </w:pPr>
            <w:r>
              <w:rPr>
                <w:rFonts w:ascii="Arial" w:cs="Arial" w:eastAsia="Arial" w:hAnsi="Arial"/>
                <w:sz w:val="18"/>
                <w:szCs w:val="18"/>
                <w:color w:val="376DB5"/>
              </w:rPr>
              <w:t>Richard Deal</w:t>
            </w:r>
          </w:p>
        </w:tc>
        <w:tc>
          <w:tcPr>
            <w:tcW w:w="20" w:type="dxa"/>
            <w:vAlign w:val="bottom"/>
            <w:shd w:val="clear" w:color="auto" w:fill="F2F2F2"/>
          </w:tcPr>
          <w:p>
            <w:pPr>
              <w:spacing w:after="0"/>
              <w:rPr>
                <w:sz w:val="17"/>
                <w:szCs w:val="17"/>
                <w:color w:val="auto"/>
              </w:rPr>
            </w:pPr>
          </w:p>
        </w:tc>
        <w:tc>
          <w:tcPr>
            <w:tcW w:w="1740" w:type="dxa"/>
            <w:vAlign w:val="bottom"/>
            <w:vMerge w:val="restart"/>
            <w:shd w:val="clear" w:color="auto" w:fill="F2F2F2"/>
          </w:tcPr>
          <w:p>
            <w:pPr>
              <w:ind w:left="100"/>
              <w:spacing w:after="0"/>
              <w:rPr>
                <w:sz w:val="20"/>
                <w:szCs w:val="20"/>
                <w:color w:val="auto"/>
              </w:rPr>
            </w:pPr>
            <w:r>
              <w:rPr>
                <w:rFonts w:ascii="Arial" w:cs="Arial" w:eastAsia="Arial" w:hAnsi="Arial"/>
                <w:sz w:val="18"/>
                <w:szCs w:val="18"/>
                <w:color w:val="376DB5"/>
              </w:rPr>
              <w:t>Mark Scadina</w:t>
            </w:r>
          </w:p>
        </w:tc>
        <w:tc>
          <w:tcPr>
            <w:tcW w:w="20" w:type="dxa"/>
            <w:vAlign w:val="bottom"/>
            <w:shd w:val="clear" w:color="auto" w:fill="F2F2F2"/>
          </w:tcPr>
          <w:p>
            <w:pPr>
              <w:spacing w:after="0"/>
              <w:rPr>
                <w:sz w:val="17"/>
                <w:szCs w:val="17"/>
                <w:color w:val="auto"/>
              </w:rPr>
            </w:pPr>
          </w:p>
        </w:tc>
        <w:tc>
          <w:tcPr>
            <w:tcW w:w="1960" w:type="dxa"/>
            <w:vAlign w:val="bottom"/>
            <w:vMerge w:val="restart"/>
            <w:shd w:val="clear" w:color="auto" w:fill="F2F2F2"/>
          </w:tcPr>
          <w:p>
            <w:pPr>
              <w:ind w:left="80"/>
              <w:spacing w:after="0"/>
              <w:rPr>
                <w:sz w:val="20"/>
                <w:szCs w:val="20"/>
                <w:color w:val="auto"/>
              </w:rPr>
            </w:pPr>
            <w:r>
              <w:rPr>
                <w:rFonts w:ascii="Arial" w:cs="Arial" w:eastAsia="Arial" w:hAnsi="Arial"/>
                <w:sz w:val="18"/>
                <w:szCs w:val="18"/>
                <w:color w:val="376DB5"/>
              </w:rPr>
              <w:t>James Wehmann*</w:t>
            </w:r>
          </w:p>
        </w:tc>
        <w:tc>
          <w:tcPr>
            <w:tcW w:w="0" w:type="dxa"/>
            <w:vAlign w:val="bottom"/>
          </w:tcPr>
          <w:p>
            <w:pPr>
              <w:spacing w:after="0"/>
              <w:rPr>
                <w:sz w:val="1"/>
                <w:szCs w:val="1"/>
                <w:color w:val="auto"/>
              </w:rPr>
            </w:pPr>
          </w:p>
        </w:tc>
      </w:tr>
      <w:tr>
        <w:trPr>
          <w:trHeight w:val="203"/>
        </w:trPr>
        <w:tc>
          <w:tcPr>
            <w:tcW w:w="140" w:type="dxa"/>
            <w:vAlign w:val="bottom"/>
            <w:tcBorders>
              <w:right w:val="single" w:sz="8" w:color="376DB5"/>
            </w:tcBorders>
            <w:shd w:val="clear" w:color="auto" w:fill="F2F2F2"/>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1760" w:type="dxa"/>
            <w:vAlign w:val="bottom"/>
            <w:gridSpan w:val="2"/>
            <w:vMerge w:val="continue"/>
            <w:shd w:val="clear" w:color="auto" w:fill="F2F2F2"/>
          </w:tcPr>
          <w:p>
            <w:pPr>
              <w:spacing w:after="0"/>
              <w:rPr>
                <w:sz w:val="17"/>
                <w:szCs w:val="17"/>
                <w:color w:val="auto"/>
              </w:rPr>
            </w:pPr>
          </w:p>
        </w:tc>
        <w:tc>
          <w:tcPr>
            <w:tcW w:w="120" w:type="dxa"/>
            <w:vAlign w:val="bottom"/>
            <w:tcBorders>
              <w:left w:val="single" w:sz="8" w:color="376DB5"/>
            </w:tcBorders>
            <w:shd w:val="clear" w:color="auto" w:fill="F2F2F2"/>
          </w:tcPr>
          <w:p>
            <w:pPr>
              <w:spacing w:after="0"/>
              <w:rPr>
                <w:sz w:val="17"/>
                <w:szCs w:val="17"/>
                <w:color w:val="auto"/>
              </w:rPr>
            </w:pPr>
          </w:p>
        </w:tc>
        <w:tc>
          <w:tcPr>
            <w:tcW w:w="1660" w:type="dxa"/>
            <w:vAlign w:val="bottom"/>
            <w:vMerge w:val="continue"/>
            <w:shd w:val="clear" w:color="auto" w:fill="F2F2F2"/>
          </w:tcPr>
          <w:p>
            <w:pPr>
              <w:spacing w:after="0"/>
              <w:rPr>
                <w:sz w:val="17"/>
                <w:szCs w:val="17"/>
                <w:color w:val="auto"/>
              </w:rPr>
            </w:pPr>
          </w:p>
        </w:tc>
        <w:tc>
          <w:tcPr>
            <w:tcW w:w="20" w:type="dxa"/>
            <w:vAlign w:val="bottom"/>
            <w:shd w:val="clear" w:color="auto" w:fill="376DB5"/>
          </w:tcPr>
          <w:p>
            <w:pPr>
              <w:spacing w:after="0"/>
              <w:rPr>
                <w:sz w:val="17"/>
                <w:szCs w:val="17"/>
                <w:color w:val="auto"/>
              </w:rPr>
            </w:pPr>
          </w:p>
        </w:tc>
        <w:tc>
          <w:tcPr>
            <w:tcW w:w="1740" w:type="dxa"/>
            <w:vAlign w:val="bottom"/>
            <w:vMerge w:val="continue"/>
            <w:shd w:val="clear" w:color="auto" w:fill="F2F2F2"/>
          </w:tcPr>
          <w:p>
            <w:pPr>
              <w:spacing w:after="0"/>
              <w:rPr>
                <w:sz w:val="17"/>
                <w:szCs w:val="17"/>
                <w:color w:val="auto"/>
              </w:rPr>
            </w:pPr>
          </w:p>
        </w:tc>
        <w:tc>
          <w:tcPr>
            <w:tcW w:w="20" w:type="dxa"/>
            <w:vAlign w:val="bottom"/>
            <w:shd w:val="clear" w:color="auto" w:fill="376DB5"/>
          </w:tcPr>
          <w:p>
            <w:pPr>
              <w:spacing w:after="0"/>
              <w:rPr>
                <w:sz w:val="17"/>
                <w:szCs w:val="17"/>
                <w:color w:val="auto"/>
              </w:rPr>
            </w:pPr>
          </w:p>
        </w:tc>
        <w:tc>
          <w:tcPr>
            <w:tcW w:w="1720" w:type="dxa"/>
            <w:vAlign w:val="bottom"/>
            <w:vMerge w:val="continue"/>
            <w:shd w:val="clear" w:color="auto" w:fill="F2F2F2"/>
          </w:tcPr>
          <w:p>
            <w:pPr>
              <w:spacing w:after="0"/>
              <w:rPr>
                <w:sz w:val="17"/>
                <w:szCs w:val="17"/>
                <w:color w:val="auto"/>
              </w:rPr>
            </w:pPr>
          </w:p>
        </w:tc>
        <w:tc>
          <w:tcPr>
            <w:tcW w:w="20" w:type="dxa"/>
            <w:vAlign w:val="bottom"/>
            <w:shd w:val="clear" w:color="auto" w:fill="376DB5"/>
          </w:tcPr>
          <w:p>
            <w:pPr>
              <w:spacing w:after="0"/>
              <w:rPr>
                <w:sz w:val="17"/>
                <w:szCs w:val="17"/>
                <w:color w:val="auto"/>
              </w:rPr>
            </w:pPr>
          </w:p>
        </w:tc>
        <w:tc>
          <w:tcPr>
            <w:tcW w:w="1740" w:type="dxa"/>
            <w:vAlign w:val="bottom"/>
            <w:vMerge w:val="continue"/>
            <w:shd w:val="clear" w:color="auto" w:fill="F2F2F2"/>
          </w:tcPr>
          <w:p>
            <w:pPr>
              <w:spacing w:after="0"/>
              <w:rPr>
                <w:sz w:val="17"/>
                <w:szCs w:val="17"/>
                <w:color w:val="auto"/>
              </w:rPr>
            </w:pPr>
          </w:p>
        </w:tc>
        <w:tc>
          <w:tcPr>
            <w:tcW w:w="20" w:type="dxa"/>
            <w:vAlign w:val="bottom"/>
            <w:shd w:val="clear" w:color="auto" w:fill="376DB5"/>
          </w:tcPr>
          <w:p>
            <w:pPr>
              <w:spacing w:after="0"/>
              <w:rPr>
                <w:sz w:val="17"/>
                <w:szCs w:val="17"/>
                <w:color w:val="auto"/>
              </w:rPr>
            </w:pPr>
          </w:p>
        </w:tc>
        <w:tc>
          <w:tcPr>
            <w:tcW w:w="1960" w:type="dxa"/>
            <w:vAlign w:val="bottom"/>
            <w:vMerge w:val="continue"/>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140" w:type="dxa"/>
            <w:vAlign w:val="bottom"/>
            <w:tcBorders>
              <w:right w:val="single" w:sz="8" w:color="376DB5"/>
            </w:tcBorders>
            <w:shd w:val="clear" w:color="auto" w:fill="F2F2F2"/>
          </w:tcPr>
          <w:p>
            <w:pPr>
              <w:spacing w:after="0"/>
              <w:rPr>
                <w:sz w:val="20"/>
                <w:szCs w:val="20"/>
                <w:color w:val="auto"/>
              </w:rPr>
            </w:pPr>
            <w:r>
              <w:rPr>
                <w:rFonts w:ascii="Arial" w:cs="Arial" w:eastAsia="Arial" w:hAnsi="Arial"/>
                <w:sz w:val="18"/>
                <w:szCs w:val="18"/>
                <w:color w:val="auto"/>
              </w:rPr>
              <w:t> </w:t>
            </w:r>
          </w:p>
        </w:tc>
        <w:tc>
          <w:tcPr>
            <w:tcW w:w="100" w:type="dxa"/>
            <w:vAlign w:val="bottom"/>
            <w:shd w:val="clear" w:color="auto" w:fill="F2F2F2"/>
          </w:tcPr>
          <w:p>
            <w:pPr>
              <w:spacing w:after="0"/>
              <w:rPr>
                <w:sz w:val="24"/>
                <w:szCs w:val="24"/>
                <w:color w:val="auto"/>
              </w:rPr>
            </w:pPr>
          </w:p>
        </w:tc>
        <w:tc>
          <w:tcPr>
            <w:tcW w:w="1760" w:type="dxa"/>
            <w:vAlign w:val="bottom"/>
            <w:gridSpan w:val="2"/>
            <w:shd w:val="clear" w:color="auto" w:fill="F2F2F2"/>
          </w:tcPr>
          <w:p>
            <w:pPr>
              <w:spacing w:after="0"/>
              <w:rPr>
                <w:sz w:val="20"/>
                <w:szCs w:val="20"/>
                <w:color w:val="auto"/>
              </w:rPr>
            </w:pPr>
            <w:r>
              <w:rPr>
                <w:rFonts w:ascii="Arial" w:cs="Arial" w:eastAsia="Arial" w:hAnsi="Arial"/>
                <w:sz w:val="18"/>
                <w:szCs w:val="18"/>
                <w:color w:val="auto"/>
              </w:rPr>
              <w:t>Chief Executive</w:t>
            </w:r>
          </w:p>
        </w:tc>
        <w:tc>
          <w:tcPr>
            <w:tcW w:w="120" w:type="dxa"/>
            <w:vAlign w:val="bottom"/>
            <w:tcBorders>
              <w:left w:val="single" w:sz="8" w:color="376DB5"/>
            </w:tcBorders>
            <w:shd w:val="clear" w:color="auto" w:fill="F2F2F2"/>
          </w:tcPr>
          <w:p>
            <w:pPr>
              <w:spacing w:after="0"/>
              <w:rPr>
                <w:sz w:val="24"/>
                <w:szCs w:val="24"/>
                <w:color w:val="auto"/>
              </w:rPr>
            </w:pPr>
          </w:p>
        </w:tc>
        <w:tc>
          <w:tcPr>
            <w:tcW w:w="1660" w:type="dxa"/>
            <w:vAlign w:val="bottom"/>
            <w:shd w:val="clear" w:color="auto" w:fill="F2F2F2"/>
          </w:tcPr>
          <w:p>
            <w:pPr>
              <w:spacing w:after="0"/>
              <w:rPr>
                <w:sz w:val="20"/>
                <w:szCs w:val="20"/>
                <w:color w:val="auto"/>
              </w:rPr>
            </w:pPr>
            <w:r>
              <w:rPr>
                <w:rFonts w:ascii="Arial" w:cs="Arial" w:eastAsia="Arial" w:hAnsi="Arial"/>
                <w:sz w:val="18"/>
                <w:szCs w:val="18"/>
                <w:color w:val="auto"/>
              </w:rPr>
              <w:t>Executive Vice</w:t>
            </w:r>
          </w:p>
        </w:tc>
        <w:tc>
          <w:tcPr>
            <w:tcW w:w="20" w:type="dxa"/>
            <w:vAlign w:val="bottom"/>
            <w:shd w:val="clear" w:color="auto" w:fill="376DB5"/>
          </w:tcPr>
          <w:p>
            <w:pPr>
              <w:spacing w:after="0"/>
              <w:rPr>
                <w:sz w:val="24"/>
                <w:szCs w:val="24"/>
                <w:color w:val="auto"/>
              </w:rPr>
            </w:pPr>
          </w:p>
        </w:tc>
        <w:tc>
          <w:tcPr>
            <w:tcW w:w="1740" w:type="dxa"/>
            <w:vAlign w:val="bottom"/>
            <w:shd w:val="clear" w:color="auto" w:fill="F2F2F2"/>
          </w:tcPr>
          <w:p>
            <w:pPr>
              <w:ind w:left="80"/>
              <w:spacing w:after="0"/>
              <w:rPr>
                <w:sz w:val="20"/>
                <w:szCs w:val="20"/>
                <w:color w:val="auto"/>
              </w:rPr>
            </w:pPr>
            <w:r>
              <w:rPr>
                <w:rFonts w:ascii="Arial" w:cs="Arial" w:eastAsia="Arial" w:hAnsi="Arial"/>
                <w:sz w:val="18"/>
                <w:szCs w:val="18"/>
                <w:color w:val="auto"/>
              </w:rPr>
              <w:t>President, Software</w:t>
            </w:r>
          </w:p>
        </w:tc>
        <w:tc>
          <w:tcPr>
            <w:tcW w:w="20" w:type="dxa"/>
            <w:vAlign w:val="bottom"/>
            <w:shd w:val="clear" w:color="auto" w:fill="376DB5"/>
          </w:tcPr>
          <w:p>
            <w:pPr>
              <w:spacing w:after="0"/>
              <w:rPr>
                <w:sz w:val="24"/>
                <w:szCs w:val="24"/>
                <w:color w:val="auto"/>
              </w:rPr>
            </w:pPr>
          </w:p>
        </w:tc>
        <w:tc>
          <w:tcPr>
            <w:tcW w:w="1720" w:type="dxa"/>
            <w:vAlign w:val="bottom"/>
            <w:shd w:val="clear" w:color="auto" w:fill="F2F2F2"/>
          </w:tcPr>
          <w:p>
            <w:pPr>
              <w:ind w:left="80"/>
              <w:spacing w:after="0"/>
              <w:rPr>
                <w:sz w:val="20"/>
                <w:szCs w:val="20"/>
                <w:color w:val="auto"/>
              </w:rPr>
            </w:pPr>
            <w:r>
              <w:rPr>
                <w:rFonts w:ascii="Arial" w:cs="Arial" w:eastAsia="Arial" w:hAnsi="Arial"/>
                <w:sz w:val="18"/>
                <w:szCs w:val="18"/>
                <w:color w:val="auto"/>
              </w:rPr>
              <w:t>Executive Vice</w:t>
            </w:r>
          </w:p>
        </w:tc>
        <w:tc>
          <w:tcPr>
            <w:tcW w:w="20" w:type="dxa"/>
            <w:vAlign w:val="bottom"/>
            <w:shd w:val="clear" w:color="auto" w:fill="376DB5"/>
          </w:tcPr>
          <w:p>
            <w:pPr>
              <w:spacing w:after="0"/>
              <w:rPr>
                <w:sz w:val="24"/>
                <w:szCs w:val="24"/>
                <w:color w:val="auto"/>
              </w:rPr>
            </w:pPr>
          </w:p>
        </w:tc>
        <w:tc>
          <w:tcPr>
            <w:tcW w:w="1740" w:type="dxa"/>
            <w:vAlign w:val="bottom"/>
            <w:shd w:val="clear" w:color="auto" w:fill="F2F2F2"/>
          </w:tcPr>
          <w:p>
            <w:pPr>
              <w:ind w:left="100"/>
              <w:spacing w:after="0"/>
              <w:rPr>
                <w:sz w:val="20"/>
                <w:szCs w:val="20"/>
                <w:color w:val="auto"/>
              </w:rPr>
            </w:pPr>
            <w:r>
              <w:rPr>
                <w:rFonts w:ascii="Arial" w:cs="Arial" w:eastAsia="Arial" w:hAnsi="Arial"/>
                <w:sz w:val="18"/>
                <w:szCs w:val="18"/>
                <w:color w:val="auto"/>
              </w:rPr>
              <w:t>Executive Vice</w:t>
            </w:r>
          </w:p>
        </w:tc>
        <w:tc>
          <w:tcPr>
            <w:tcW w:w="20" w:type="dxa"/>
            <w:vAlign w:val="bottom"/>
            <w:shd w:val="clear" w:color="auto" w:fill="376DB5"/>
          </w:tcPr>
          <w:p>
            <w:pPr>
              <w:spacing w:after="0"/>
              <w:rPr>
                <w:sz w:val="24"/>
                <w:szCs w:val="24"/>
                <w:color w:val="auto"/>
              </w:rPr>
            </w:pPr>
          </w:p>
        </w:tc>
        <w:tc>
          <w:tcPr>
            <w:tcW w:w="1960" w:type="dxa"/>
            <w:vAlign w:val="bottom"/>
            <w:shd w:val="clear" w:color="auto" w:fill="F2F2F2"/>
          </w:tcPr>
          <w:p>
            <w:pPr>
              <w:ind w:left="80"/>
              <w:spacing w:after="0"/>
              <w:rPr>
                <w:sz w:val="20"/>
                <w:szCs w:val="20"/>
                <w:color w:val="auto"/>
              </w:rPr>
            </w:pPr>
            <w:r>
              <w:rPr>
                <w:rFonts w:ascii="Arial" w:cs="Arial" w:eastAsia="Arial" w:hAnsi="Arial"/>
                <w:sz w:val="18"/>
                <w:szCs w:val="18"/>
                <w:color w:val="auto"/>
              </w:rPr>
              <w:t>Former President,</w:t>
            </w:r>
          </w:p>
        </w:tc>
        <w:tc>
          <w:tcPr>
            <w:tcW w:w="0" w:type="dxa"/>
            <w:vAlign w:val="bottom"/>
          </w:tcPr>
          <w:p>
            <w:pPr>
              <w:spacing w:after="0"/>
              <w:rPr>
                <w:sz w:val="1"/>
                <w:szCs w:val="1"/>
                <w:color w:val="auto"/>
              </w:rPr>
            </w:pPr>
          </w:p>
        </w:tc>
      </w:tr>
      <w:tr>
        <w:trPr>
          <w:trHeight w:val="203"/>
        </w:trPr>
        <w:tc>
          <w:tcPr>
            <w:tcW w:w="140" w:type="dxa"/>
            <w:vAlign w:val="bottom"/>
            <w:tcBorders>
              <w:right w:val="single" w:sz="8" w:color="376DB5"/>
            </w:tcBorders>
            <w:shd w:val="clear" w:color="auto" w:fill="F2F2F2"/>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176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color w:val="auto"/>
              </w:rPr>
              <w:t>Officer</w:t>
            </w:r>
          </w:p>
        </w:tc>
        <w:tc>
          <w:tcPr>
            <w:tcW w:w="120" w:type="dxa"/>
            <w:vAlign w:val="bottom"/>
            <w:tcBorders>
              <w:left w:val="single" w:sz="8" w:color="376DB5"/>
            </w:tcBorders>
            <w:shd w:val="clear" w:color="auto" w:fill="F2F2F2"/>
          </w:tcPr>
          <w:p>
            <w:pPr>
              <w:spacing w:after="0"/>
              <w:rPr>
                <w:sz w:val="17"/>
                <w:szCs w:val="17"/>
                <w:color w:val="auto"/>
              </w:rPr>
            </w:pPr>
          </w:p>
        </w:tc>
        <w:tc>
          <w:tcPr>
            <w:tcW w:w="1660" w:type="dxa"/>
            <w:vAlign w:val="bottom"/>
            <w:shd w:val="clear" w:color="auto" w:fill="F2F2F2"/>
          </w:tcPr>
          <w:p>
            <w:pPr>
              <w:spacing w:after="0" w:line="202" w:lineRule="exact"/>
              <w:rPr>
                <w:sz w:val="20"/>
                <w:szCs w:val="20"/>
                <w:color w:val="auto"/>
              </w:rPr>
            </w:pPr>
            <w:r>
              <w:rPr>
                <w:rFonts w:ascii="Arial" w:cs="Arial" w:eastAsia="Arial" w:hAnsi="Arial"/>
                <w:sz w:val="18"/>
                <w:szCs w:val="18"/>
                <w:color w:val="auto"/>
              </w:rPr>
              <w:t>President and Chief</w:t>
            </w:r>
          </w:p>
        </w:tc>
        <w:tc>
          <w:tcPr>
            <w:tcW w:w="20" w:type="dxa"/>
            <w:vAlign w:val="bottom"/>
            <w:shd w:val="clear" w:color="auto" w:fill="376DB5"/>
          </w:tcPr>
          <w:p>
            <w:pPr>
              <w:spacing w:after="0"/>
              <w:rPr>
                <w:sz w:val="17"/>
                <w:szCs w:val="17"/>
                <w:color w:val="auto"/>
              </w:rPr>
            </w:pPr>
          </w:p>
        </w:tc>
        <w:tc>
          <w:tcPr>
            <w:tcW w:w="1740" w:type="dxa"/>
            <w:vAlign w:val="bottom"/>
            <w:shd w:val="clear" w:color="auto" w:fill="F2F2F2"/>
          </w:tcPr>
          <w:p>
            <w:pPr>
              <w:spacing w:after="0"/>
              <w:rPr>
                <w:sz w:val="17"/>
                <w:szCs w:val="17"/>
                <w:color w:val="auto"/>
              </w:rPr>
            </w:pPr>
          </w:p>
        </w:tc>
        <w:tc>
          <w:tcPr>
            <w:tcW w:w="20" w:type="dxa"/>
            <w:vAlign w:val="bottom"/>
            <w:shd w:val="clear" w:color="auto" w:fill="376DB5"/>
          </w:tcPr>
          <w:p>
            <w:pPr>
              <w:spacing w:after="0"/>
              <w:rPr>
                <w:sz w:val="17"/>
                <w:szCs w:val="17"/>
                <w:color w:val="auto"/>
              </w:rPr>
            </w:pPr>
          </w:p>
        </w:tc>
        <w:tc>
          <w:tcPr>
            <w:tcW w:w="1720" w:type="dxa"/>
            <w:vAlign w:val="bottom"/>
            <w:shd w:val="clear" w:color="auto" w:fill="F2F2F2"/>
          </w:tcPr>
          <w:p>
            <w:pPr>
              <w:ind w:left="80"/>
              <w:spacing w:after="0" w:line="202" w:lineRule="exact"/>
              <w:rPr>
                <w:sz w:val="20"/>
                <w:szCs w:val="20"/>
                <w:color w:val="auto"/>
              </w:rPr>
            </w:pPr>
            <w:r>
              <w:rPr>
                <w:rFonts w:ascii="Arial" w:cs="Arial" w:eastAsia="Arial" w:hAnsi="Arial"/>
                <w:sz w:val="18"/>
                <w:szCs w:val="18"/>
                <w:color w:val="auto"/>
              </w:rPr>
              <w:t>President, Chief</w:t>
            </w:r>
          </w:p>
        </w:tc>
        <w:tc>
          <w:tcPr>
            <w:tcW w:w="20" w:type="dxa"/>
            <w:vAlign w:val="bottom"/>
            <w:shd w:val="clear" w:color="auto" w:fill="376DB5"/>
          </w:tcPr>
          <w:p>
            <w:pPr>
              <w:spacing w:after="0"/>
              <w:rPr>
                <w:sz w:val="17"/>
                <w:szCs w:val="17"/>
                <w:color w:val="auto"/>
              </w:rPr>
            </w:pPr>
          </w:p>
        </w:tc>
        <w:tc>
          <w:tcPr>
            <w:tcW w:w="1740" w:type="dxa"/>
            <w:vAlign w:val="bottom"/>
            <w:shd w:val="clear" w:color="auto" w:fill="F2F2F2"/>
          </w:tcPr>
          <w:p>
            <w:pPr>
              <w:ind w:left="100"/>
              <w:spacing w:after="0" w:line="202" w:lineRule="exact"/>
              <w:rPr>
                <w:sz w:val="20"/>
                <w:szCs w:val="20"/>
                <w:color w:val="auto"/>
              </w:rPr>
            </w:pPr>
            <w:r>
              <w:rPr>
                <w:rFonts w:ascii="Arial" w:cs="Arial" w:eastAsia="Arial" w:hAnsi="Arial"/>
                <w:sz w:val="18"/>
                <w:szCs w:val="18"/>
                <w:color w:val="auto"/>
              </w:rPr>
              <w:t>President, General</w:t>
            </w:r>
          </w:p>
        </w:tc>
        <w:tc>
          <w:tcPr>
            <w:tcW w:w="20" w:type="dxa"/>
            <w:vAlign w:val="bottom"/>
            <w:shd w:val="clear" w:color="auto" w:fill="376DB5"/>
          </w:tcPr>
          <w:p>
            <w:pPr>
              <w:spacing w:after="0"/>
              <w:rPr>
                <w:sz w:val="17"/>
                <w:szCs w:val="17"/>
                <w:color w:val="auto"/>
              </w:rPr>
            </w:pPr>
          </w:p>
        </w:tc>
        <w:tc>
          <w:tcPr>
            <w:tcW w:w="1960" w:type="dxa"/>
            <w:vAlign w:val="bottom"/>
            <w:shd w:val="clear" w:color="auto" w:fill="F2F2F2"/>
          </w:tcPr>
          <w:p>
            <w:pPr>
              <w:ind w:left="80"/>
              <w:spacing w:after="0" w:line="202" w:lineRule="exact"/>
              <w:rPr>
                <w:sz w:val="20"/>
                <w:szCs w:val="20"/>
                <w:color w:val="auto"/>
              </w:rPr>
            </w:pPr>
            <w:r>
              <w:rPr>
                <w:rFonts w:ascii="Arial" w:cs="Arial" w:eastAsia="Arial" w:hAnsi="Arial"/>
                <w:sz w:val="18"/>
                <w:szCs w:val="18"/>
                <w:color w:val="auto"/>
              </w:rPr>
              <w:t>Scores</w:t>
            </w:r>
          </w:p>
        </w:tc>
        <w:tc>
          <w:tcPr>
            <w:tcW w:w="0" w:type="dxa"/>
            <w:vAlign w:val="bottom"/>
          </w:tcPr>
          <w:p>
            <w:pPr>
              <w:spacing w:after="0"/>
              <w:rPr>
                <w:sz w:val="1"/>
                <w:szCs w:val="1"/>
                <w:color w:val="auto"/>
              </w:rPr>
            </w:pPr>
          </w:p>
        </w:tc>
      </w:tr>
      <w:tr>
        <w:trPr>
          <w:trHeight w:val="203"/>
        </w:trPr>
        <w:tc>
          <w:tcPr>
            <w:tcW w:w="140" w:type="dxa"/>
            <w:vAlign w:val="bottom"/>
            <w:tcBorders>
              <w:right w:val="single" w:sz="8" w:color="376DB5"/>
            </w:tcBorders>
            <w:shd w:val="clear" w:color="auto" w:fill="F2F2F2"/>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1520" w:type="dxa"/>
            <w:vAlign w:val="bottom"/>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120" w:type="dxa"/>
            <w:vAlign w:val="bottom"/>
            <w:tcBorders>
              <w:left w:val="single" w:sz="8" w:color="376DB5"/>
            </w:tcBorders>
            <w:shd w:val="clear" w:color="auto" w:fill="F2F2F2"/>
          </w:tcPr>
          <w:p>
            <w:pPr>
              <w:spacing w:after="0"/>
              <w:rPr>
                <w:sz w:val="17"/>
                <w:szCs w:val="17"/>
                <w:color w:val="auto"/>
              </w:rPr>
            </w:pPr>
          </w:p>
        </w:tc>
        <w:tc>
          <w:tcPr>
            <w:tcW w:w="1660" w:type="dxa"/>
            <w:vAlign w:val="bottom"/>
            <w:shd w:val="clear" w:color="auto" w:fill="F2F2F2"/>
          </w:tcPr>
          <w:p>
            <w:pPr>
              <w:spacing w:after="0" w:line="202" w:lineRule="exact"/>
              <w:rPr>
                <w:sz w:val="20"/>
                <w:szCs w:val="20"/>
                <w:color w:val="auto"/>
              </w:rPr>
            </w:pPr>
            <w:r>
              <w:rPr>
                <w:rFonts w:ascii="Arial" w:cs="Arial" w:eastAsia="Arial" w:hAnsi="Arial"/>
                <w:sz w:val="18"/>
                <w:szCs w:val="18"/>
                <w:color w:val="auto"/>
              </w:rPr>
              <w:t>Financial Officer</w:t>
            </w:r>
          </w:p>
        </w:tc>
        <w:tc>
          <w:tcPr>
            <w:tcW w:w="20" w:type="dxa"/>
            <w:vAlign w:val="bottom"/>
            <w:shd w:val="clear" w:color="auto" w:fill="376DB5"/>
          </w:tcPr>
          <w:p>
            <w:pPr>
              <w:spacing w:after="0"/>
              <w:rPr>
                <w:sz w:val="17"/>
                <w:szCs w:val="17"/>
                <w:color w:val="auto"/>
              </w:rPr>
            </w:pPr>
          </w:p>
        </w:tc>
        <w:tc>
          <w:tcPr>
            <w:tcW w:w="1740" w:type="dxa"/>
            <w:vAlign w:val="bottom"/>
            <w:shd w:val="clear" w:color="auto" w:fill="F2F2F2"/>
          </w:tcPr>
          <w:p>
            <w:pPr>
              <w:spacing w:after="0"/>
              <w:rPr>
                <w:sz w:val="17"/>
                <w:szCs w:val="17"/>
                <w:color w:val="auto"/>
              </w:rPr>
            </w:pPr>
          </w:p>
        </w:tc>
        <w:tc>
          <w:tcPr>
            <w:tcW w:w="20" w:type="dxa"/>
            <w:vAlign w:val="bottom"/>
            <w:shd w:val="clear" w:color="auto" w:fill="376DB5"/>
          </w:tcPr>
          <w:p>
            <w:pPr>
              <w:spacing w:after="0"/>
              <w:rPr>
                <w:sz w:val="17"/>
                <w:szCs w:val="17"/>
                <w:color w:val="auto"/>
              </w:rPr>
            </w:pPr>
          </w:p>
        </w:tc>
        <w:tc>
          <w:tcPr>
            <w:tcW w:w="1720" w:type="dxa"/>
            <w:vAlign w:val="bottom"/>
            <w:shd w:val="clear" w:color="auto" w:fill="F2F2F2"/>
          </w:tcPr>
          <w:p>
            <w:pPr>
              <w:ind w:left="80"/>
              <w:spacing w:after="0" w:line="202" w:lineRule="exact"/>
              <w:rPr>
                <w:sz w:val="20"/>
                <w:szCs w:val="20"/>
                <w:color w:val="auto"/>
              </w:rPr>
            </w:pPr>
            <w:r>
              <w:rPr>
                <w:rFonts w:ascii="Arial" w:cs="Arial" w:eastAsia="Arial" w:hAnsi="Arial"/>
                <w:sz w:val="18"/>
                <w:szCs w:val="18"/>
                <w:color w:val="auto"/>
              </w:rPr>
              <w:t>Human Resources</w:t>
            </w:r>
          </w:p>
        </w:tc>
        <w:tc>
          <w:tcPr>
            <w:tcW w:w="20" w:type="dxa"/>
            <w:vAlign w:val="bottom"/>
            <w:shd w:val="clear" w:color="auto" w:fill="376DB5"/>
          </w:tcPr>
          <w:p>
            <w:pPr>
              <w:spacing w:after="0"/>
              <w:rPr>
                <w:sz w:val="17"/>
                <w:szCs w:val="17"/>
                <w:color w:val="auto"/>
              </w:rPr>
            </w:pPr>
          </w:p>
        </w:tc>
        <w:tc>
          <w:tcPr>
            <w:tcW w:w="1740" w:type="dxa"/>
            <w:vAlign w:val="bottom"/>
            <w:shd w:val="clear" w:color="auto" w:fill="F2F2F2"/>
          </w:tcPr>
          <w:p>
            <w:pPr>
              <w:ind w:left="100"/>
              <w:spacing w:after="0" w:line="202" w:lineRule="exact"/>
              <w:rPr>
                <w:sz w:val="20"/>
                <w:szCs w:val="20"/>
                <w:color w:val="auto"/>
              </w:rPr>
            </w:pPr>
            <w:r>
              <w:rPr>
                <w:rFonts w:ascii="Arial" w:cs="Arial" w:eastAsia="Arial" w:hAnsi="Arial"/>
                <w:sz w:val="18"/>
                <w:szCs w:val="18"/>
                <w:color w:val="auto"/>
              </w:rPr>
              <w:t>Counsel and</w:t>
            </w:r>
          </w:p>
        </w:tc>
        <w:tc>
          <w:tcPr>
            <w:tcW w:w="20" w:type="dxa"/>
            <w:vAlign w:val="bottom"/>
            <w:shd w:val="clear" w:color="auto" w:fill="376DB5"/>
          </w:tcPr>
          <w:p>
            <w:pPr>
              <w:spacing w:after="0"/>
              <w:rPr>
                <w:sz w:val="17"/>
                <w:szCs w:val="17"/>
                <w:color w:val="auto"/>
              </w:rPr>
            </w:pPr>
          </w:p>
        </w:tc>
        <w:tc>
          <w:tcPr>
            <w:tcW w:w="196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376DB5"/>
            </w:tcBorders>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1520" w:type="dxa"/>
            <w:vAlign w:val="bottom"/>
            <w:shd w:val="clear" w:color="auto" w:fill="F2F2F2"/>
          </w:tcPr>
          <w:p>
            <w:pPr>
              <w:spacing w:after="0"/>
              <w:rPr>
                <w:sz w:val="19"/>
                <w:szCs w:val="19"/>
                <w:color w:val="auto"/>
              </w:rPr>
            </w:pPr>
          </w:p>
        </w:tc>
        <w:tc>
          <w:tcPr>
            <w:tcW w:w="240" w:type="dxa"/>
            <w:vAlign w:val="bottom"/>
            <w:shd w:val="clear" w:color="auto" w:fill="F2F2F2"/>
          </w:tcPr>
          <w:p>
            <w:pPr>
              <w:spacing w:after="0"/>
              <w:rPr>
                <w:sz w:val="19"/>
                <w:szCs w:val="19"/>
                <w:color w:val="auto"/>
              </w:rPr>
            </w:pPr>
          </w:p>
        </w:tc>
        <w:tc>
          <w:tcPr>
            <w:tcW w:w="120" w:type="dxa"/>
            <w:vAlign w:val="bottom"/>
            <w:tcBorders>
              <w:left w:val="single" w:sz="8" w:color="376DB5"/>
            </w:tcBorders>
            <w:shd w:val="clear" w:color="auto" w:fill="F2F2F2"/>
          </w:tcPr>
          <w:p>
            <w:pPr>
              <w:spacing w:after="0"/>
              <w:rPr>
                <w:sz w:val="19"/>
                <w:szCs w:val="19"/>
                <w:color w:val="auto"/>
              </w:rPr>
            </w:pPr>
          </w:p>
        </w:tc>
        <w:tc>
          <w:tcPr>
            <w:tcW w:w="1660" w:type="dxa"/>
            <w:vAlign w:val="bottom"/>
            <w:shd w:val="clear" w:color="auto" w:fill="F2F2F2"/>
          </w:tcPr>
          <w:p>
            <w:pPr>
              <w:spacing w:after="0"/>
              <w:rPr>
                <w:sz w:val="19"/>
                <w:szCs w:val="19"/>
                <w:color w:val="auto"/>
              </w:rPr>
            </w:pPr>
          </w:p>
        </w:tc>
        <w:tc>
          <w:tcPr>
            <w:tcW w:w="20" w:type="dxa"/>
            <w:vAlign w:val="bottom"/>
            <w:shd w:val="clear" w:color="auto" w:fill="376DB5"/>
          </w:tcPr>
          <w:p>
            <w:pPr>
              <w:spacing w:after="0"/>
              <w:rPr>
                <w:sz w:val="19"/>
                <w:szCs w:val="19"/>
                <w:color w:val="auto"/>
              </w:rPr>
            </w:pPr>
          </w:p>
        </w:tc>
        <w:tc>
          <w:tcPr>
            <w:tcW w:w="1740" w:type="dxa"/>
            <w:vAlign w:val="bottom"/>
            <w:shd w:val="clear" w:color="auto" w:fill="F2F2F2"/>
          </w:tcPr>
          <w:p>
            <w:pPr>
              <w:spacing w:after="0"/>
              <w:rPr>
                <w:sz w:val="19"/>
                <w:szCs w:val="19"/>
                <w:color w:val="auto"/>
              </w:rPr>
            </w:pPr>
          </w:p>
        </w:tc>
        <w:tc>
          <w:tcPr>
            <w:tcW w:w="20" w:type="dxa"/>
            <w:vAlign w:val="bottom"/>
            <w:shd w:val="clear" w:color="auto" w:fill="376DB5"/>
          </w:tcPr>
          <w:p>
            <w:pPr>
              <w:spacing w:after="0"/>
              <w:rPr>
                <w:sz w:val="19"/>
                <w:szCs w:val="19"/>
                <w:color w:val="auto"/>
              </w:rPr>
            </w:pPr>
          </w:p>
        </w:tc>
        <w:tc>
          <w:tcPr>
            <w:tcW w:w="1720" w:type="dxa"/>
            <w:vAlign w:val="bottom"/>
            <w:shd w:val="clear" w:color="auto" w:fill="F2F2F2"/>
          </w:tcPr>
          <w:p>
            <w:pPr>
              <w:ind w:left="80"/>
              <w:spacing w:after="0"/>
              <w:rPr>
                <w:sz w:val="20"/>
                <w:szCs w:val="20"/>
                <w:color w:val="auto"/>
              </w:rPr>
            </w:pPr>
            <w:r>
              <w:rPr>
                <w:rFonts w:ascii="Arial" w:cs="Arial" w:eastAsia="Arial" w:hAnsi="Arial"/>
                <w:sz w:val="18"/>
                <w:szCs w:val="18"/>
                <w:color w:val="auto"/>
              </w:rPr>
              <w:t>Officer</w:t>
            </w:r>
          </w:p>
        </w:tc>
        <w:tc>
          <w:tcPr>
            <w:tcW w:w="20" w:type="dxa"/>
            <w:vAlign w:val="bottom"/>
            <w:shd w:val="clear" w:color="auto" w:fill="376DB5"/>
          </w:tcPr>
          <w:p>
            <w:pPr>
              <w:spacing w:after="0"/>
              <w:rPr>
                <w:sz w:val="19"/>
                <w:szCs w:val="19"/>
                <w:color w:val="auto"/>
              </w:rPr>
            </w:pPr>
          </w:p>
        </w:tc>
        <w:tc>
          <w:tcPr>
            <w:tcW w:w="1740" w:type="dxa"/>
            <w:vAlign w:val="bottom"/>
            <w:shd w:val="clear" w:color="auto" w:fill="F2F2F2"/>
          </w:tcPr>
          <w:p>
            <w:pPr>
              <w:ind w:left="100"/>
              <w:spacing w:after="0"/>
              <w:rPr>
                <w:sz w:val="20"/>
                <w:szCs w:val="20"/>
                <w:color w:val="auto"/>
              </w:rPr>
            </w:pPr>
            <w:r>
              <w:rPr>
                <w:rFonts w:ascii="Arial" w:cs="Arial" w:eastAsia="Arial" w:hAnsi="Arial"/>
                <w:sz w:val="18"/>
                <w:szCs w:val="18"/>
                <w:color w:val="auto"/>
                <w:w w:val="99"/>
              </w:rPr>
              <w:t>Corporate Secretary</w:t>
            </w:r>
          </w:p>
        </w:tc>
        <w:tc>
          <w:tcPr>
            <w:tcW w:w="20" w:type="dxa"/>
            <w:vAlign w:val="bottom"/>
            <w:shd w:val="clear" w:color="auto" w:fill="376DB5"/>
          </w:tcPr>
          <w:p>
            <w:pPr>
              <w:spacing w:after="0"/>
              <w:rPr>
                <w:sz w:val="19"/>
                <w:szCs w:val="19"/>
                <w:color w:val="auto"/>
              </w:rPr>
            </w:pPr>
          </w:p>
        </w:tc>
        <w:tc>
          <w:tcPr>
            <w:tcW w:w="1960" w:type="dxa"/>
            <w:vAlign w:val="bottom"/>
            <w:shd w:val="clear" w:color="auto" w:fill="F2F2F2"/>
          </w:tcPr>
          <w:p>
            <w:pPr>
              <w:ind w:left="18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00"/>
        </w:trPr>
        <w:tc>
          <w:tcPr>
            <w:tcW w:w="140" w:type="dxa"/>
            <w:vAlign w:val="bottom"/>
            <w:tcBorders>
              <w:right w:val="single" w:sz="8" w:color="376DB5"/>
            </w:tcBorders>
            <w:shd w:val="clear" w:color="auto" w:fill="F2F2F2"/>
          </w:tcPr>
          <w:p>
            <w:pPr>
              <w:spacing w:after="0"/>
              <w:rPr>
                <w:sz w:val="24"/>
                <w:szCs w:val="24"/>
                <w:color w:val="auto"/>
              </w:rPr>
            </w:pPr>
          </w:p>
        </w:tc>
        <w:tc>
          <w:tcPr>
            <w:tcW w:w="100" w:type="dxa"/>
            <w:vAlign w:val="bottom"/>
            <w:shd w:val="clear" w:color="auto" w:fill="F2F2F2"/>
          </w:tcPr>
          <w:p>
            <w:pPr>
              <w:spacing w:after="0"/>
              <w:rPr>
                <w:sz w:val="24"/>
                <w:szCs w:val="24"/>
                <w:color w:val="auto"/>
              </w:rPr>
            </w:pPr>
          </w:p>
        </w:tc>
        <w:tc>
          <w:tcPr>
            <w:tcW w:w="1760" w:type="dxa"/>
            <w:vAlign w:val="bottom"/>
            <w:gridSpan w:val="2"/>
            <w:shd w:val="clear" w:color="auto" w:fill="F2F2F2"/>
          </w:tcPr>
          <w:p>
            <w:pPr>
              <w:spacing w:after="0"/>
              <w:rPr>
                <w:sz w:val="20"/>
                <w:szCs w:val="20"/>
                <w:color w:val="auto"/>
              </w:rPr>
            </w:pPr>
            <w:r>
              <w:rPr>
                <w:rFonts w:ascii="Arial" w:cs="Arial" w:eastAsia="Arial" w:hAnsi="Arial"/>
                <w:sz w:val="18"/>
                <w:szCs w:val="18"/>
                <w:color w:val="auto"/>
              </w:rPr>
              <w:t>Years of service</w:t>
            </w:r>
          </w:p>
        </w:tc>
        <w:tc>
          <w:tcPr>
            <w:tcW w:w="120" w:type="dxa"/>
            <w:vAlign w:val="bottom"/>
            <w:tcBorders>
              <w:left w:val="single" w:sz="8" w:color="376DB5"/>
            </w:tcBorders>
            <w:shd w:val="clear" w:color="auto" w:fill="F2F2F2"/>
          </w:tcPr>
          <w:p>
            <w:pPr>
              <w:spacing w:after="0"/>
              <w:rPr>
                <w:sz w:val="24"/>
                <w:szCs w:val="24"/>
                <w:color w:val="auto"/>
              </w:rPr>
            </w:pPr>
          </w:p>
        </w:tc>
        <w:tc>
          <w:tcPr>
            <w:tcW w:w="1660" w:type="dxa"/>
            <w:vAlign w:val="bottom"/>
            <w:shd w:val="clear" w:color="auto" w:fill="F2F2F2"/>
          </w:tcPr>
          <w:p>
            <w:pPr>
              <w:spacing w:after="0"/>
              <w:rPr>
                <w:sz w:val="20"/>
                <w:szCs w:val="20"/>
                <w:color w:val="auto"/>
              </w:rPr>
            </w:pPr>
            <w:r>
              <w:rPr>
                <w:rFonts w:ascii="Arial" w:cs="Arial" w:eastAsia="Arial" w:hAnsi="Arial"/>
                <w:sz w:val="18"/>
                <w:szCs w:val="18"/>
                <w:color w:val="auto"/>
              </w:rPr>
              <w:t>Years of service</w:t>
            </w:r>
          </w:p>
        </w:tc>
        <w:tc>
          <w:tcPr>
            <w:tcW w:w="20" w:type="dxa"/>
            <w:vAlign w:val="bottom"/>
            <w:shd w:val="clear" w:color="auto" w:fill="376DB5"/>
          </w:tcPr>
          <w:p>
            <w:pPr>
              <w:spacing w:after="0"/>
              <w:rPr>
                <w:sz w:val="24"/>
                <w:szCs w:val="24"/>
                <w:color w:val="auto"/>
              </w:rPr>
            </w:pPr>
          </w:p>
        </w:tc>
        <w:tc>
          <w:tcPr>
            <w:tcW w:w="1740" w:type="dxa"/>
            <w:vAlign w:val="bottom"/>
            <w:shd w:val="clear" w:color="auto" w:fill="F2F2F2"/>
          </w:tcPr>
          <w:p>
            <w:pPr>
              <w:ind w:left="80"/>
              <w:spacing w:after="0"/>
              <w:rPr>
                <w:sz w:val="20"/>
                <w:szCs w:val="20"/>
                <w:color w:val="auto"/>
              </w:rPr>
            </w:pPr>
            <w:r>
              <w:rPr>
                <w:rFonts w:ascii="Arial" w:cs="Arial" w:eastAsia="Arial" w:hAnsi="Arial"/>
                <w:sz w:val="18"/>
                <w:szCs w:val="18"/>
                <w:color w:val="auto"/>
              </w:rPr>
              <w:t>Years of service</w:t>
            </w:r>
          </w:p>
        </w:tc>
        <w:tc>
          <w:tcPr>
            <w:tcW w:w="20" w:type="dxa"/>
            <w:vAlign w:val="bottom"/>
            <w:shd w:val="clear" w:color="auto" w:fill="376DB5"/>
          </w:tcPr>
          <w:p>
            <w:pPr>
              <w:spacing w:after="0"/>
              <w:rPr>
                <w:sz w:val="24"/>
                <w:szCs w:val="24"/>
                <w:color w:val="auto"/>
              </w:rPr>
            </w:pPr>
          </w:p>
        </w:tc>
        <w:tc>
          <w:tcPr>
            <w:tcW w:w="1720" w:type="dxa"/>
            <w:vAlign w:val="bottom"/>
            <w:shd w:val="clear" w:color="auto" w:fill="F2F2F2"/>
          </w:tcPr>
          <w:p>
            <w:pPr>
              <w:ind w:left="80"/>
              <w:spacing w:after="0"/>
              <w:rPr>
                <w:sz w:val="20"/>
                <w:szCs w:val="20"/>
                <w:color w:val="auto"/>
              </w:rPr>
            </w:pPr>
            <w:r>
              <w:rPr>
                <w:rFonts w:ascii="Arial" w:cs="Arial" w:eastAsia="Arial" w:hAnsi="Arial"/>
                <w:sz w:val="18"/>
                <w:szCs w:val="18"/>
                <w:color w:val="auto"/>
              </w:rPr>
              <w:t>Years of service</w:t>
            </w:r>
          </w:p>
        </w:tc>
        <w:tc>
          <w:tcPr>
            <w:tcW w:w="20" w:type="dxa"/>
            <w:vAlign w:val="bottom"/>
            <w:shd w:val="clear" w:color="auto" w:fill="376DB5"/>
          </w:tcPr>
          <w:p>
            <w:pPr>
              <w:spacing w:after="0"/>
              <w:rPr>
                <w:sz w:val="24"/>
                <w:szCs w:val="24"/>
                <w:color w:val="auto"/>
              </w:rPr>
            </w:pPr>
          </w:p>
        </w:tc>
        <w:tc>
          <w:tcPr>
            <w:tcW w:w="1740" w:type="dxa"/>
            <w:vAlign w:val="bottom"/>
            <w:shd w:val="clear" w:color="auto" w:fill="F2F2F2"/>
          </w:tcPr>
          <w:p>
            <w:pPr>
              <w:ind w:left="100"/>
              <w:spacing w:after="0"/>
              <w:rPr>
                <w:sz w:val="20"/>
                <w:szCs w:val="20"/>
                <w:color w:val="auto"/>
              </w:rPr>
            </w:pPr>
            <w:r>
              <w:rPr>
                <w:rFonts w:ascii="Arial" w:cs="Arial" w:eastAsia="Arial" w:hAnsi="Arial"/>
                <w:sz w:val="18"/>
                <w:szCs w:val="18"/>
                <w:color w:val="auto"/>
              </w:rPr>
              <w:t>Years of service</w:t>
            </w:r>
          </w:p>
        </w:tc>
        <w:tc>
          <w:tcPr>
            <w:tcW w:w="20" w:type="dxa"/>
            <w:vAlign w:val="bottom"/>
            <w:shd w:val="clear" w:color="auto" w:fill="376DB5"/>
          </w:tcPr>
          <w:p>
            <w:pPr>
              <w:spacing w:after="0"/>
              <w:rPr>
                <w:sz w:val="24"/>
                <w:szCs w:val="24"/>
                <w:color w:val="auto"/>
              </w:rPr>
            </w:pPr>
          </w:p>
        </w:tc>
        <w:tc>
          <w:tcPr>
            <w:tcW w:w="1960" w:type="dxa"/>
            <w:vAlign w:val="bottom"/>
            <w:shd w:val="clear" w:color="auto" w:fill="F2F2F2"/>
          </w:tcPr>
          <w:p>
            <w:pPr>
              <w:ind w:left="80"/>
              <w:spacing w:after="0"/>
              <w:rPr>
                <w:sz w:val="20"/>
                <w:szCs w:val="20"/>
                <w:color w:val="auto"/>
              </w:rPr>
            </w:pPr>
            <w:r>
              <w:rPr>
                <w:rFonts w:ascii="Arial" w:cs="Arial" w:eastAsia="Arial" w:hAnsi="Arial"/>
                <w:sz w:val="18"/>
                <w:szCs w:val="18"/>
                <w:color w:val="auto"/>
              </w:rPr>
              <w:t>Years of service</w:t>
            </w:r>
          </w:p>
        </w:tc>
        <w:tc>
          <w:tcPr>
            <w:tcW w:w="0" w:type="dxa"/>
            <w:vAlign w:val="bottom"/>
          </w:tcPr>
          <w:p>
            <w:pPr>
              <w:spacing w:after="0"/>
              <w:rPr>
                <w:sz w:val="1"/>
                <w:szCs w:val="1"/>
                <w:color w:val="auto"/>
              </w:rPr>
            </w:pPr>
          </w:p>
        </w:tc>
      </w:tr>
      <w:tr>
        <w:trPr>
          <w:trHeight w:val="221"/>
        </w:trPr>
        <w:tc>
          <w:tcPr>
            <w:tcW w:w="140" w:type="dxa"/>
            <w:vAlign w:val="bottom"/>
            <w:tcBorders>
              <w:right w:val="single" w:sz="8" w:color="376DB5"/>
            </w:tcBorders>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176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auto"/>
              </w:rPr>
              <w:t>14 years</w:t>
            </w:r>
          </w:p>
        </w:tc>
        <w:tc>
          <w:tcPr>
            <w:tcW w:w="120" w:type="dxa"/>
            <w:vAlign w:val="bottom"/>
            <w:tcBorders>
              <w:left w:val="single" w:sz="8" w:color="376DB5"/>
            </w:tcBorders>
            <w:shd w:val="clear" w:color="auto" w:fill="F2F2F2"/>
          </w:tcPr>
          <w:p>
            <w:pPr>
              <w:spacing w:after="0"/>
              <w:rPr>
                <w:sz w:val="19"/>
                <w:szCs w:val="19"/>
                <w:color w:val="auto"/>
              </w:rPr>
            </w:pPr>
          </w:p>
        </w:tc>
        <w:tc>
          <w:tcPr>
            <w:tcW w:w="1660" w:type="dxa"/>
            <w:vAlign w:val="bottom"/>
            <w:shd w:val="clear" w:color="auto" w:fill="F2F2F2"/>
          </w:tcPr>
          <w:p>
            <w:pPr>
              <w:spacing w:after="0"/>
              <w:rPr>
                <w:sz w:val="20"/>
                <w:szCs w:val="20"/>
                <w:color w:val="auto"/>
              </w:rPr>
            </w:pPr>
            <w:r>
              <w:rPr>
                <w:rFonts w:ascii="Arial" w:cs="Arial" w:eastAsia="Arial" w:hAnsi="Arial"/>
                <w:sz w:val="18"/>
                <w:szCs w:val="18"/>
                <w:b w:val="1"/>
                <w:bCs w:val="1"/>
                <w:color w:val="auto"/>
              </w:rPr>
              <w:t>22 years</w:t>
            </w:r>
          </w:p>
        </w:tc>
        <w:tc>
          <w:tcPr>
            <w:tcW w:w="20" w:type="dxa"/>
            <w:vAlign w:val="bottom"/>
            <w:shd w:val="clear" w:color="auto" w:fill="376DB5"/>
          </w:tcPr>
          <w:p>
            <w:pPr>
              <w:spacing w:after="0"/>
              <w:rPr>
                <w:sz w:val="19"/>
                <w:szCs w:val="19"/>
                <w:color w:val="auto"/>
              </w:rPr>
            </w:pPr>
          </w:p>
        </w:tc>
        <w:tc>
          <w:tcPr>
            <w:tcW w:w="174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12 years</w:t>
            </w:r>
          </w:p>
        </w:tc>
        <w:tc>
          <w:tcPr>
            <w:tcW w:w="20" w:type="dxa"/>
            <w:vAlign w:val="bottom"/>
            <w:shd w:val="clear" w:color="auto" w:fill="376DB5"/>
          </w:tcPr>
          <w:p>
            <w:pPr>
              <w:spacing w:after="0"/>
              <w:rPr>
                <w:sz w:val="19"/>
                <w:szCs w:val="19"/>
                <w:color w:val="auto"/>
              </w:rPr>
            </w:pPr>
          </w:p>
        </w:tc>
        <w:tc>
          <w:tcPr>
            <w:tcW w:w="17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25 years</w:t>
            </w:r>
          </w:p>
        </w:tc>
        <w:tc>
          <w:tcPr>
            <w:tcW w:w="20" w:type="dxa"/>
            <w:vAlign w:val="bottom"/>
            <w:shd w:val="clear" w:color="auto" w:fill="376DB5"/>
          </w:tcPr>
          <w:p>
            <w:pPr>
              <w:spacing w:after="0"/>
              <w:rPr>
                <w:sz w:val="19"/>
                <w:szCs w:val="19"/>
                <w:color w:val="auto"/>
              </w:rPr>
            </w:pPr>
          </w:p>
        </w:tc>
        <w:tc>
          <w:tcPr>
            <w:tcW w:w="1740" w:type="dxa"/>
            <w:vAlign w:val="bottom"/>
            <w:shd w:val="clear" w:color="auto" w:fill="F2F2F2"/>
          </w:tcPr>
          <w:p>
            <w:pPr>
              <w:ind w:left="100"/>
              <w:spacing w:after="0"/>
              <w:rPr>
                <w:sz w:val="20"/>
                <w:szCs w:val="20"/>
                <w:color w:val="auto"/>
              </w:rPr>
            </w:pPr>
            <w:r>
              <w:rPr>
                <w:rFonts w:ascii="Arial" w:cs="Arial" w:eastAsia="Arial" w:hAnsi="Arial"/>
                <w:sz w:val="18"/>
                <w:szCs w:val="18"/>
                <w:b w:val="1"/>
                <w:bCs w:val="1"/>
                <w:color w:val="auto"/>
              </w:rPr>
              <w:t>18 Years</w:t>
            </w:r>
          </w:p>
        </w:tc>
        <w:tc>
          <w:tcPr>
            <w:tcW w:w="20" w:type="dxa"/>
            <w:vAlign w:val="bottom"/>
            <w:shd w:val="clear" w:color="auto" w:fill="376DB5"/>
          </w:tcPr>
          <w:p>
            <w:pPr>
              <w:spacing w:after="0"/>
              <w:rPr>
                <w:sz w:val="19"/>
                <w:szCs w:val="19"/>
                <w:color w:val="auto"/>
              </w:rPr>
            </w:pPr>
          </w:p>
        </w:tc>
        <w:tc>
          <w:tcPr>
            <w:tcW w:w="19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13 years</w:t>
            </w:r>
          </w:p>
        </w:tc>
        <w:tc>
          <w:tcPr>
            <w:tcW w:w="0" w:type="dxa"/>
            <w:vAlign w:val="bottom"/>
          </w:tcPr>
          <w:p>
            <w:pPr>
              <w:spacing w:after="0"/>
              <w:rPr>
                <w:sz w:val="1"/>
                <w:szCs w:val="1"/>
                <w:color w:val="auto"/>
              </w:rPr>
            </w:pPr>
          </w:p>
        </w:tc>
      </w:tr>
      <w:tr>
        <w:trPr>
          <w:trHeight w:val="122"/>
        </w:trPr>
        <w:tc>
          <w:tcPr>
            <w:tcW w:w="140" w:type="dxa"/>
            <w:vAlign w:val="bottom"/>
            <w:tcBorders>
              <w:right w:val="single" w:sz="8" w:color="376DB5"/>
            </w:tcBorders>
            <w:shd w:val="clear" w:color="auto" w:fill="F2F2F2"/>
          </w:tcPr>
          <w:p>
            <w:pPr>
              <w:spacing w:after="0"/>
              <w:rPr>
                <w:sz w:val="10"/>
                <w:szCs w:val="10"/>
                <w:color w:val="auto"/>
              </w:rPr>
            </w:pPr>
          </w:p>
        </w:tc>
        <w:tc>
          <w:tcPr>
            <w:tcW w:w="100" w:type="dxa"/>
            <w:vAlign w:val="bottom"/>
            <w:shd w:val="clear" w:color="auto" w:fill="F2F2F2"/>
          </w:tcPr>
          <w:p>
            <w:pPr>
              <w:spacing w:after="0"/>
              <w:rPr>
                <w:sz w:val="10"/>
                <w:szCs w:val="10"/>
                <w:color w:val="auto"/>
              </w:rPr>
            </w:pPr>
          </w:p>
        </w:tc>
        <w:tc>
          <w:tcPr>
            <w:tcW w:w="1520" w:type="dxa"/>
            <w:vAlign w:val="bottom"/>
            <w:shd w:val="clear" w:color="auto" w:fill="F2F2F2"/>
          </w:tcPr>
          <w:p>
            <w:pPr>
              <w:spacing w:after="0"/>
              <w:rPr>
                <w:sz w:val="10"/>
                <w:szCs w:val="10"/>
                <w:color w:val="auto"/>
              </w:rPr>
            </w:pPr>
          </w:p>
        </w:tc>
        <w:tc>
          <w:tcPr>
            <w:tcW w:w="240" w:type="dxa"/>
            <w:vAlign w:val="bottom"/>
            <w:shd w:val="clear" w:color="auto" w:fill="F2F2F2"/>
          </w:tcPr>
          <w:p>
            <w:pPr>
              <w:spacing w:after="0"/>
              <w:rPr>
                <w:sz w:val="10"/>
                <w:szCs w:val="10"/>
                <w:color w:val="auto"/>
              </w:rPr>
            </w:pPr>
          </w:p>
        </w:tc>
        <w:tc>
          <w:tcPr>
            <w:tcW w:w="120" w:type="dxa"/>
            <w:vAlign w:val="bottom"/>
            <w:tcBorders>
              <w:left w:val="single" w:sz="8" w:color="376DB5"/>
            </w:tcBorders>
            <w:shd w:val="clear" w:color="auto" w:fill="F2F2F2"/>
          </w:tcPr>
          <w:p>
            <w:pPr>
              <w:spacing w:after="0"/>
              <w:rPr>
                <w:sz w:val="10"/>
                <w:szCs w:val="10"/>
                <w:color w:val="auto"/>
              </w:rPr>
            </w:pPr>
          </w:p>
        </w:tc>
        <w:tc>
          <w:tcPr>
            <w:tcW w:w="1660" w:type="dxa"/>
            <w:vAlign w:val="bottom"/>
            <w:shd w:val="clear" w:color="auto" w:fill="F2F2F2"/>
          </w:tcPr>
          <w:p>
            <w:pPr>
              <w:spacing w:after="0"/>
              <w:rPr>
                <w:sz w:val="10"/>
                <w:szCs w:val="10"/>
                <w:color w:val="auto"/>
              </w:rPr>
            </w:pPr>
          </w:p>
        </w:tc>
        <w:tc>
          <w:tcPr>
            <w:tcW w:w="20" w:type="dxa"/>
            <w:vAlign w:val="bottom"/>
            <w:shd w:val="clear" w:color="auto" w:fill="376DB5"/>
          </w:tcPr>
          <w:p>
            <w:pPr>
              <w:spacing w:after="0"/>
              <w:rPr>
                <w:sz w:val="10"/>
                <w:szCs w:val="10"/>
                <w:color w:val="auto"/>
              </w:rPr>
            </w:pPr>
          </w:p>
        </w:tc>
        <w:tc>
          <w:tcPr>
            <w:tcW w:w="1740" w:type="dxa"/>
            <w:vAlign w:val="bottom"/>
            <w:shd w:val="clear" w:color="auto" w:fill="F2F2F2"/>
          </w:tcPr>
          <w:p>
            <w:pPr>
              <w:spacing w:after="0"/>
              <w:rPr>
                <w:sz w:val="10"/>
                <w:szCs w:val="10"/>
                <w:color w:val="auto"/>
              </w:rPr>
            </w:pPr>
          </w:p>
        </w:tc>
        <w:tc>
          <w:tcPr>
            <w:tcW w:w="20" w:type="dxa"/>
            <w:vAlign w:val="bottom"/>
            <w:shd w:val="clear" w:color="auto" w:fill="376DB5"/>
          </w:tcPr>
          <w:p>
            <w:pPr>
              <w:spacing w:after="0"/>
              <w:rPr>
                <w:sz w:val="10"/>
                <w:szCs w:val="10"/>
                <w:color w:val="auto"/>
              </w:rPr>
            </w:pPr>
          </w:p>
        </w:tc>
        <w:tc>
          <w:tcPr>
            <w:tcW w:w="1720" w:type="dxa"/>
            <w:vAlign w:val="bottom"/>
            <w:shd w:val="clear" w:color="auto" w:fill="F2F2F2"/>
          </w:tcPr>
          <w:p>
            <w:pPr>
              <w:spacing w:after="0"/>
              <w:rPr>
                <w:sz w:val="10"/>
                <w:szCs w:val="10"/>
                <w:color w:val="auto"/>
              </w:rPr>
            </w:pPr>
          </w:p>
        </w:tc>
        <w:tc>
          <w:tcPr>
            <w:tcW w:w="20" w:type="dxa"/>
            <w:vAlign w:val="bottom"/>
            <w:shd w:val="clear" w:color="auto" w:fill="376DB5"/>
          </w:tcPr>
          <w:p>
            <w:pPr>
              <w:spacing w:after="0"/>
              <w:rPr>
                <w:sz w:val="10"/>
                <w:szCs w:val="10"/>
                <w:color w:val="auto"/>
              </w:rPr>
            </w:pPr>
          </w:p>
        </w:tc>
        <w:tc>
          <w:tcPr>
            <w:tcW w:w="1740" w:type="dxa"/>
            <w:vAlign w:val="bottom"/>
            <w:shd w:val="clear" w:color="auto" w:fill="F2F2F2"/>
          </w:tcPr>
          <w:p>
            <w:pPr>
              <w:spacing w:after="0"/>
              <w:rPr>
                <w:sz w:val="10"/>
                <w:szCs w:val="10"/>
                <w:color w:val="auto"/>
              </w:rPr>
            </w:pPr>
          </w:p>
        </w:tc>
        <w:tc>
          <w:tcPr>
            <w:tcW w:w="20" w:type="dxa"/>
            <w:vAlign w:val="bottom"/>
            <w:shd w:val="clear" w:color="auto" w:fill="376DB5"/>
          </w:tcPr>
          <w:p>
            <w:pPr>
              <w:spacing w:after="0"/>
              <w:rPr>
                <w:sz w:val="10"/>
                <w:szCs w:val="10"/>
                <w:color w:val="auto"/>
              </w:rPr>
            </w:pPr>
          </w:p>
        </w:tc>
        <w:tc>
          <w:tcPr>
            <w:tcW w:w="196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40" w:type="dxa"/>
            <w:vAlign w:val="bottom"/>
            <w:tcBorders>
              <w:right w:val="single" w:sz="8" w:color="F2F2F2"/>
            </w:tcBorders>
            <w:shd w:val="clear" w:color="auto" w:fill="F2F2F2"/>
          </w:tcPr>
          <w:p>
            <w:pPr>
              <w:spacing w:after="0"/>
              <w:rPr>
                <w:sz w:val="24"/>
                <w:szCs w:val="24"/>
                <w:color w:val="auto"/>
              </w:rPr>
            </w:pPr>
          </w:p>
        </w:tc>
        <w:tc>
          <w:tcPr>
            <w:tcW w:w="100" w:type="dxa"/>
            <w:vAlign w:val="bottom"/>
            <w:shd w:val="clear" w:color="auto" w:fill="F2F2F2"/>
          </w:tcPr>
          <w:p>
            <w:pPr>
              <w:spacing w:after="0"/>
              <w:rPr>
                <w:sz w:val="24"/>
                <w:szCs w:val="24"/>
                <w:color w:val="auto"/>
              </w:rPr>
            </w:pPr>
          </w:p>
        </w:tc>
        <w:tc>
          <w:tcPr>
            <w:tcW w:w="1520" w:type="dxa"/>
            <w:vAlign w:val="bottom"/>
            <w:shd w:val="clear" w:color="auto" w:fill="F2F2F2"/>
          </w:tcPr>
          <w:p>
            <w:pPr>
              <w:spacing w:after="0"/>
              <w:rPr>
                <w:sz w:val="24"/>
                <w:szCs w:val="24"/>
                <w:color w:val="auto"/>
              </w:rPr>
            </w:pPr>
          </w:p>
        </w:tc>
        <w:tc>
          <w:tcPr>
            <w:tcW w:w="240" w:type="dxa"/>
            <w:vAlign w:val="bottom"/>
            <w:shd w:val="clear" w:color="auto" w:fill="F2F2F2"/>
          </w:tcPr>
          <w:p>
            <w:pPr>
              <w:spacing w:after="0"/>
              <w:rPr>
                <w:sz w:val="24"/>
                <w:szCs w:val="24"/>
                <w:color w:val="auto"/>
              </w:rPr>
            </w:pPr>
          </w:p>
        </w:tc>
        <w:tc>
          <w:tcPr>
            <w:tcW w:w="120" w:type="dxa"/>
            <w:vAlign w:val="bottom"/>
            <w:tcBorders>
              <w:left w:val="single" w:sz="8" w:color="F2F2F2"/>
            </w:tcBorders>
            <w:shd w:val="clear" w:color="auto" w:fill="F2F2F2"/>
          </w:tcPr>
          <w:p>
            <w:pPr>
              <w:spacing w:after="0"/>
              <w:rPr>
                <w:sz w:val="24"/>
                <w:szCs w:val="24"/>
                <w:color w:val="auto"/>
              </w:rPr>
            </w:pPr>
          </w:p>
        </w:tc>
        <w:tc>
          <w:tcPr>
            <w:tcW w:w="1660" w:type="dxa"/>
            <w:vAlign w:val="bottom"/>
            <w:shd w:val="clear" w:color="auto" w:fill="F2F2F2"/>
          </w:tcPr>
          <w:p>
            <w:pPr>
              <w:spacing w:after="0"/>
              <w:rPr>
                <w:sz w:val="24"/>
                <w:szCs w:val="24"/>
                <w:color w:val="auto"/>
              </w:rPr>
            </w:pPr>
          </w:p>
        </w:tc>
        <w:tc>
          <w:tcPr>
            <w:tcW w:w="20" w:type="dxa"/>
            <w:vAlign w:val="bottom"/>
            <w:shd w:val="clear" w:color="auto" w:fill="F2F2F2"/>
          </w:tcPr>
          <w:p>
            <w:pPr>
              <w:spacing w:after="0"/>
              <w:rPr>
                <w:sz w:val="24"/>
                <w:szCs w:val="24"/>
                <w:color w:val="auto"/>
              </w:rPr>
            </w:pPr>
          </w:p>
        </w:tc>
        <w:tc>
          <w:tcPr>
            <w:tcW w:w="1740" w:type="dxa"/>
            <w:vAlign w:val="bottom"/>
            <w:shd w:val="clear" w:color="auto" w:fill="F2F2F2"/>
          </w:tcPr>
          <w:p>
            <w:pPr>
              <w:spacing w:after="0"/>
              <w:rPr>
                <w:sz w:val="24"/>
                <w:szCs w:val="24"/>
                <w:color w:val="auto"/>
              </w:rPr>
            </w:pPr>
          </w:p>
        </w:tc>
        <w:tc>
          <w:tcPr>
            <w:tcW w:w="20" w:type="dxa"/>
            <w:vAlign w:val="bottom"/>
            <w:shd w:val="clear" w:color="auto" w:fill="F2F2F2"/>
          </w:tcPr>
          <w:p>
            <w:pPr>
              <w:spacing w:after="0"/>
              <w:rPr>
                <w:sz w:val="24"/>
                <w:szCs w:val="24"/>
                <w:color w:val="auto"/>
              </w:rPr>
            </w:pPr>
          </w:p>
        </w:tc>
        <w:tc>
          <w:tcPr>
            <w:tcW w:w="1720" w:type="dxa"/>
            <w:vAlign w:val="bottom"/>
            <w:shd w:val="clear" w:color="auto" w:fill="F2F2F2"/>
          </w:tcPr>
          <w:p>
            <w:pPr>
              <w:spacing w:after="0"/>
              <w:rPr>
                <w:sz w:val="24"/>
                <w:szCs w:val="24"/>
                <w:color w:val="auto"/>
              </w:rPr>
            </w:pPr>
          </w:p>
        </w:tc>
        <w:tc>
          <w:tcPr>
            <w:tcW w:w="20" w:type="dxa"/>
            <w:vAlign w:val="bottom"/>
            <w:shd w:val="clear" w:color="auto" w:fill="F2F2F2"/>
          </w:tcPr>
          <w:p>
            <w:pPr>
              <w:spacing w:after="0"/>
              <w:rPr>
                <w:sz w:val="24"/>
                <w:szCs w:val="24"/>
                <w:color w:val="auto"/>
              </w:rPr>
            </w:pPr>
          </w:p>
        </w:tc>
        <w:tc>
          <w:tcPr>
            <w:tcW w:w="1740" w:type="dxa"/>
            <w:vAlign w:val="bottom"/>
            <w:shd w:val="clear" w:color="auto" w:fill="F2F2F2"/>
          </w:tcPr>
          <w:p>
            <w:pPr>
              <w:spacing w:after="0"/>
              <w:rPr>
                <w:sz w:val="24"/>
                <w:szCs w:val="24"/>
                <w:color w:val="auto"/>
              </w:rPr>
            </w:pPr>
          </w:p>
        </w:tc>
        <w:tc>
          <w:tcPr>
            <w:tcW w:w="20" w:type="dxa"/>
            <w:vAlign w:val="bottom"/>
            <w:shd w:val="clear" w:color="auto" w:fill="F2F2F2"/>
          </w:tcPr>
          <w:p>
            <w:pPr>
              <w:spacing w:after="0"/>
              <w:rPr>
                <w:sz w:val="24"/>
                <w:szCs w:val="24"/>
                <w:color w:val="auto"/>
              </w:rPr>
            </w:pPr>
          </w:p>
        </w:tc>
        <w:tc>
          <w:tcPr>
            <w:tcW w:w="196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540" w:hanging="424"/>
        <w:spacing w:after="0"/>
        <w:tabs>
          <w:tab w:leader="none" w:pos="5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Mr. Wehmann’s employment with the Company terminated effective September 5, 2025.</w:t>
      </w:r>
    </w:p>
    <w:p>
      <w:pPr>
        <w:spacing w:after="0" w:line="137"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37</w:t>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Executive Summary</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2025 Performance Highlights</w:t>
      </w:r>
    </w:p>
    <w:p>
      <w:pPr>
        <w:spacing w:after="0" w:line="104" w:lineRule="exact"/>
        <w:rPr>
          <w:sz w:val="20"/>
          <w:szCs w:val="20"/>
          <w:color w:val="auto"/>
        </w:rPr>
      </w:pPr>
    </w:p>
    <w:p>
      <w:pPr>
        <w:jc w:val="both"/>
        <w:ind w:left="120" w:right="20" w:firstLine="551"/>
        <w:spacing w:after="0" w:line="244" w:lineRule="auto"/>
        <w:rPr>
          <w:sz w:val="20"/>
          <w:szCs w:val="20"/>
          <w:color w:val="auto"/>
        </w:rPr>
      </w:pPr>
      <w:r>
        <w:rPr>
          <w:rFonts w:ascii="Arial" w:cs="Arial" w:eastAsia="Arial" w:hAnsi="Arial"/>
          <w:sz w:val="18"/>
          <w:szCs w:val="18"/>
          <w:color w:val="auto"/>
        </w:rPr>
        <w:t>During fiscal 2025, we again delivered record revenues and free cash flow as we continued to focus our strategy and pursue our long-term growth initiatives. We utilized our cash to enhance stockholder value through continued investments in FICO Platform, marketing initiatives for our Scores business and our stock repurchase program. Financial highlights and key measures of our performance that were determined at the beginning of the performance period by our LDCC and applied to determine the 2025 performance of our named executive officers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218440</wp:posOffset>
            </wp:positionV>
            <wp:extent cx="7029450" cy="39262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29450" cy="392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540" w:right="20" w:hanging="424"/>
        <w:spacing w:after="0" w:line="230" w:lineRule="auto"/>
        <w:tabs>
          <w:tab w:leader="none" w:pos="540" w:val="left"/>
        </w:tabs>
        <w:numPr>
          <w:ilvl w:val="0"/>
          <w:numId w:val="40"/>
        </w:numPr>
        <w:rPr>
          <w:rFonts w:ascii="Arial" w:cs="Arial" w:eastAsia="Arial" w:hAnsi="Arial"/>
          <w:sz w:val="11"/>
          <w:szCs w:val="11"/>
          <w:color w:val="auto"/>
        </w:rPr>
      </w:pPr>
      <w:r>
        <w:rPr>
          <w:rFonts w:ascii="Arial" w:cs="Arial" w:eastAsia="Arial" w:hAnsi="Arial"/>
          <w:sz w:val="15"/>
          <w:szCs w:val="15"/>
          <w:color w:val="auto"/>
        </w:rPr>
        <w:t>Adjusted Revenue is the Company’s GAAP revenue as adjusted for any impact on revenues related to acquisitions, divestitures or other events deemed by the LDCC to have been out of management’s control or that may not be indicative of recurring business results and occurring in the measurement year. For fiscal 2025, the LDCC determined that no adjustments to the Company’s GAAP revenue were warranted, and therefore Adjusted Revenue was the same as GAAP revenue.</w:t>
      </w:r>
    </w:p>
    <w:p>
      <w:pPr>
        <w:ind w:left="540" w:right="20" w:hanging="424"/>
        <w:spacing w:after="0" w:line="244" w:lineRule="auto"/>
        <w:tabs>
          <w:tab w:leader="none" w:pos="540" w:val="left"/>
        </w:tabs>
        <w:numPr>
          <w:ilvl w:val="0"/>
          <w:numId w:val="40"/>
        </w:numPr>
        <w:rPr>
          <w:rFonts w:ascii="Arial" w:cs="Arial" w:eastAsia="Arial" w:hAnsi="Arial"/>
          <w:sz w:val="11"/>
          <w:szCs w:val="11"/>
          <w:color w:val="auto"/>
        </w:rPr>
      </w:pPr>
      <w:r>
        <w:rPr>
          <w:rFonts w:ascii="Arial" w:cs="Arial" w:eastAsia="Arial" w:hAnsi="Arial"/>
          <w:sz w:val="15"/>
          <w:szCs w:val="15"/>
          <w:color w:val="auto"/>
        </w:rPr>
        <w:t xml:space="preserve">Adjusted EBITDA is a non-GAAP financial measure and is defined as GAAP net income, adjusted for certain items. See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to this proxy statement for a reconciliation of Adjusted EBITDA to GAAP net income, the most directly comparable GAAP financial measure.</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38</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2025 Compensation Highlights</w:t>
      </w:r>
    </w:p>
    <w:p>
      <w:pPr>
        <w:spacing w:after="0" w:line="104" w:lineRule="exact"/>
        <w:rPr>
          <w:sz w:val="20"/>
          <w:szCs w:val="20"/>
          <w:color w:val="auto"/>
        </w:rPr>
      </w:pPr>
    </w:p>
    <w:p>
      <w:pPr>
        <w:jc w:val="both"/>
        <w:ind w:left="120" w:firstLine="551"/>
        <w:spacing w:after="0" w:line="244" w:lineRule="auto"/>
        <w:rPr>
          <w:sz w:val="20"/>
          <w:szCs w:val="20"/>
          <w:color w:val="auto"/>
        </w:rPr>
      </w:pPr>
      <w:r>
        <w:rPr>
          <w:rFonts w:ascii="Arial" w:cs="Arial" w:eastAsia="Arial" w:hAnsi="Arial"/>
          <w:sz w:val="18"/>
          <w:szCs w:val="18"/>
          <w:color w:val="auto"/>
        </w:rPr>
        <w:t>Our compensation program is designed to operate effectively across business conditions and to support our pay-for-performance philosophy, emphasizing variable and long-term incentive opportunities that align our named executive officers’ financial interests with those of our stockholders. Consistent with this emphasis, base salaries remained flat for all named executives for fiscal 2025. While the core design of our program remained largely consistent with prior years, after considering stockholder feedback as detailed in the proxy statement for our 2025 annual meeting of stockholders, the LDCC made a number of enhancements to our program for fiscal 2025:</w:t>
      </w:r>
    </w:p>
    <w:p>
      <w:pPr>
        <w:spacing w:after="0" w:line="200" w:lineRule="exact"/>
        <w:rPr>
          <w:sz w:val="20"/>
          <w:szCs w:val="20"/>
          <w:color w:val="auto"/>
        </w:rPr>
      </w:pP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349"/>
        </w:trPr>
        <w:tc>
          <w:tcPr>
            <w:tcW w:w="252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376DB5"/>
                <w:w w:val="99"/>
              </w:rPr>
              <w:t>Fiscal 2024</w:t>
            </w:r>
          </w:p>
        </w:tc>
        <w:tc>
          <w:tcPr>
            <w:tcW w:w="5640" w:type="dxa"/>
            <w:vAlign w:val="bottom"/>
          </w:tcPr>
          <w:p>
            <w:pPr>
              <w:spacing w:after="0"/>
              <w:rPr>
                <w:sz w:val="24"/>
                <w:szCs w:val="24"/>
                <w:color w:val="auto"/>
              </w:rPr>
            </w:pPr>
          </w:p>
        </w:tc>
        <w:tc>
          <w:tcPr>
            <w:tcW w:w="200" w:type="dxa"/>
            <w:vAlign w:val="bottom"/>
            <w:shd w:val="clear" w:color="auto" w:fill="F2F2F2"/>
          </w:tcPr>
          <w:p>
            <w:pPr>
              <w:spacing w:after="0"/>
              <w:rPr>
                <w:sz w:val="24"/>
                <w:szCs w:val="24"/>
                <w:color w:val="auto"/>
              </w:rPr>
            </w:pPr>
          </w:p>
        </w:tc>
        <w:tc>
          <w:tcPr>
            <w:tcW w:w="222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376DB5"/>
                <w:w w:val="99"/>
              </w:rPr>
              <w:t>Fiscal 2025</w:t>
            </w:r>
          </w:p>
        </w:tc>
        <w:tc>
          <w:tcPr>
            <w:tcW w:w="0" w:type="dxa"/>
            <w:vAlign w:val="bottom"/>
          </w:tcPr>
          <w:p>
            <w:pPr>
              <w:spacing w:after="0"/>
              <w:rPr>
                <w:sz w:val="1"/>
                <w:szCs w:val="1"/>
                <w:color w:val="auto"/>
              </w:rPr>
            </w:pPr>
          </w:p>
        </w:tc>
      </w:tr>
      <w:tr>
        <w:trPr>
          <w:trHeight w:val="150"/>
        </w:trPr>
        <w:tc>
          <w:tcPr>
            <w:tcW w:w="2520" w:type="dxa"/>
            <w:vAlign w:val="bottom"/>
            <w:tcBorders>
              <w:bottom w:val="single" w:sz="8" w:color="376DB5"/>
            </w:tcBorders>
            <w:shd w:val="clear" w:color="auto" w:fill="F2F2F2"/>
          </w:tcPr>
          <w:p>
            <w:pPr>
              <w:spacing w:after="0"/>
              <w:rPr>
                <w:sz w:val="13"/>
                <w:szCs w:val="13"/>
                <w:color w:val="auto"/>
              </w:rPr>
            </w:pPr>
          </w:p>
        </w:tc>
        <w:tc>
          <w:tcPr>
            <w:tcW w:w="5640" w:type="dxa"/>
            <w:vAlign w:val="bottom"/>
            <w:tcBorders>
              <w:bottom w:val="single" w:sz="8" w:color="376DB5"/>
            </w:tcBorders>
          </w:tcPr>
          <w:p>
            <w:pPr>
              <w:spacing w:after="0"/>
              <w:rPr>
                <w:sz w:val="13"/>
                <w:szCs w:val="13"/>
                <w:color w:val="auto"/>
              </w:rPr>
            </w:pPr>
          </w:p>
        </w:tc>
        <w:tc>
          <w:tcPr>
            <w:tcW w:w="200" w:type="dxa"/>
            <w:vAlign w:val="bottom"/>
            <w:tcBorders>
              <w:bottom w:val="single" w:sz="8" w:color="376DB5"/>
            </w:tcBorders>
            <w:shd w:val="clear" w:color="auto" w:fill="F2F2F2"/>
          </w:tcPr>
          <w:p>
            <w:pPr>
              <w:spacing w:after="0"/>
              <w:rPr>
                <w:sz w:val="13"/>
                <w:szCs w:val="13"/>
                <w:color w:val="auto"/>
              </w:rPr>
            </w:pPr>
          </w:p>
        </w:tc>
        <w:tc>
          <w:tcPr>
            <w:tcW w:w="2220" w:type="dxa"/>
            <w:vAlign w:val="bottom"/>
            <w:tcBorders>
              <w:bottom w:val="single" w:sz="8" w:color="376DB5"/>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397"/>
        </w:trPr>
        <w:tc>
          <w:tcPr>
            <w:tcW w:w="2520" w:type="dxa"/>
            <w:vAlign w:val="bottom"/>
            <w:shd w:val="clear" w:color="auto" w:fill="F2F2F2"/>
          </w:tcPr>
          <w:p>
            <w:pPr>
              <w:spacing w:after="0"/>
              <w:rPr>
                <w:sz w:val="24"/>
                <w:szCs w:val="24"/>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376DB5"/>
                <w:w w:val="98"/>
              </w:rPr>
              <w:t>Short-Term Cash Incentives</w:t>
            </w:r>
          </w:p>
        </w:tc>
        <w:tc>
          <w:tcPr>
            <w:tcW w:w="200" w:type="dxa"/>
            <w:vAlign w:val="bottom"/>
            <w:shd w:val="clear" w:color="auto" w:fill="F2F2F2"/>
          </w:tcPr>
          <w:p>
            <w:pPr>
              <w:spacing w:after="0"/>
              <w:rPr>
                <w:sz w:val="24"/>
                <w:szCs w:val="24"/>
                <w:color w:val="auto"/>
              </w:rPr>
            </w:pPr>
          </w:p>
        </w:tc>
        <w:tc>
          <w:tcPr>
            <w:tcW w:w="222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252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9"/>
              </w:rPr>
              <w:t>200%</w:t>
            </w:r>
          </w:p>
        </w:tc>
        <w:tc>
          <w:tcPr>
            <w:tcW w:w="5640" w:type="dxa"/>
            <w:vAlign w:val="bottom"/>
          </w:tcPr>
          <w:p>
            <w:pPr>
              <w:jc w:val="center"/>
              <w:spacing w:after="0"/>
              <w:rPr>
                <w:sz w:val="20"/>
                <w:szCs w:val="20"/>
                <w:color w:val="auto"/>
              </w:rPr>
            </w:pPr>
            <w:r>
              <w:rPr>
                <w:rFonts w:ascii="Arial" w:cs="Arial" w:eastAsia="Arial" w:hAnsi="Arial"/>
                <w:sz w:val="18"/>
                <w:szCs w:val="18"/>
                <w:color w:val="auto"/>
                <w:w w:val="99"/>
              </w:rPr>
              <w:t>Decreased the maximum performance achievable under the</w:t>
            </w:r>
          </w:p>
        </w:tc>
        <w:tc>
          <w:tcPr>
            <w:tcW w:w="200" w:type="dxa"/>
            <w:vAlign w:val="bottom"/>
            <w:shd w:val="clear" w:color="auto" w:fill="F2F2F2"/>
          </w:tcPr>
          <w:p>
            <w:pPr>
              <w:spacing w:after="0"/>
              <w:rPr>
                <w:sz w:val="24"/>
                <w:szCs w:val="24"/>
                <w:color w:val="auto"/>
              </w:rPr>
            </w:pPr>
          </w:p>
        </w:tc>
        <w:tc>
          <w:tcPr>
            <w:tcW w:w="222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131"/>
        </w:trPr>
        <w:tc>
          <w:tcPr>
            <w:tcW w:w="2520" w:type="dxa"/>
            <w:vAlign w:val="bottom"/>
            <w:vMerge w:val="continue"/>
            <w:shd w:val="clear" w:color="auto" w:fill="F2F2F2"/>
          </w:tcPr>
          <w:p>
            <w:pPr>
              <w:spacing w:after="0"/>
              <w:rPr>
                <w:sz w:val="11"/>
                <w:szCs w:val="11"/>
                <w:color w:val="auto"/>
              </w:rPr>
            </w:pPr>
          </w:p>
        </w:tc>
        <w:tc>
          <w:tcPr>
            <w:tcW w:w="5640" w:type="dxa"/>
            <w:vAlign w:val="bottom"/>
            <w:vMerge w:val="restart"/>
          </w:tcPr>
          <w:p>
            <w:pPr>
              <w:jc w:val="center"/>
              <w:spacing w:after="0"/>
              <w:rPr>
                <w:sz w:val="20"/>
                <w:szCs w:val="20"/>
                <w:color w:val="auto"/>
              </w:rPr>
            </w:pPr>
            <w:r>
              <w:rPr>
                <w:rFonts w:ascii="Arial" w:cs="Arial" w:eastAsia="Arial" w:hAnsi="Arial"/>
                <w:sz w:val="18"/>
                <w:szCs w:val="18"/>
                <w:color w:val="auto"/>
                <w:w w:val="99"/>
              </w:rPr>
              <w:t>participant performance factor component</w:t>
            </w:r>
          </w:p>
        </w:tc>
        <w:tc>
          <w:tcPr>
            <w:tcW w:w="200" w:type="dxa"/>
            <w:vAlign w:val="bottom"/>
            <w:shd w:val="clear" w:color="auto" w:fill="F2F2F2"/>
          </w:tcPr>
          <w:p>
            <w:pPr>
              <w:spacing w:after="0"/>
              <w:rPr>
                <w:sz w:val="11"/>
                <w:szCs w:val="11"/>
                <w:color w:val="auto"/>
              </w:rPr>
            </w:pPr>
          </w:p>
        </w:tc>
        <w:tc>
          <w:tcPr>
            <w:tcW w:w="2220" w:type="dxa"/>
            <w:vAlign w:val="bottom"/>
            <w:vMerge w:val="continue"/>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F2F2F2"/>
          </w:tcPr>
          <w:p>
            <w:pPr>
              <w:spacing w:after="0"/>
              <w:rPr>
                <w:sz w:val="9"/>
                <w:szCs w:val="9"/>
                <w:color w:val="auto"/>
              </w:rPr>
            </w:pPr>
          </w:p>
        </w:tc>
        <w:tc>
          <w:tcPr>
            <w:tcW w:w="5640" w:type="dxa"/>
            <w:vAlign w:val="bottom"/>
            <w:vMerge w:val="continue"/>
          </w:tcPr>
          <w:p>
            <w:pPr>
              <w:spacing w:after="0"/>
              <w:rPr>
                <w:sz w:val="9"/>
                <w:szCs w:val="9"/>
                <w:color w:val="auto"/>
              </w:rPr>
            </w:pPr>
          </w:p>
        </w:tc>
        <w:tc>
          <w:tcPr>
            <w:tcW w:w="200" w:type="dxa"/>
            <w:vAlign w:val="bottom"/>
            <w:shd w:val="clear" w:color="auto" w:fill="F2F2F2"/>
          </w:tcPr>
          <w:p>
            <w:pPr>
              <w:spacing w:after="0"/>
              <w:rPr>
                <w:sz w:val="9"/>
                <w:szCs w:val="9"/>
                <w:color w:val="auto"/>
              </w:rPr>
            </w:pPr>
          </w:p>
        </w:tc>
        <w:tc>
          <w:tcPr>
            <w:tcW w:w="222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480"/>
        </w:trPr>
        <w:tc>
          <w:tcPr>
            <w:tcW w:w="2520" w:type="dxa"/>
            <w:vAlign w:val="bottom"/>
            <w:shd w:val="clear" w:color="auto" w:fill="F2F2F2"/>
          </w:tcPr>
          <w:p>
            <w:pPr>
              <w:spacing w:after="0"/>
              <w:rPr>
                <w:sz w:val="24"/>
                <w:szCs w:val="24"/>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376DB5"/>
                <w:w w:val="98"/>
              </w:rPr>
              <w:t>Long-Term Incentives</w:t>
            </w:r>
          </w:p>
        </w:tc>
        <w:tc>
          <w:tcPr>
            <w:tcW w:w="200" w:type="dxa"/>
            <w:vAlign w:val="bottom"/>
            <w:shd w:val="clear" w:color="auto" w:fill="F2F2F2"/>
          </w:tcPr>
          <w:p>
            <w:pPr>
              <w:spacing w:after="0"/>
              <w:rPr>
                <w:sz w:val="24"/>
                <w:szCs w:val="24"/>
                <w:color w:val="auto"/>
              </w:rPr>
            </w:pPr>
          </w:p>
        </w:tc>
        <w:tc>
          <w:tcPr>
            <w:tcW w:w="222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252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rPr>
              <w:t>Russell 3000 Index</w:t>
            </w:r>
          </w:p>
        </w:tc>
        <w:tc>
          <w:tcPr>
            <w:tcW w:w="5640" w:type="dxa"/>
            <w:vAlign w:val="bottom"/>
          </w:tcPr>
          <w:p>
            <w:pPr>
              <w:jc w:val="center"/>
              <w:spacing w:after="0"/>
              <w:rPr>
                <w:sz w:val="20"/>
                <w:szCs w:val="20"/>
                <w:color w:val="auto"/>
              </w:rPr>
            </w:pPr>
            <w:r>
              <w:rPr>
                <w:rFonts w:ascii="Arial" w:cs="Arial" w:eastAsia="Arial" w:hAnsi="Arial"/>
                <w:sz w:val="18"/>
                <w:szCs w:val="18"/>
                <w:color w:val="auto"/>
                <w:w w:val="99"/>
              </w:rPr>
              <w:t>Updated MSU comparator group used to measure relative total</w:t>
            </w:r>
          </w:p>
        </w:tc>
        <w:tc>
          <w:tcPr>
            <w:tcW w:w="200" w:type="dxa"/>
            <w:vAlign w:val="bottom"/>
            <w:shd w:val="clear" w:color="auto" w:fill="F2F2F2"/>
          </w:tcPr>
          <w:p>
            <w:pPr>
              <w:spacing w:after="0"/>
              <w:rPr>
                <w:sz w:val="24"/>
                <w:szCs w:val="24"/>
                <w:color w:val="auto"/>
              </w:rPr>
            </w:pPr>
          </w:p>
        </w:tc>
        <w:tc>
          <w:tcPr>
            <w:tcW w:w="222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9"/>
              </w:rPr>
              <w:t>S&amp;P 500 Index</w:t>
            </w:r>
          </w:p>
        </w:tc>
        <w:tc>
          <w:tcPr>
            <w:tcW w:w="0" w:type="dxa"/>
            <w:vAlign w:val="bottom"/>
          </w:tcPr>
          <w:p>
            <w:pPr>
              <w:spacing w:after="0"/>
              <w:rPr>
                <w:sz w:val="1"/>
                <w:szCs w:val="1"/>
                <w:color w:val="auto"/>
              </w:rPr>
            </w:pPr>
          </w:p>
        </w:tc>
      </w:tr>
      <w:tr>
        <w:trPr>
          <w:trHeight w:val="131"/>
        </w:trPr>
        <w:tc>
          <w:tcPr>
            <w:tcW w:w="2520" w:type="dxa"/>
            <w:vAlign w:val="bottom"/>
            <w:vMerge w:val="continue"/>
            <w:shd w:val="clear" w:color="auto" w:fill="F2F2F2"/>
          </w:tcPr>
          <w:p>
            <w:pPr>
              <w:spacing w:after="0"/>
              <w:rPr>
                <w:sz w:val="11"/>
                <w:szCs w:val="11"/>
                <w:color w:val="auto"/>
              </w:rPr>
            </w:pPr>
          </w:p>
        </w:tc>
        <w:tc>
          <w:tcPr>
            <w:tcW w:w="5640" w:type="dxa"/>
            <w:vAlign w:val="bottom"/>
            <w:vMerge w:val="restart"/>
          </w:tcPr>
          <w:p>
            <w:pPr>
              <w:jc w:val="center"/>
              <w:spacing w:after="0"/>
              <w:rPr>
                <w:sz w:val="20"/>
                <w:szCs w:val="20"/>
                <w:color w:val="auto"/>
              </w:rPr>
            </w:pPr>
            <w:r>
              <w:rPr>
                <w:rFonts w:ascii="Arial" w:cs="Arial" w:eastAsia="Arial" w:hAnsi="Arial"/>
                <w:sz w:val="18"/>
                <w:szCs w:val="18"/>
                <w:color w:val="auto"/>
                <w:w w:val="99"/>
              </w:rPr>
              <w:t>shareholder return (“rTSR”) performance</w:t>
            </w:r>
          </w:p>
        </w:tc>
        <w:tc>
          <w:tcPr>
            <w:tcW w:w="200" w:type="dxa"/>
            <w:vAlign w:val="bottom"/>
            <w:shd w:val="clear" w:color="auto" w:fill="F2F2F2"/>
          </w:tcPr>
          <w:p>
            <w:pPr>
              <w:spacing w:after="0"/>
              <w:rPr>
                <w:sz w:val="11"/>
                <w:szCs w:val="11"/>
                <w:color w:val="auto"/>
              </w:rPr>
            </w:pPr>
          </w:p>
        </w:tc>
        <w:tc>
          <w:tcPr>
            <w:tcW w:w="2220" w:type="dxa"/>
            <w:vAlign w:val="bottom"/>
            <w:vMerge w:val="continue"/>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F2F2F2"/>
          </w:tcPr>
          <w:p>
            <w:pPr>
              <w:spacing w:after="0"/>
              <w:rPr>
                <w:sz w:val="9"/>
                <w:szCs w:val="9"/>
                <w:color w:val="auto"/>
              </w:rPr>
            </w:pPr>
          </w:p>
        </w:tc>
        <w:tc>
          <w:tcPr>
            <w:tcW w:w="5640" w:type="dxa"/>
            <w:vAlign w:val="bottom"/>
            <w:vMerge w:val="continue"/>
          </w:tcPr>
          <w:p>
            <w:pPr>
              <w:spacing w:after="0"/>
              <w:rPr>
                <w:sz w:val="9"/>
                <w:szCs w:val="9"/>
                <w:color w:val="auto"/>
              </w:rPr>
            </w:pPr>
          </w:p>
        </w:tc>
        <w:tc>
          <w:tcPr>
            <w:tcW w:w="200" w:type="dxa"/>
            <w:vAlign w:val="bottom"/>
            <w:shd w:val="clear" w:color="auto" w:fill="F2F2F2"/>
          </w:tcPr>
          <w:p>
            <w:pPr>
              <w:spacing w:after="0"/>
              <w:rPr>
                <w:sz w:val="9"/>
                <w:szCs w:val="9"/>
                <w:color w:val="auto"/>
              </w:rPr>
            </w:pPr>
          </w:p>
        </w:tc>
        <w:tc>
          <w:tcPr>
            <w:tcW w:w="222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436"/>
        </w:trPr>
        <w:tc>
          <w:tcPr>
            <w:tcW w:w="252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9"/>
              </w:rPr>
              <w:t>Index average</w:t>
            </w:r>
          </w:p>
        </w:tc>
        <w:tc>
          <w:tcPr>
            <w:tcW w:w="5640" w:type="dxa"/>
            <w:vAlign w:val="bottom"/>
          </w:tcPr>
          <w:p>
            <w:pPr>
              <w:jc w:val="center"/>
              <w:spacing w:after="0"/>
              <w:rPr>
                <w:sz w:val="20"/>
                <w:szCs w:val="20"/>
                <w:color w:val="auto"/>
              </w:rPr>
            </w:pPr>
            <w:r>
              <w:rPr>
                <w:rFonts w:ascii="Arial" w:cs="Arial" w:eastAsia="Arial" w:hAnsi="Arial"/>
                <w:sz w:val="18"/>
                <w:szCs w:val="18"/>
                <w:color w:val="auto"/>
              </w:rPr>
              <w:t>Enhanced comparative performance level required to</w:t>
            </w:r>
          </w:p>
        </w:tc>
        <w:tc>
          <w:tcPr>
            <w:tcW w:w="200" w:type="dxa"/>
            <w:vAlign w:val="bottom"/>
            <w:shd w:val="clear" w:color="auto" w:fill="F2F2F2"/>
          </w:tcPr>
          <w:p>
            <w:pPr>
              <w:spacing w:after="0"/>
              <w:rPr>
                <w:sz w:val="24"/>
                <w:szCs w:val="24"/>
                <w:color w:val="auto"/>
              </w:rPr>
            </w:pPr>
          </w:p>
        </w:tc>
        <w:tc>
          <w:tcPr>
            <w:tcW w:w="22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55th percentile of the</w:t>
            </w:r>
          </w:p>
        </w:tc>
        <w:tc>
          <w:tcPr>
            <w:tcW w:w="0" w:type="dxa"/>
            <w:vAlign w:val="bottom"/>
          </w:tcPr>
          <w:p>
            <w:pPr>
              <w:spacing w:after="0"/>
              <w:rPr>
                <w:sz w:val="1"/>
                <w:szCs w:val="1"/>
                <w:color w:val="auto"/>
              </w:rPr>
            </w:pPr>
          </w:p>
        </w:tc>
      </w:tr>
      <w:tr>
        <w:trPr>
          <w:trHeight w:val="131"/>
        </w:trPr>
        <w:tc>
          <w:tcPr>
            <w:tcW w:w="2520" w:type="dxa"/>
            <w:vAlign w:val="bottom"/>
            <w:vMerge w:val="continue"/>
            <w:shd w:val="clear" w:color="auto" w:fill="F2F2F2"/>
          </w:tcPr>
          <w:p>
            <w:pPr>
              <w:spacing w:after="0"/>
              <w:rPr>
                <w:sz w:val="11"/>
                <w:szCs w:val="11"/>
                <w:color w:val="auto"/>
              </w:rPr>
            </w:pPr>
          </w:p>
        </w:tc>
        <w:tc>
          <w:tcPr>
            <w:tcW w:w="5640" w:type="dxa"/>
            <w:vAlign w:val="bottom"/>
            <w:vMerge w:val="restart"/>
          </w:tcPr>
          <w:p>
            <w:pPr>
              <w:jc w:val="center"/>
              <w:spacing w:after="0"/>
              <w:rPr>
                <w:sz w:val="20"/>
                <w:szCs w:val="20"/>
                <w:color w:val="auto"/>
              </w:rPr>
            </w:pPr>
            <w:r>
              <w:rPr>
                <w:rFonts w:ascii="Arial" w:cs="Arial" w:eastAsia="Arial" w:hAnsi="Arial"/>
                <w:sz w:val="18"/>
                <w:szCs w:val="18"/>
                <w:color w:val="auto"/>
                <w:w w:val="99"/>
              </w:rPr>
              <w:t>earn target MSU award opportunity</w:t>
            </w:r>
          </w:p>
        </w:tc>
        <w:tc>
          <w:tcPr>
            <w:tcW w:w="200" w:type="dxa"/>
            <w:vAlign w:val="bottom"/>
            <w:shd w:val="clear" w:color="auto" w:fill="F2F2F2"/>
          </w:tcPr>
          <w:p>
            <w:pPr>
              <w:spacing w:after="0"/>
              <w:rPr>
                <w:sz w:val="11"/>
                <w:szCs w:val="11"/>
                <w:color w:val="auto"/>
              </w:rPr>
            </w:pPr>
          </w:p>
        </w:tc>
        <w:tc>
          <w:tcPr>
            <w:tcW w:w="222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9"/>
              </w:rPr>
              <w:t>Index</w:t>
            </w:r>
          </w:p>
        </w:tc>
        <w:tc>
          <w:tcPr>
            <w:tcW w:w="0" w:type="dxa"/>
            <w:vAlign w:val="bottom"/>
          </w:tcPr>
          <w:p>
            <w:pPr>
              <w:spacing w:after="0"/>
              <w:rPr>
                <w:sz w:val="1"/>
                <w:szCs w:val="1"/>
                <w:color w:val="auto"/>
              </w:rPr>
            </w:pPr>
          </w:p>
        </w:tc>
      </w:tr>
      <w:tr>
        <w:trPr>
          <w:trHeight w:val="108"/>
        </w:trPr>
        <w:tc>
          <w:tcPr>
            <w:tcW w:w="2520" w:type="dxa"/>
            <w:vAlign w:val="bottom"/>
            <w:shd w:val="clear" w:color="auto" w:fill="F2F2F2"/>
          </w:tcPr>
          <w:p>
            <w:pPr>
              <w:spacing w:after="0"/>
              <w:rPr>
                <w:sz w:val="9"/>
                <w:szCs w:val="9"/>
                <w:color w:val="auto"/>
              </w:rPr>
            </w:pPr>
          </w:p>
        </w:tc>
        <w:tc>
          <w:tcPr>
            <w:tcW w:w="5640" w:type="dxa"/>
            <w:vAlign w:val="bottom"/>
            <w:vMerge w:val="continue"/>
          </w:tcPr>
          <w:p>
            <w:pPr>
              <w:spacing w:after="0"/>
              <w:rPr>
                <w:sz w:val="9"/>
                <w:szCs w:val="9"/>
                <w:color w:val="auto"/>
              </w:rPr>
            </w:pPr>
          </w:p>
        </w:tc>
        <w:tc>
          <w:tcPr>
            <w:tcW w:w="200" w:type="dxa"/>
            <w:vAlign w:val="bottom"/>
            <w:shd w:val="clear" w:color="auto" w:fill="F2F2F2"/>
          </w:tcPr>
          <w:p>
            <w:pPr>
              <w:spacing w:after="0"/>
              <w:rPr>
                <w:sz w:val="9"/>
                <w:szCs w:val="9"/>
                <w:color w:val="auto"/>
              </w:rPr>
            </w:pPr>
          </w:p>
        </w:tc>
        <w:tc>
          <w:tcPr>
            <w:tcW w:w="222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520" w:type="dxa"/>
            <w:vAlign w:val="bottom"/>
            <w:tcBorders>
              <w:bottom w:val="single" w:sz="8" w:color="376DB5"/>
            </w:tcBorders>
            <w:shd w:val="clear" w:color="auto" w:fill="F2F2F2"/>
          </w:tcPr>
          <w:p>
            <w:pPr>
              <w:spacing w:after="0"/>
              <w:rPr>
                <w:sz w:val="10"/>
                <w:szCs w:val="10"/>
                <w:color w:val="auto"/>
              </w:rPr>
            </w:pPr>
          </w:p>
        </w:tc>
        <w:tc>
          <w:tcPr>
            <w:tcW w:w="5640" w:type="dxa"/>
            <w:vAlign w:val="bottom"/>
            <w:tcBorders>
              <w:bottom w:val="single" w:sz="8" w:color="376DB5"/>
            </w:tcBorders>
          </w:tcPr>
          <w:p>
            <w:pPr>
              <w:spacing w:after="0"/>
              <w:rPr>
                <w:sz w:val="10"/>
                <w:szCs w:val="10"/>
                <w:color w:val="auto"/>
              </w:rPr>
            </w:pPr>
          </w:p>
        </w:tc>
        <w:tc>
          <w:tcPr>
            <w:tcW w:w="200" w:type="dxa"/>
            <w:vAlign w:val="bottom"/>
            <w:tcBorders>
              <w:bottom w:val="single" w:sz="8" w:color="376DB5"/>
            </w:tcBorders>
            <w:shd w:val="clear" w:color="auto" w:fill="F2F2F2"/>
          </w:tcPr>
          <w:p>
            <w:pPr>
              <w:spacing w:after="0"/>
              <w:rPr>
                <w:sz w:val="10"/>
                <w:szCs w:val="10"/>
                <w:color w:val="auto"/>
              </w:rPr>
            </w:pPr>
          </w:p>
        </w:tc>
        <w:tc>
          <w:tcPr>
            <w:tcW w:w="2220" w:type="dxa"/>
            <w:vAlign w:val="bottom"/>
            <w:tcBorders>
              <w:bottom w:val="single" w:sz="8" w:color="376DB5"/>
            </w:tcBorders>
            <w:shd w:val="clear" w:color="auto" w:fill="F2F2F2"/>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-448945</wp:posOffset>
            </wp:positionV>
            <wp:extent cx="6737350" cy="336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37350" cy="33655"/>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-877570</wp:posOffset>
            </wp:positionV>
            <wp:extent cx="6737350" cy="336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37350" cy="33655"/>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-1177925</wp:posOffset>
            </wp:positionV>
            <wp:extent cx="6737350" cy="336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37350" cy="33655"/>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-1606550</wp:posOffset>
            </wp:positionV>
            <wp:extent cx="6737350" cy="336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37350" cy="33655"/>
                    </a:xfrm>
                    <a:prstGeom prst="rect">
                      <a:avLst/>
                    </a:prstGeom>
                    <a:noFill/>
                  </pic:spPr>
                </pic:pic>
              </a:graphicData>
            </a:graphic>
          </wp:anchor>
        </w:drawing>
      </w:r>
    </w:p>
    <w:p>
      <w:pPr>
        <w:spacing w:after="0" w:line="177"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The charts below present the mix of total target direct compensation awarded to the NEOs in fiscal 2025 and the performance metrics used across our annual- and long-term incentive programs, which were generally consistent with fiscal 2024, other than the MSU comparator group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616585</wp:posOffset>
            </wp:positionV>
            <wp:extent cx="7029450" cy="32575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029450" cy="32575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39</w:t>
      </w:r>
    </w:p>
    <w:p>
      <w:pPr>
        <w:sectPr>
          <w:pgSz w:w="11900" w:h="16838" w:orient="portrait"/>
          <w:cols w:equalWidth="0" w:num="1">
            <w:col w:w="11140"/>
          </w:cols>
          <w:pgMar w:left="320" w:top="482" w:right="4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5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900" w:type="dxa"/>
            <w:vAlign w:val="bottom"/>
            <w:shd w:val="clear" w:color="auto" w:fill="F2F2F2"/>
          </w:tcPr>
          <w:p>
            <w:pPr>
              <w:ind w:left="20"/>
              <w:spacing w:after="0"/>
              <w:rPr>
                <w:sz w:val="20"/>
                <w:szCs w:val="20"/>
                <w:color w:val="auto"/>
              </w:rPr>
            </w:pPr>
            <w:r>
              <w:rPr>
                <w:rFonts w:ascii="Arial" w:cs="Arial" w:eastAsia="Arial" w:hAnsi="Arial"/>
                <w:sz w:val="18"/>
                <w:szCs w:val="18"/>
                <w:color w:val="auto"/>
              </w:rPr>
              <w:t>Board of</w:t>
            </w:r>
          </w:p>
        </w:tc>
        <w:tc>
          <w:tcPr>
            <w:tcW w:w="1000" w:type="dxa"/>
            <w:vAlign w:val="bottom"/>
            <w:shd w:val="clear" w:color="auto" w:fill="F2F2F2"/>
          </w:tcPr>
          <w:p>
            <w:pPr>
              <w:ind w:left="180"/>
              <w:spacing w:after="0"/>
              <w:rPr>
                <w:sz w:val="20"/>
                <w:szCs w:val="20"/>
                <w:color w:val="auto"/>
              </w:rPr>
            </w:pPr>
            <w:r>
              <w:rPr>
                <w:rFonts w:ascii="Arial" w:cs="Arial" w:eastAsia="Arial" w:hAnsi="Arial"/>
                <w:sz w:val="18"/>
                <w:szCs w:val="18"/>
                <w:color w:val="auto"/>
                <w:w w:val="99"/>
              </w:rPr>
              <w:t>Corporate</w:t>
            </w:r>
          </w:p>
        </w:tc>
        <w:tc>
          <w:tcPr>
            <w:tcW w:w="460" w:type="dxa"/>
            <w:vAlign w:val="bottom"/>
            <w:shd w:val="clear" w:color="auto" w:fill="F2F2F2"/>
          </w:tcPr>
          <w:p>
            <w:pPr>
              <w:spacing w:after="0"/>
              <w:rPr>
                <w:sz w:val="24"/>
                <w:szCs w:val="24"/>
                <w:color w:val="auto"/>
              </w:rPr>
            </w:pP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2980" w:type="dxa"/>
            <w:vAlign w:val="bottom"/>
            <w:gridSpan w:val="2"/>
            <w:shd w:val="clear" w:color="auto" w:fill="F2F2F2"/>
          </w:tcPr>
          <w:p>
            <w:pPr>
              <w:ind w:left="180"/>
              <w:spacing w:after="0"/>
              <w:rPr>
                <w:sz w:val="20"/>
                <w:szCs w:val="20"/>
                <w:color w:val="auto"/>
              </w:rPr>
            </w:pPr>
            <w:r>
              <w:rPr>
                <w:rFonts w:ascii="Arial" w:cs="Arial" w:eastAsia="Arial" w:hAnsi="Arial"/>
                <w:sz w:val="18"/>
                <w:szCs w:val="18"/>
                <w:color w:val="auto"/>
              </w:rPr>
              <w:t>Audit Committee   Charter</w:t>
            </w:r>
          </w:p>
        </w:tc>
        <w:tc>
          <w:tcPr>
            <w:tcW w:w="1240" w:type="dxa"/>
            <w:vAlign w:val="bottom"/>
            <w:shd w:val="clear" w:color="auto" w:fill="F2F2F2"/>
          </w:tcPr>
          <w:p>
            <w:pPr>
              <w:ind w:left="22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03"/>
        </w:trPr>
        <w:tc>
          <w:tcPr>
            <w:tcW w:w="15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rPr>
              <w:t>Summary</w:t>
            </w:r>
          </w:p>
        </w:tc>
        <w:tc>
          <w:tcPr>
            <w:tcW w:w="900" w:type="dxa"/>
            <w:vAlign w:val="bottom"/>
            <w:shd w:val="clear" w:color="auto" w:fill="F2F2F2"/>
          </w:tcPr>
          <w:p>
            <w:pPr>
              <w:ind w:left="20"/>
              <w:spacing w:after="0" w:line="202" w:lineRule="exact"/>
              <w:rPr>
                <w:sz w:val="20"/>
                <w:szCs w:val="20"/>
                <w:color w:val="auto"/>
              </w:rPr>
            </w:pPr>
            <w:r>
              <w:rPr>
                <w:rFonts w:ascii="Arial" w:cs="Arial" w:eastAsia="Arial" w:hAnsi="Arial"/>
                <w:sz w:val="18"/>
                <w:szCs w:val="18"/>
                <w:color w:val="auto"/>
              </w:rPr>
              <w:t>Directors</w:t>
            </w:r>
          </w:p>
        </w:tc>
        <w:tc>
          <w:tcPr>
            <w:tcW w:w="2900" w:type="dxa"/>
            <w:vAlign w:val="bottom"/>
            <w:gridSpan w:val="4"/>
            <w:shd w:val="clear" w:color="auto" w:fill="F2F2F2"/>
          </w:tcPr>
          <w:p>
            <w:pPr>
              <w:ind w:left="180"/>
              <w:spacing w:after="0" w:line="202" w:lineRule="exact"/>
              <w:rPr>
                <w:sz w:val="20"/>
                <w:szCs w:val="20"/>
                <w:color w:val="auto"/>
              </w:rPr>
            </w:pPr>
            <w:r>
              <w:rPr>
                <w:rFonts w:ascii="Arial" w:cs="Arial" w:eastAsia="Arial" w:hAnsi="Arial"/>
                <w:sz w:val="18"/>
                <w:szCs w:val="18"/>
                <w:color w:val="auto"/>
              </w:rPr>
              <w:t xml:space="preserve">Governance   </w:t>
            </w:r>
            <w:r>
              <w:rPr>
                <w:rFonts w:ascii="Arial" w:cs="Arial" w:eastAsia="Arial" w:hAnsi="Arial"/>
                <w:sz w:val="18"/>
                <w:szCs w:val="18"/>
                <w:b w:val="1"/>
                <w:bCs w:val="1"/>
                <w:color w:val="376DB5"/>
              </w:rPr>
              <w:t>Compensation</w:t>
            </w:r>
          </w:p>
        </w:tc>
        <w:tc>
          <w:tcPr>
            <w:tcW w:w="108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900" w:type="dxa"/>
            <w:vAlign w:val="bottom"/>
            <w:shd w:val="clear" w:color="auto" w:fill="F2F2F2"/>
          </w:tcPr>
          <w:p>
            <w:pPr>
              <w:ind w:left="720"/>
              <w:spacing w:after="0" w:line="202" w:lineRule="exact"/>
              <w:rPr>
                <w:sz w:val="20"/>
                <w:szCs w:val="20"/>
                <w:color w:val="auto"/>
              </w:rPr>
            </w:pPr>
            <w:r>
              <w:rPr>
                <w:rFonts w:ascii="Arial" w:cs="Arial" w:eastAsia="Arial" w:hAnsi="Arial"/>
                <w:sz w:val="18"/>
                <w:szCs w:val="18"/>
                <w:color w:val="auto"/>
              </w:rPr>
              <w:t>Amendments</w:t>
            </w:r>
          </w:p>
        </w:tc>
        <w:tc>
          <w:tcPr>
            <w:tcW w:w="1240" w:type="dxa"/>
            <w:vAlign w:val="bottom"/>
            <w:shd w:val="clear" w:color="auto" w:fill="F2F2F2"/>
          </w:tcPr>
          <w:p>
            <w:pPr>
              <w:ind w:left="22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c>
          <w:tcPr>
            <w:tcW w:w="0" w:type="dxa"/>
            <w:vAlign w:val="bottom"/>
          </w:tcPr>
          <w:p>
            <w:pPr>
              <w:spacing w:after="0"/>
              <w:rPr>
                <w:sz w:val="1"/>
                <w:szCs w:val="1"/>
                <w:color w:val="auto"/>
              </w:rPr>
            </w:pPr>
          </w:p>
        </w:tc>
      </w:tr>
      <w:tr>
        <w:trPr>
          <w:trHeight w:val="228"/>
        </w:trPr>
        <w:tc>
          <w:tcPr>
            <w:tcW w:w="1520" w:type="dxa"/>
            <w:vAlign w:val="bottom"/>
            <w:shd w:val="clear" w:color="auto" w:fill="F2F2F2"/>
          </w:tcPr>
          <w:p>
            <w:pPr>
              <w:spacing w:after="0"/>
              <w:rPr>
                <w:sz w:val="19"/>
                <w:szCs w:val="19"/>
                <w:color w:val="auto"/>
              </w:rPr>
            </w:pPr>
          </w:p>
        </w:tc>
        <w:tc>
          <w:tcPr>
            <w:tcW w:w="900" w:type="dxa"/>
            <w:vAlign w:val="bottom"/>
            <w:shd w:val="clear" w:color="auto" w:fill="F2F2F2"/>
          </w:tcPr>
          <w:p>
            <w:pPr>
              <w:spacing w:after="0"/>
              <w:rPr>
                <w:sz w:val="19"/>
                <w:szCs w:val="19"/>
                <w:color w:val="auto"/>
              </w:rPr>
            </w:pPr>
          </w:p>
        </w:tc>
        <w:tc>
          <w:tcPr>
            <w:tcW w:w="1000" w:type="dxa"/>
            <w:vAlign w:val="bottom"/>
            <w:shd w:val="clear" w:color="auto" w:fill="F2F2F2"/>
          </w:tcPr>
          <w:p>
            <w:pPr>
              <w:spacing w:after="0"/>
              <w:rPr>
                <w:sz w:val="19"/>
                <w:szCs w:val="19"/>
                <w:color w:val="auto"/>
              </w:rPr>
            </w:pPr>
          </w:p>
        </w:tc>
        <w:tc>
          <w:tcPr>
            <w:tcW w:w="460" w:type="dxa"/>
            <w:vAlign w:val="bottom"/>
            <w:shd w:val="clear" w:color="auto" w:fill="F2F2F2"/>
          </w:tcPr>
          <w:p>
            <w:pPr>
              <w:spacing w:after="0"/>
              <w:rPr>
                <w:sz w:val="19"/>
                <w:szCs w:val="19"/>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080" w:type="dxa"/>
            <w:vAlign w:val="bottom"/>
            <w:shd w:val="clear" w:color="auto" w:fill="F2F2F2"/>
          </w:tcPr>
          <w:p>
            <w:pPr>
              <w:spacing w:after="0"/>
              <w:rPr>
                <w:sz w:val="19"/>
                <w:szCs w:val="19"/>
                <w:color w:val="auto"/>
              </w:rPr>
            </w:pPr>
          </w:p>
        </w:tc>
        <w:tc>
          <w:tcPr>
            <w:tcW w:w="1900" w:type="dxa"/>
            <w:vAlign w:val="bottom"/>
            <w:shd w:val="clear" w:color="auto" w:fill="F2F2F2"/>
          </w:tcPr>
          <w:p>
            <w:pPr>
              <w:spacing w:after="0"/>
              <w:rPr>
                <w:sz w:val="19"/>
                <w:szCs w:val="19"/>
                <w:color w:val="auto"/>
              </w:rPr>
            </w:pPr>
          </w:p>
        </w:tc>
        <w:tc>
          <w:tcPr>
            <w:tcW w:w="1240" w:type="dxa"/>
            <w:vAlign w:val="bottom"/>
            <w:shd w:val="clear" w:color="auto" w:fill="F2F2F2"/>
          </w:tcPr>
          <w:p>
            <w:pPr>
              <w:spacing w:after="0"/>
              <w:rPr>
                <w:sz w:val="19"/>
                <w:szCs w:val="19"/>
                <w:color w:val="auto"/>
              </w:rPr>
            </w:pPr>
          </w:p>
        </w:tc>
        <w:tc>
          <w:tcPr>
            <w:tcW w:w="148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520" w:type="dxa"/>
            <w:vAlign w:val="bottom"/>
            <w:tcBorders>
              <w:top w:val="single" w:sz="8" w:color="F2F2F2"/>
              <w:bottom w:val="single" w:sz="8" w:color="376DB5"/>
            </w:tcBorders>
          </w:tcPr>
          <w:p>
            <w:pPr>
              <w:spacing w:after="0"/>
              <w:rPr>
                <w:sz w:val="12"/>
                <w:szCs w:val="12"/>
                <w:color w:val="auto"/>
              </w:rPr>
            </w:pPr>
          </w:p>
        </w:tc>
        <w:tc>
          <w:tcPr>
            <w:tcW w:w="900" w:type="dxa"/>
            <w:vAlign w:val="bottom"/>
            <w:tcBorders>
              <w:top w:val="single" w:sz="8" w:color="F2F2F2"/>
              <w:bottom w:val="single" w:sz="8" w:color="376DB5"/>
            </w:tcBorders>
          </w:tcPr>
          <w:p>
            <w:pPr>
              <w:spacing w:after="0"/>
              <w:rPr>
                <w:sz w:val="12"/>
                <w:szCs w:val="12"/>
                <w:color w:val="auto"/>
              </w:rPr>
            </w:pPr>
          </w:p>
        </w:tc>
        <w:tc>
          <w:tcPr>
            <w:tcW w:w="1000" w:type="dxa"/>
            <w:vAlign w:val="bottom"/>
            <w:tcBorders>
              <w:top w:val="single" w:sz="8" w:color="F2F2F2"/>
              <w:bottom w:val="single" w:sz="8" w:color="376DB5"/>
            </w:tcBorders>
          </w:tcPr>
          <w:p>
            <w:pPr>
              <w:spacing w:after="0"/>
              <w:rPr>
                <w:sz w:val="12"/>
                <w:szCs w:val="12"/>
                <w:color w:val="auto"/>
              </w:rPr>
            </w:pPr>
          </w:p>
        </w:tc>
        <w:tc>
          <w:tcPr>
            <w:tcW w:w="460" w:type="dxa"/>
            <w:vAlign w:val="bottom"/>
            <w:tcBorders>
              <w:top w:val="single" w:sz="8" w:color="F2F2F2"/>
              <w:bottom w:val="single" w:sz="8" w:color="376DB5"/>
            </w:tcBorders>
          </w:tcPr>
          <w:p>
            <w:pPr>
              <w:spacing w:after="0"/>
              <w:rPr>
                <w:sz w:val="12"/>
                <w:szCs w:val="12"/>
                <w:color w:val="auto"/>
              </w:rPr>
            </w:pPr>
          </w:p>
        </w:tc>
        <w:tc>
          <w:tcPr>
            <w:tcW w:w="820" w:type="dxa"/>
            <w:vAlign w:val="bottom"/>
            <w:tcBorders>
              <w:top w:val="single" w:sz="8" w:color="376DB5"/>
              <w:bottom w:val="single" w:sz="8" w:color="376DB5"/>
            </w:tcBorders>
          </w:tcPr>
          <w:p>
            <w:pPr>
              <w:spacing w:after="0"/>
              <w:rPr>
                <w:sz w:val="12"/>
                <w:szCs w:val="12"/>
                <w:color w:val="auto"/>
              </w:rPr>
            </w:pPr>
          </w:p>
        </w:tc>
        <w:tc>
          <w:tcPr>
            <w:tcW w:w="620" w:type="dxa"/>
            <w:vAlign w:val="bottom"/>
            <w:tcBorders>
              <w:top w:val="single" w:sz="8" w:color="F2F2F2"/>
              <w:bottom w:val="single" w:sz="8" w:color="376DB5"/>
            </w:tcBorders>
          </w:tcPr>
          <w:p>
            <w:pPr>
              <w:spacing w:after="0"/>
              <w:rPr>
                <w:sz w:val="12"/>
                <w:szCs w:val="12"/>
                <w:color w:val="auto"/>
              </w:rPr>
            </w:pPr>
          </w:p>
        </w:tc>
        <w:tc>
          <w:tcPr>
            <w:tcW w:w="1080" w:type="dxa"/>
            <w:vAlign w:val="bottom"/>
            <w:tcBorders>
              <w:top w:val="single" w:sz="8" w:color="F2F2F2"/>
              <w:bottom w:val="single" w:sz="8" w:color="376DB5"/>
            </w:tcBorders>
          </w:tcPr>
          <w:p>
            <w:pPr>
              <w:spacing w:after="0"/>
              <w:rPr>
                <w:sz w:val="12"/>
                <w:szCs w:val="12"/>
                <w:color w:val="auto"/>
              </w:rPr>
            </w:pPr>
          </w:p>
        </w:tc>
        <w:tc>
          <w:tcPr>
            <w:tcW w:w="1900" w:type="dxa"/>
            <w:vAlign w:val="bottom"/>
            <w:tcBorders>
              <w:top w:val="single" w:sz="8" w:color="F2F2F2"/>
              <w:bottom w:val="single" w:sz="8" w:color="376DB5"/>
            </w:tcBorders>
          </w:tcPr>
          <w:p>
            <w:pPr>
              <w:spacing w:after="0"/>
              <w:rPr>
                <w:sz w:val="12"/>
                <w:szCs w:val="12"/>
                <w:color w:val="auto"/>
              </w:rPr>
            </w:pPr>
          </w:p>
        </w:tc>
        <w:tc>
          <w:tcPr>
            <w:tcW w:w="1240" w:type="dxa"/>
            <w:vAlign w:val="bottom"/>
            <w:tcBorders>
              <w:top w:val="single" w:sz="8" w:color="F2F2F2"/>
              <w:bottom w:val="single" w:sz="8" w:color="376DB5"/>
            </w:tcBorders>
          </w:tcPr>
          <w:p>
            <w:pPr>
              <w:spacing w:after="0"/>
              <w:rPr>
                <w:sz w:val="12"/>
                <w:szCs w:val="12"/>
                <w:color w:val="auto"/>
              </w:rPr>
            </w:pPr>
          </w:p>
        </w:tc>
        <w:tc>
          <w:tcPr>
            <w:tcW w:w="1480" w:type="dxa"/>
            <w:vAlign w:val="bottom"/>
            <w:tcBorders>
              <w:top w:val="single" w:sz="8" w:color="F2F2F2"/>
              <w:bottom w:val="single" w:sz="8" w:color="376DB5"/>
            </w:tcBorders>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00" w:type="dxa"/>
            <w:vAlign w:val="bottom"/>
            <w:gridSpan w:val="3"/>
            <w:vMerge w:val="restart"/>
          </w:tcPr>
          <w:p>
            <w:pPr>
              <w:spacing w:after="0"/>
              <w:rPr>
                <w:sz w:val="20"/>
                <w:szCs w:val="20"/>
                <w:color w:val="auto"/>
              </w:rPr>
            </w:pPr>
            <w:r>
              <w:rPr>
                <w:rFonts w:ascii="Arial" w:cs="Arial" w:eastAsia="Arial" w:hAnsi="Arial"/>
                <w:sz w:val="18"/>
                <w:szCs w:val="18"/>
                <w:color w:val="376DB5"/>
              </w:rPr>
              <w:t>Rationale and</w:t>
            </w:r>
          </w:p>
        </w:tc>
        <w:tc>
          <w:tcPr>
            <w:tcW w:w="1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40" w:type="dxa"/>
            <w:vAlign w:val="bottom"/>
          </w:tcPr>
          <w:p>
            <w:pPr>
              <w:ind w:left="120"/>
              <w:spacing w:after="0"/>
              <w:rPr>
                <w:sz w:val="20"/>
                <w:szCs w:val="20"/>
                <w:color w:val="auto"/>
              </w:rPr>
            </w:pPr>
            <w:r>
              <w:rPr>
                <w:rFonts w:ascii="Arial" w:cs="Arial" w:eastAsia="Arial" w:hAnsi="Arial"/>
                <w:sz w:val="18"/>
                <w:szCs w:val="18"/>
                <w:color w:val="376DB5"/>
              </w:rPr>
              <w:t>Program</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1520" w:type="dxa"/>
            <w:vAlign w:val="bottom"/>
            <w:vMerge w:val="restart"/>
          </w:tcPr>
          <w:p>
            <w:pPr>
              <w:ind w:left="80"/>
              <w:spacing w:after="0"/>
              <w:rPr>
                <w:sz w:val="20"/>
                <w:szCs w:val="20"/>
                <w:color w:val="auto"/>
              </w:rPr>
            </w:pPr>
            <w:r>
              <w:rPr>
                <w:rFonts w:ascii="Arial" w:cs="Arial" w:eastAsia="Arial" w:hAnsi="Arial"/>
                <w:sz w:val="18"/>
                <w:szCs w:val="18"/>
                <w:color w:val="376DB5"/>
              </w:rPr>
              <w:t>Metric</w:t>
            </w:r>
          </w:p>
        </w:tc>
        <w:tc>
          <w:tcPr>
            <w:tcW w:w="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900" w:type="dxa"/>
            <w:vAlign w:val="bottom"/>
            <w:gridSpan w:val="3"/>
            <w:vMerge w:val="continue"/>
          </w:tcPr>
          <w:p>
            <w:pPr>
              <w:spacing w:after="0"/>
              <w:rPr>
                <w:sz w:val="3"/>
                <w:szCs w:val="3"/>
                <w:color w:val="auto"/>
              </w:rPr>
            </w:pPr>
          </w:p>
        </w:tc>
        <w:tc>
          <w:tcPr>
            <w:tcW w:w="1080" w:type="dxa"/>
            <w:vAlign w:val="bottom"/>
          </w:tcPr>
          <w:p>
            <w:pPr>
              <w:spacing w:after="0"/>
              <w:rPr>
                <w:sz w:val="3"/>
                <w:szCs w:val="3"/>
                <w:color w:val="auto"/>
              </w:rPr>
            </w:pPr>
          </w:p>
        </w:tc>
        <w:tc>
          <w:tcPr>
            <w:tcW w:w="1900" w:type="dxa"/>
            <w:vAlign w:val="bottom"/>
            <w:tcBorders>
              <w:bottom w:val="single" w:sz="8" w:color="376DB5"/>
            </w:tcBorders>
          </w:tcPr>
          <w:p>
            <w:pPr>
              <w:spacing w:after="0"/>
              <w:rPr>
                <w:sz w:val="3"/>
                <w:szCs w:val="3"/>
                <w:color w:val="auto"/>
              </w:rPr>
            </w:pPr>
          </w:p>
        </w:tc>
        <w:tc>
          <w:tcPr>
            <w:tcW w:w="1240" w:type="dxa"/>
            <w:vAlign w:val="bottom"/>
            <w:tcBorders>
              <w:bottom w:val="single" w:sz="8" w:color="376DB5"/>
            </w:tcBorders>
          </w:tcPr>
          <w:p>
            <w:pPr>
              <w:spacing w:after="0"/>
              <w:rPr>
                <w:sz w:val="3"/>
                <w:szCs w:val="3"/>
                <w:color w:val="auto"/>
              </w:rPr>
            </w:pPr>
          </w:p>
        </w:tc>
        <w:tc>
          <w:tcPr>
            <w:tcW w:w="1480" w:type="dxa"/>
            <w:vAlign w:val="bottom"/>
            <w:tcBorders>
              <w:bottom w:val="single" w:sz="8" w:color="376DB5"/>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1520" w:type="dxa"/>
            <w:vAlign w:val="bottom"/>
            <w:vMerge w:val="continue"/>
          </w:tcPr>
          <w:p>
            <w:pPr>
              <w:spacing w:after="0"/>
              <w:rPr>
                <w:sz w:val="22"/>
                <w:szCs w:val="22"/>
                <w:color w:val="auto"/>
              </w:rPr>
            </w:pPr>
          </w:p>
        </w:tc>
        <w:tc>
          <w:tcPr>
            <w:tcW w:w="9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900" w:type="dxa"/>
            <w:vAlign w:val="bottom"/>
            <w:gridSpan w:val="3"/>
          </w:tcPr>
          <w:p>
            <w:pPr>
              <w:spacing w:after="0"/>
              <w:rPr>
                <w:sz w:val="20"/>
                <w:szCs w:val="20"/>
                <w:color w:val="auto"/>
              </w:rPr>
            </w:pPr>
            <w:r>
              <w:rPr>
                <w:rFonts w:ascii="Arial" w:cs="Arial" w:eastAsia="Arial" w:hAnsi="Arial"/>
                <w:sz w:val="18"/>
                <w:szCs w:val="18"/>
                <w:color w:val="376DB5"/>
              </w:rPr>
              <w:t>Considerations</w:t>
            </w:r>
          </w:p>
        </w:tc>
        <w:tc>
          <w:tcPr>
            <w:tcW w:w="1080" w:type="dxa"/>
            <w:vAlign w:val="bottom"/>
          </w:tcPr>
          <w:p>
            <w:pPr>
              <w:spacing w:after="0"/>
              <w:rPr>
                <w:sz w:val="22"/>
                <w:szCs w:val="22"/>
                <w:color w:val="auto"/>
              </w:rPr>
            </w:pPr>
          </w:p>
        </w:tc>
        <w:tc>
          <w:tcPr>
            <w:tcW w:w="1900" w:type="dxa"/>
            <w:vAlign w:val="bottom"/>
          </w:tcPr>
          <w:p>
            <w:pPr>
              <w:jc w:val="center"/>
              <w:ind w:right="10"/>
              <w:spacing w:after="0"/>
              <w:rPr>
                <w:sz w:val="20"/>
                <w:szCs w:val="20"/>
                <w:color w:val="auto"/>
              </w:rPr>
            </w:pPr>
            <w:r>
              <w:rPr>
                <w:rFonts w:ascii="Arial" w:cs="Arial" w:eastAsia="Arial" w:hAnsi="Arial"/>
                <w:sz w:val="18"/>
                <w:szCs w:val="18"/>
                <w:color w:val="376DB5"/>
                <w:w w:val="99"/>
              </w:rPr>
              <w:t>Annual Incentive</w:t>
            </w:r>
          </w:p>
        </w:tc>
        <w:tc>
          <w:tcPr>
            <w:tcW w:w="1240" w:type="dxa"/>
            <w:vAlign w:val="bottom"/>
          </w:tcPr>
          <w:p>
            <w:pPr>
              <w:jc w:val="center"/>
              <w:ind w:left="50"/>
              <w:spacing w:after="0"/>
              <w:rPr>
                <w:sz w:val="20"/>
                <w:szCs w:val="20"/>
                <w:color w:val="auto"/>
              </w:rPr>
            </w:pPr>
            <w:r>
              <w:rPr>
                <w:rFonts w:ascii="Arial" w:cs="Arial" w:eastAsia="Arial" w:hAnsi="Arial"/>
                <w:sz w:val="18"/>
                <w:szCs w:val="18"/>
                <w:color w:val="376DB5"/>
                <w:w w:val="99"/>
              </w:rPr>
              <w:t>PSUs</w:t>
            </w:r>
          </w:p>
        </w:tc>
        <w:tc>
          <w:tcPr>
            <w:tcW w:w="1480" w:type="dxa"/>
            <w:vAlign w:val="bottom"/>
          </w:tcPr>
          <w:p>
            <w:pPr>
              <w:ind w:left="160"/>
              <w:spacing w:after="0"/>
              <w:rPr>
                <w:sz w:val="20"/>
                <w:szCs w:val="20"/>
                <w:color w:val="auto"/>
              </w:rPr>
            </w:pPr>
            <w:r>
              <w:rPr>
                <w:rFonts w:ascii="Arial" w:cs="Arial" w:eastAsia="Arial" w:hAnsi="Arial"/>
                <w:sz w:val="18"/>
                <w:szCs w:val="18"/>
                <w:color w:val="376DB5"/>
              </w:rPr>
              <w:t xml:space="preserve">      MSUs    </w:t>
            </w:r>
          </w:p>
        </w:tc>
        <w:tc>
          <w:tcPr>
            <w:tcW w:w="0" w:type="dxa"/>
            <w:vAlign w:val="bottom"/>
          </w:tcPr>
          <w:p>
            <w:pPr>
              <w:spacing w:after="0"/>
              <w:rPr>
                <w:sz w:val="1"/>
                <w:szCs w:val="1"/>
                <w:color w:val="auto"/>
              </w:rPr>
            </w:pPr>
          </w:p>
        </w:tc>
      </w:tr>
      <w:tr>
        <w:trPr>
          <w:trHeight w:val="23"/>
        </w:trPr>
        <w:tc>
          <w:tcPr>
            <w:tcW w:w="2420" w:type="dxa"/>
            <w:vAlign w:val="bottom"/>
            <w:tcBorders>
              <w:bottom w:val="single" w:sz="8" w:color="376DB5"/>
            </w:tcBorders>
            <w:gridSpan w:val="2"/>
          </w:tcPr>
          <w:p>
            <w:pPr>
              <w:spacing w:after="0"/>
              <w:rPr>
                <w:sz w:val="2"/>
                <w:szCs w:val="2"/>
                <w:color w:val="auto"/>
              </w:rPr>
            </w:pPr>
          </w:p>
        </w:tc>
        <w:tc>
          <w:tcPr>
            <w:tcW w:w="1000" w:type="dxa"/>
            <w:vAlign w:val="bottom"/>
            <w:tcBorders>
              <w:bottom w:val="single" w:sz="8" w:color="376DB5"/>
            </w:tcBorders>
          </w:tcPr>
          <w:p>
            <w:pPr>
              <w:spacing w:after="0"/>
              <w:rPr>
                <w:sz w:val="2"/>
                <w:szCs w:val="2"/>
                <w:color w:val="auto"/>
              </w:rPr>
            </w:pPr>
          </w:p>
        </w:tc>
        <w:tc>
          <w:tcPr>
            <w:tcW w:w="460" w:type="dxa"/>
            <w:vAlign w:val="bottom"/>
            <w:tcBorders>
              <w:bottom w:val="single" w:sz="8" w:color="376DB5"/>
            </w:tcBorders>
          </w:tcPr>
          <w:p>
            <w:pPr>
              <w:spacing w:after="0"/>
              <w:rPr>
                <w:sz w:val="2"/>
                <w:szCs w:val="2"/>
                <w:color w:val="auto"/>
              </w:rPr>
            </w:pPr>
          </w:p>
        </w:tc>
        <w:tc>
          <w:tcPr>
            <w:tcW w:w="820" w:type="dxa"/>
            <w:vAlign w:val="bottom"/>
            <w:tcBorders>
              <w:bottom w:val="single" w:sz="8" w:color="376DB5"/>
            </w:tcBorders>
          </w:tcPr>
          <w:p>
            <w:pPr>
              <w:spacing w:after="0"/>
              <w:rPr>
                <w:sz w:val="2"/>
                <w:szCs w:val="2"/>
                <w:color w:val="auto"/>
              </w:rPr>
            </w:pPr>
          </w:p>
        </w:tc>
        <w:tc>
          <w:tcPr>
            <w:tcW w:w="1700" w:type="dxa"/>
            <w:vAlign w:val="bottom"/>
            <w:tcBorders>
              <w:bottom w:val="single" w:sz="8" w:color="376DB5"/>
            </w:tcBorders>
            <w:gridSpan w:val="2"/>
          </w:tcPr>
          <w:p>
            <w:pPr>
              <w:spacing w:after="0"/>
              <w:rPr>
                <w:sz w:val="2"/>
                <w:szCs w:val="2"/>
                <w:color w:val="auto"/>
              </w:rPr>
            </w:pPr>
          </w:p>
        </w:tc>
        <w:tc>
          <w:tcPr>
            <w:tcW w:w="1900" w:type="dxa"/>
            <w:vAlign w:val="bottom"/>
            <w:tcBorders>
              <w:bottom w:val="single" w:sz="8" w:color="376DB5"/>
            </w:tcBorders>
          </w:tcPr>
          <w:p>
            <w:pPr>
              <w:spacing w:after="0"/>
              <w:rPr>
                <w:sz w:val="2"/>
                <w:szCs w:val="2"/>
                <w:color w:val="auto"/>
              </w:rPr>
            </w:pPr>
          </w:p>
        </w:tc>
        <w:tc>
          <w:tcPr>
            <w:tcW w:w="1240" w:type="dxa"/>
            <w:vAlign w:val="bottom"/>
            <w:tcBorders>
              <w:bottom w:val="single" w:sz="8" w:color="376DB5"/>
            </w:tcBorders>
          </w:tcPr>
          <w:p>
            <w:pPr>
              <w:spacing w:after="0"/>
              <w:rPr>
                <w:sz w:val="2"/>
                <w:szCs w:val="2"/>
                <w:color w:val="auto"/>
              </w:rPr>
            </w:pPr>
          </w:p>
        </w:tc>
        <w:tc>
          <w:tcPr>
            <w:tcW w:w="1480" w:type="dxa"/>
            <w:vAlign w:val="bottom"/>
            <w:tcBorders>
              <w:bottom w:val="single" w:sz="8" w:color="376DB5"/>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420" w:type="dxa"/>
            <w:vAlign w:val="bottom"/>
            <w:gridSpan w:val="2"/>
          </w:tcPr>
          <w:p>
            <w:pPr>
              <w:ind w:left="80"/>
              <w:spacing w:after="0"/>
              <w:rPr>
                <w:sz w:val="20"/>
                <w:szCs w:val="20"/>
                <w:color w:val="auto"/>
              </w:rPr>
            </w:pPr>
            <w:r>
              <w:rPr>
                <w:rFonts w:ascii="Arial" w:cs="Arial" w:eastAsia="Arial" w:hAnsi="Arial"/>
                <w:sz w:val="18"/>
                <w:szCs w:val="18"/>
                <w:color w:val="auto"/>
              </w:rPr>
              <w:t>Adjusted Revenue</w:t>
            </w:r>
          </w:p>
        </w:tc>
        <w:tc>
          <w:tcPr>
            <w:tcW w:w="1000" w:type="dxa"/>
            <w:vAlign w:val="bottom"/>
          </w:tcPr>
          <w:p>
            <w:pPr>
              <w:spacing w:after="0"/>
              <w:rPr>
                <w:sz w:val="24"/>
                <w:szCs w:val="24"/>
                <w:color w:val="auto"/>
              </w:rPr>
            </w:pPr>
          </w:p>
        </w:tc>
        <w:tc>
          <w:tcPr>
            <w:tcW w:w="2980" w:type="dxa"/>
            <w:vAlign w:val="bottom"/>
            <w:gridSpan w:val="4"/>
          </w:tcPr>
          <w:p>
            <w:pPr>
              <w:spacing w:after="0"/>
              <w:rPr>
                <w:sz w:val="20"/>
                <w:szCs w:val="20"/>
                <w:color w:val="auto"/>
              </w:rPr>
            </w:pPr>
            <w:r>
              <w:rPr>
                <w:rFonts w:ascii="Arial" w:cs="Arial" w:eastAsia="Arial" w:hAnsi="Arial"/>
                <w:sz w:val="18"/>
                <w:szCs w:val="18"/>
                <w:color w:val="auto"/>
              </w:rPr>
              <w:t>Motivates continued growth</w:t>
            </w:r>
          </w:p>
        </w:tc>
        <w:tc>
          <w:tcPr>
            <w:tcW w:w="190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tcPr>
          <w:p>
            <w:pPr>
              <w:jc w:val="center"/>
              <w:ind w:left="50"/>
              <w:spacing w:after="0" w:line="181" w:lineRule="exact"/>
              <w:rPr>
                <w:sz w:val="20"/>
                <w:szCs w:val="20"/>
                <w:color w:val="auto"/>
              </w:rPr>
            </w:pPr>
            <w:r>
              <w:rPr>
                <w:rFonts w:ascii="MS PGothic" w:cs="MS PGothic" w:eastAsia="MS PGothic" w:hAnsi="MS PGothic"/>
                <w:sz w:val="18"/>
                <w:szCs w:val="18"/>
                <w:color w:val="auto"/>
                <w:w w:val="77"/>
              </w:rPr>
              <w: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900" w:type="dxa"/>
            <w:vAlign w:val="bottom"/>
            <w:gridSpan w:val="3"/>
          </w:tcPr>
          <w:p>
            <w:pPr>
              <w:spacing w:after="0"/>
              <w:rPr>
                <w:sz w:val="20"/>
                <w:szCs w:val="20"/>
                <w:color w:val="auto"/>
              </w:rPr>
            </w:pPr>
            <w:r>
              <w:rPr>
                <w:rFonts w:ascii="Arial" w:cs="Arial" w:eastAsia="Arial" w:hAnsi="Arial"/>
                <w:sz w:val="18"/>
                <w:szCs w:val="18"/>
                <w:color w:val="auto"/>
              </w:rPr>
              <w:t>of the business</w:t>
            </w:r>
          </w:p>
        </w:tc>
        <w:tc>
          <w:tcPr>
            <w:tcW w:w="1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1520" w:type="dxa"/>
            <w:vAlign w:val="bottom"/>
            <w:tcBorders>
              <w:bottom w:val="single" w:sz="8" w:color="376DB5"/>
            </w:tcBorders>
          </w:tcPr>
          <w:p>
            <w:pPr>
              <w:spacing w:after="0"/>
              <w:rPr>
                <w:sz w:val="3"/>
                <w:szCs w:val="3"/>
                <w:color w:val="auto"/>
              </w:rPr>
            </w:pPr>
          </w:p>
        </w:tc>
        <w:tc>
          <w:tcPr>
            <w:tcW w:w="900" w:type="dxa"/>
            <w:vAlign w:val="bottom"/>
            <w:tcBorders>
              <w:bottom w:val="single" w:sz="8" w:color="376DB5"/>
            </w:tcBorders>
          </w:tcPr>
          <w:p>
            <w:pPr>
              <w:spacing w:after="0"/>
              <w:rPr>
                <w:sz w:val="3"/>
                <w:szCs w:val="3"/>
                <w:color w:val="auto"/>
              </w:rPr>
            </w:pPr>
          </w:p>
        </w:tc>
        <w:tc>
          <w:tcPr>
            <w:tcW w:w="1000" w:type="dxa"/>
            <w:vAlign w:val="bottom"/>
            <w:tcBorders>
              <w:bottom w:val="single" w:sz="8" w:color="376DB5"/>
            </w:tcBorders>
          </w:tcPr>
          <w:p>
            <w:pPr>
              <w:spacing w:after="0"/>
              <w:rPr>
                <w:sz w:val="3"/>
                <w:szCs w:val="3"/>
                <w:color w:val="auto"/>
              </w:rPr>
            </w:pPr>
          </w:p>
        </w:tc>
        <w:tc>
          <w:tcPr>
            <w:tcW w:w="460" w:type="dxa"/>
            <w:vAlign w:val="bottom"/>
            <w:tcBorders>
              <w:bottom w:val="single" w:sz="8" w:color="376DB5"/>
            </w:tcBorders>
          </w:tcPr>
          <w:p>
            <w:pPr>
              <w:spacing w:after="0"/>
              <w:rPr>
                <w:sz w:val="3"/>
                <w:szCs w:val="3"/>
                <w:color w:val="auto"/>
              </w:rPr>
            </w:pPr>
          </w:p>
        </w:tc>
        <w:tc>
          <w:tcPr>
            <w:tcW w:w="820" w:type="dxa"/>
            <w:vAlign w:val="bottom"/>
            <w:tcBorders>
              <w:bottom w:val="single" w:sz="8" w:color="376DB5"/>
            </w:tcBorders>
          </w:tcPr>
          <w:p>
            <w:pPr>
              <w:spacing w:after="0"/>
              <w:rPr>
                <w:sz w:val="3"/>
                <w:szCs w:val="3"/>
                <w:color w:val="auto"/>
              </w:rPr>
            </w:pPr>
          </w:p>
        </w:tc>
        <w:tc>
          <w:tcPr>
            <w:tcW w:w="1700" w:type="dxa"/>
            <w:vAlign w:val="bottom"/>
            <w:tcBorders>
              <w:bottom w:val="single" w:sz="8" w:color="376DB5"/>
            </w:tcBorders>
            <w:gridSpan w:val="2"/>
          </w:tcPr>
          <w:p>
            <w:pPr>
              <w:spacing w:after="0"/>
              <w:rPr>
                <w:sz w:val="3"/>
                <w:szCs w:val="3"/>
                <w:color w:val="auto"/>
              </w:rPr>
            </w:pPr>
          </w:p>
        </w:tc>
        <w:tc>
          <w:tcPr>
            <w:tcW w:w="1900" w:type="dxa"/>
            <w:vAlign w:val="bottom"/>
            <w:tcBorders>
              <w:bottom w:val="single" w:sz="8" w:color="376DB5"/>
            </w:tcBorders>
          </w:tcPr>
          <w:p>
            <w:pPr>
              <w:spacing w:after="0"/>
              <w:rPr>
                <w:sz w:val="3"/>
                <w:szCs w:val="3"/>
                <w:color w:val="auto"/>
              </w:rPr>
            </w:pPr>
          </w:p>
        </w:tc>
        <w:tc>
          <w:tcPr>
            <w:tcW w:w="1240" w:type="dxa"/>
            <w:vAlign w:val="bottom"/>
            <w:tcBorders>
              <w:bottom w:val="single" w:sz="8" w:color="376DB5"/>
            </w:tcBorders>
          </w:tcPr>
          <w:p>
            <w:pPr>
              <w:spacing w:after="0"/>
              <w:rPr>
                <w:sz w:val="3"/>
                <w:szCs w:val="3"/>
                <w:color w:val="auto"/>
              </w:rPr>
            </w:pPr>
          </w:p>
        </w:tc>
        <w:tc>
          <w:tcPr>
            <w:tcW w:w="1480" w:type="dxa"/>
            <w:vAlign w:val="bottom"/>
            <w:tcBorders>
              <w:bottom w:val="single" w:sz="8" w:color="376DB5"/>
            </w:tcBorders>
          </w:tcPr>
          <w:p>
            <w:pPr>
              <w:spacing w:after="0"/>
              <w:rPr>
                <w:sz w:val="3"/>
                <w:szCs w:val="3"/>
                <w:color w:val="auto"/>
              </w:rPr>
            </w:pPr>
          </w:p>
        </w:tc>
        <w:tc>
          <w:tcPr>
            <w:tcW w:w="0" w:type="dxa"/>
            <w:vAlign w:val="bottom"/>
          </w:tcPr>
          <w:p>
            <w:pPr>
              <w:spacing w:after="0"/>
              <w:rPr>
                <w:sz w:val="1"/>
                <w:szCs w:val="1"/>
                <w:color w:val="auto"/>
              </w:rPr>
            </w:pPr>
          </w:p>
        </w:tc>
      </w:tr>
      <w:tr>
        <w:trPr>
          <w:trHeight w:val="332"/>
        </w:trPr>
        <w:tc>
          <w:tcPr>
            <w:tcW w:w="15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80" w:type="dxa"/>
            <w:vAlign w:val="bottom"/>
            <w:gridSpan w:val="4"/>
          </w:tcPr>
          <w:p>
            <w:pPr>
              <w:spacing w:after="0"/>
              <w:rPr>
                <w:sz w:val="20"/>
                <w:szCs w:val="20"/>
                <w:color w:val="auto"/>
              </w:rPr>
            </w:pPr>
            <w:r>
              <w:rPr>
                <w:rFonts w:ascii="Arial" w:cs="Arial" w:eastAsia="Arial" w:hAnsi="Arial"/>
                <w:sz w:val="18"/>
                <w:szCs w:val="18"/>
                <w:color w:val="auto"/>
              </w:rPr>
              <w:t>Rewards operational profitability</w:t>
            </w:r>
          </w:p>
        </w:tc>
        <w:tc>
          <w:tcPr>
            <w:tcW w:w="190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tcPr>
          <w:p>
            <w:pPr>
              <w:jc w:val="center"/>
              <w:ind w:left="50"/>
              <w:spacing w:after="0" w:line="181" w:lineRule="exact"/>
              <w:rPr>
                <w:sz w:val="20"/>
                <w:szCs w:val="20"/>
                <w:color w:val="auto"/>
              </w:rPr>
            </w:pPr>
            <w:r>
              <w:rPr>
                <w:rFonts w:ascii="MS PGothic" w:cs="MS PGothic" w:eastAsia="MS PGothic" w:hAnsi="MS PGothic"/>
                <w:sz w:val="18"/>
                <w:szCs w:val="18"/>
                <w:color w:val="auto"/>
                <w:w w:val="77"/>
              </w:rPr>
              <w: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420" w:type="dxa"/>
            <w:vAlign w:val="bottom"/>
            <w:tcBorders>
              <w:bottom w:val="single" w:sz="8" w:color="376DB5"/>
            </w:tcBorders>
            <w:gridSpan w:val="3"/>
          </w:tcPr>
          <w:p>
            <w:pPr>
              <w:spacing w:after="0"/>
              <w:rPr>
                <w:sz w:val="4"/>
                <w:szCs w:val="4"/>
                <w:color w:val="auto"/>
              </w:rPr>
            </w:pPr>
          </w:p>
        </w:tc>
        <w:tc>
          <w:tcPr>
            <w:tcW w:w="460" w:type="dxa"/>
            <w:vAlign w:val="bottom"/>
            <w:tcBorders>
              <w:bottom w:val="single" w:sz="8" w:color="376DB5"/>
            </w:tcBorders>
          </w:tcPr>
          <w:p>
            <w:pPr>
              <w:spacing w:after="0"/>
              <w:rPr>
                <w:sz w:val="4"/>
                <w:szCs w:val="4"/>
                <w:color w:val="auto"/>
              </w:rPr>
            </w:pPr>
          </w:p>
        </w:tc>
        <w:tc>
          <w:tcPr>
            <w:tcW w:w="820" w:type="dxa"/>
            <w:vAlign w:val="bottom"/>
            <w:tcBorders>
              <w:bottom w:val="single" w:sz="8" w:color="376DB5"/>
            </w:tcBorders>
          </w:tcPr>
          <w:p>
            <w:pPr>
              <w:spacing w:after="0"/>
              <w:rPr>
                <w:sz w:val="4"/>
                <w:szCs w:val="4"/>
                <w:color w:val="auto"/>
              </w:rPr>
            </w:pPr>
          </w:p>
        </w:tc>
        <w:tc>
          <w:tcPr>
            <w:tcW w:w="1700" w:type="dxa"/>
            <w:vAlign w:val="bottom"/>
            <w:tcBorders>
              <w:bottom w:val="single" w:sz="8" w:color="376DB5"/>
            </w:tcBorders>
            <w:gridSpan w:val="2"/>
          </w:tcPr>
          <w:p>
            <w:pPr>
              <w:spacing w:after="0"/>
              <w:rPr>
                <w:sz w:val="4"/>
                <w:szCs w:val="4"/>
                <w:color w:val="auto"/>
              </w:rPr>
            </w:pPr>
          </w:p>
        </w:tc>
        <w:tc>
          <w:tcPr>
            <w:tcW w:w="1900" w:type="dxa"/>
            <w:vAlign w:val="bottom"/>
            <w:tcBorders>
              <w:bottom w:val="single" w:sz="8" w:color="376DB5"/>
            </w:tcBorders>
          </w:tcPr>
          <w:p>
            <w:pPr>
              <w:spacing w:after="0"/>
              <w:rPr>
                <w:sz w:val="4"/>
                <w:szCs w:val="4"/>
                <w:color w:val="auto"/>
              </w:rPr>
            </w:pPr>
          </w:p>
        </w:tc>
        <w:tc>
          <w:tcPr>
            <w:tcW w:w="1240" w:type="dxa"/>
            <w:vAlign w:val="bottom"/>
            <w:tcBorders>
              <w:bottom w:val="single" w:sz="8" w:color="376DB5"/>
            </w:tcBorders>
          </w:tcPr>
          <w:p>
            <w:pPr>
              <w:spacing w:after="0"/>
              <w:rPr>
                <w:sz w:val="4"/>
                <w:szCs w:val="4"/>
                <w:color w:val="auto"/>
              </w:rPr>
            </w:pPr>
          </w:p>
        </w:tc>
        <w:tc>
          <w:tcPr>
            <w:tcW w:w="1480" w:type="dxa"/>
            <w:vAlign w:val="bottom"/>
            <w:tcBorders>
              <w:bottom w:val="single" w:sz="8" w:color="376DB5"/>
            </w:tcBorders>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3420" w:type="dxa"/>
            <w:vAlign w:val="bottom"/>
            <w:gridSpan w:val="3"/>
          </w:tcPr>
          <w:p>
            <w:pPr>
              <w:ind w:left="80"/>
              <w:spacing w:after="0"/>
              <w:rPr>
                <w:sz w:val="20"/>
                <w:szCs w:val="20"/>
                <w:color w:val="auto"/>
              </w:rPr>
            </w:pPr>
            <w:r>
              <w:rPr>
                <w:rFonts w:ascii="Arial" w:cs="Arial" w:eastAsia="Arial" w:hAnsi="Arial"/>
                <w:sz w:val="18"/>
                <w:szCs w:val="18"/>
                <w:color w:val="auto"/>
              </w:rPr>
              <w:t>Total shareholder return relative to the</w:t>
            </w:r>
          </w:p>
        </w:tc>
        <w:tc>
          <w:tcPr>
            <w:tcW w:w="2980" w:type="dxa"/>
            <w:vAlign w:val="bottom"/>
            <w:gridSpan w:val="4"/>
          </w:tcPr>
          <w:p>
            <w:pPr>
              <w:spacing w:after="0" w:line="272" w:lineRule="exact"/>
              <w:rPr>
                <w:sz w:val="20"/>
                <w:szCs w:val="20"/>
                <w:color w:val="auto"/>
              </w:rPr>
            </w:pPr>
            <w:r>
              <w:rPr>
                <w:rFonts w:ascii="Arial" w:cs="Arial" w:eastAsia="Arial" w:hAnsi="Arial"/>
                <w:sz w:val="18"/>
                <w:szCs w:val="18"/>
                <w:color w:val="auto"/>
              </w:rPr>
              <w:t>55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target drives</w:t>
            </w:r>
          </w:p>
        </w:tc>
        <w:tc>
          <w:tcPr>
            <w:tcW w:w="1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80" w:type="dxa"/>
            <w:vAlign w:val="bottom"/>
            <w:vMerge w:val="restart"/>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1"/>
        </w:trPr>
        <w:tc>
          <w:tcPr>
            <w:tcW w:w="1520" w:type="dxa"/>
            <w:vAlign w:val="bottom"/>
          </w:tcPr>
          <w:p>
            <w:pPr>
              <w:ind w:left="80"/>
              <w:spacing w:after="0"/>
              <w:rPr>
                <w:sz w:val="20"/>
                <w:szCs w:val="20"/>
                <w:color w:val="auto"/>
              </w:rPr>
            </w:pPr>
            <w:r>
              <w:rPr>
                <w:rFonts w:ascii="Arial" w:cs="Arial" w:eastAsia="Arial" w:hAnsi="Arial"/>
                <w:sz w:val="18"/>
                <w:szCs w:val="18"/>
                <w:color w:val="auto"/>
              </w:rPr>
              <w:t>S&amp;P 500 Index</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980" w:type="dxa"/>
            <w:vAlign w:val="bottom"/>
            <w:gridSpan w:val="4"/>
          </w:tcPr>
          <w:p>
            <w:pPr>
              <w:spacing w:after="0"/>
              <w:rPr>
                <w:sz w:val="20"/>
                <w:szCs w:val="20"/>
                <w:color w:val="auto"/>
              </w:rPr>
            </w:pPr>
            <w:r>
              <w:rPr>
                <w:rFonts w:ascii="Arial" w:cs="Arial" w:eastAsia="Arial" w:hAnsi="Arial"/>
                <w:sz w:val="18"/>
                <w:szCs w:val="18"/>
                <w:color w:val="auto"/>
              </w:rPr>
              <w:t>outperformance relative to the</w:t>
            </w:r>
          </w:p>
        </w:tc>
        <w:tc>
          <w:tcPr>
            <w:tcW w:w="1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980" w:type="dxa"/>
            <w:vAlign w:val="bottom"/>
            <w:gridSpan w:val="4"/>
          </w:tcPr>
          <w:p>
            <w:pPr>
              <w:spacing w:after="0" w:line="202" w:lineRule="exact"/>
              <w:rPr>
                <w:sz w:val="20"/>
                <w:szCs w:val="20"/>
                <w:color w:val="auto"/>
              </w:rPr>
            </w:pPr>
            <w:r>
              <w:rPr>
                <w:rFonts w:ascii="Arial" w:cs="Arial" w:eastAsia="Arial" w:hAnsi="Arial"/>
                <w:sz w:val="18"/>
                <w:szCs w:val="18"/>
                <w:color w:val="auto"/>
              </w:rPr>
              <w:t>market and provides alignment with</w:t>
            </w:r>
          </w:p>
        </w:tc>
        <w:tc>
          <w:tcPr>
            <w:tcW w:w="1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540"/>
        <w:spacing w:after="0"/>
        <w:rPr>
          <w:sz w:val="20"/>
          <w:szCs w:val="20"/>
          <w:color w:val="auto"/>
        </w:rPr>
      </w:pPr>
      <w:r>
        <w:rPr>
          <w:rFonts w:ascii="Arial" w:cs="Arial" w:eastAsia="Arial" w:hAnsi="Arial"/>
          <w:sz w:val="18"/>
          <w:szCs w:val="18"/>
          <w:color w:val="auto"/>
        </w:rPr>
        <w:t>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6995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4" w:lineRule="exact"/>
        <w:rPr>
          <w:sz w:val="20"/>
          <w:szCs w:val="20"/>
          <w:color w:val="auto"/>
        </w:rPr>
      </w:pPr>
    </w:p>
    <w:p>
      <w:pPr>
        <w:jc w:val="both"/>
        <w:ind w:left="200" w:right="100" w:firstLine="441"/>
        <w:spacing w:after="0" w:line="247" w:lineRule="auto"/>
        <w:rPr>
          <w:sz w:val="20"/>
          <w:szCs w:val="20"/>
          <w:color w:val="auto"/>
        </w:rPr>
      </w:pPr>
      <w:r>
        <w:rPr>
          <w:rFonts w:ascii="Arial" w:cs="Arial" w:eastAsia="Arial" w:hAnsi="Arial"/>
          <w:sz w:val="18"/>
          <w:szCs w:val="18"/>
          <w:color w:val="auto"/>
        </w:rPr>
        <w:t>The LDCC is intentional in its use of Adjusted Revenue and Adjusted EBITDA as the financial metrics in both our short- and long-term incentive programs because the LDCC believes that they best balance the delivery of steady growth against the investments we are making as we continue our strategic shift in the focus of the Software segment towards a cloud-based platform while preserving the value of legacy solutions and that they are strong indicators of our success in generating long-term stockholder value creation.</w:t>
      </w:r>
    </w:p>
    <w:p>
      <w:pPr>
        <w:spacing w:after="0" w:line="79" w:lineRule="exact"/>
        <w:rPr>
          <w:sz w:val="20"/>
          <w:szCs w:val="20"/>
          <w:color w:val="auto"/>
        </w:rPr>
      </w:pPr>
    </w:p>
    <w:p>
      <w:pPr>
        <w:jc w:val="both"/>
        <w:ind w:left="200" w:right="100" w:firstLine="441"/>
        <w:spacing w:after="0" w:line="244" w:lineRule="auto"/>
        <w:rPr>
          <w:sz w:val="20"/>
          <w:szCs w:val="20"/>
          <w:color w:val="auto"/>
        </w:rPr>
      </w:pPr>
      <w:r>
        <w:rPr>
          <w:rFonts w:ascii="Arial" w:cs="Arial" w:eastAsia="Arial" w:hAnsi="Arial"/>
          <w:sz w:val="18"/>
          <w:szCs w:val="18"/>
          <w:color w:val="auto"/>
        </w:rPr>
        <w:t>Short-term incentives represent only 3 to 4% of named executive officers’ total direct compensation and are provided primarily to create shared alignment across our employee population. Importantly, the PSUs awarded to our senior executives utilize meaningfully steeper upwards and downwards payout slopes than the short-term cash incentive plan, consistent with the LDCC’s desire to more heavily weight compensation opportunities toward variable, equity-based compensation opportunities and to strengthen the risk and reward profile of these awards to drive greater accountability for our senior leaders who can most directly influence our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40</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Pay outcomes for fiscal 2025 demonstrate the strong pay and performance linkage of our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163195</wp:posOffset>
            </wp:positionV>
            <wp:extent cx="6429375" cy="44145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429375" cy="441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41</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83667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029450" cy="8366760"/>
                    </a:xfrm>
                    <a:prstGeom prst="rect">
                      <a:avLst/>
                    </a:prstGeom>
                    <a:noFill/>
                  </pic:spPr>
                </pic:pic>
              </a:graphicData>
            </a:graphic>
          </wp:anchor>
        </w:drawing>
      </w:r>
    </w:p>
    <w:p>
      <w:pPr>
        <w:sectPr>
          <w:pgSz w:w="11900" w:h="16838" w:orient="portrait"/>
          <w:cols w:equalWidth="0" w:num="1">
            <w:col w:w="11140"/>
          </w:cols>
          <w:pgMar w:left="320" w:top="482" w:right="439" w:bottom="3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42</w:t>
      </w:r>
    </w:p>
    <w:p>
      <w:pPr>
        <w:sectPr>
          <w:pgSz w:w="11900" w:h="16838" w:orient="portrait"/>
          <w:cols w:equalWidth="0" w:num="1">
            <w:col w:w="11140"/>
          </w:cols>
          <w:pgMar w:left="320" w:top="482" w:right="439" w:bottom="378"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Quality Pay Practices and Policies</w:t>
      </w:r>
    </w:p>
    <w:p>
      <w:pPr>
        <w:spacing w:after="0" w:line="104"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Highlighted below are key practices and policies of our compensation program which reinforce our pay-for-performance philosophy, further our retention and motivation objectives, and align executive and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126365</wp:posOffset>
            </wp:positionV>
            <wp:extent cx="61550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155055" cy="8255"/>
                    </a:xfrm>
                    <a:prstGeom prst="rect">
                      <a:avLst/>
                    </a:prstGeom>
                    <a:noFill/>
                  </pic:spPr>
                </pic:pic>
              </a:graphicData>
            </a:graphic>
          </wp:anchor>
        </w:drawing>
      </w: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76DB5"/>
        </w:rPr>
        <w:t>Quality Pay Practices and Policies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77470</wp:posOffset>
            </wp:positionV>
            <wp:extent cx="6155055" cy="3429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155055" cy="34290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44" w:lineRule="exact"/>
        <w:rPr>
          <w:sz w:val="20"/>
          <w:szCs w:val="20"/>
          <w:color w:val="auto"/>
        </w:rPr>
      </w:pPr>
    </w:p>
    <w:p>
      <w:pPr>
        <w:ind w:left="1000" w:hanging="221"/>
        <w:spacing w:after="0"/>
        <w:tabs>
          <w:tab w:leader="none" w:pos="1000" w:val="left"/>
        </w:tabs>
        <w:numPr>
          <w:ilvl w:val="0"/>
          <w:numId w:val="41"/>
        </w:numPr>
        <w:rPr>
          <w:rFonts w:ascii="Arial" w:cs="Arial" w:eastAsia="Arial" w:hAnsi="Arial"/>
          <w:sz w:val="4"/>
          <w:szCs w:val="4"/>
          <w:color w:val="auto"/>
        </w:rPr>
      </w:pPr>
      <w:r>
        <w:rPr>
          <w:rFonts w:ascii="Arial" w:cs="Arial" w:eastAsia="Arial" w:hAnsi="Arial"/>
          <w:sz w:val="1"/>
          <w:szCs w:val="1"/>
          <w:color w:val="auto"/>
        </w:rPr>
        <w:drawing>
          <wp:inline distT="0" distB="0" distL="0" distR="0">
            <wp:extent cx="162560" cy="15430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62560" cy="154305"/>
                    </a:xfrm>
                    <a:prstGeom prst="rect">
                      <a:avLst/>
                    </a:prstGeom>
                    <a:noFill/>
                    <a:ln>
                      <a:noFill/>
                    </a:ln>
                  </pic:spPr>
                </pic:pic>
              </a:graphicData>
            </a:graphic>
          </wp:inline>
        </w:drawing>
      </w:r>
      <w:r>
        <w:rPr>
          <w:rFonts w:ascii="Arial" w:cs="Arial" w:eastAsia="Arial" w:hAnsi="Arial"/>
          <w:sz w:val="4"/>
          <w:szCs w:val="4"/>
          <w:color w:val="auto"/>
        </w:rPr>
        <w:t xml:space="preserve">  </w:t>
      </w:r>
    </w:p>
    <w:p>
      <w:pPr>
        <w:spacing w:after="0" w:line="200" w:lineRule="exact"/>
        <w:rPr>
          <w:rFonts w:ascii="Arial" w:cs="Arial" w:eastAsia="Arial" w:hAnsi="Arial"/>
          <w:sz w:val="4"/>
          <w:szCs w:val="4"/>
          <w:color w:val="auto"/>
        </w:rPr>
      </w:pPr>
    </w:p>
    <w:p>
      <w:pPr>
        <w:spacing w:after="0" w:line="210" w:lineRule="exact"/>
        <w:rPr>
          <w:rFonts w:ascii="Arial" w:cs="Arial" w:eastAsia="Arial" w:hAnsi="Arial"/>
          <w:sz w:val="4"/>
          <w:szCs w:val="4"/>
          <w:color w:val="auto"/>
        </w:rPr>
      </w:pPr>
    </w:p>
    <w:p>
      <w:pPr>
        <w:ind w:left="1020" w:hanging="223"/>
        <w:spacing w:after="0"/>
        <w:tabs>
          <w:tab w:leader="none" w:pos="1020" w:val="left"/>
        </w:tabs>
        <w:numPr>
          <w:ilvl w:val="1"/>
          <w:numId w:val="41"/>
        </w:numPr>
        <w:rPr>
          <w:rFonts w:ascii="Arial" w:cs="Arial" w:eastAsia="Arial" w:hAnsi="Arial"/>
          <w:sz w:val="4"/>
          <w:szCs w:val="4"/>
          <w:color w:val="auto"/>
        </w:rPr>
      </w:pPr>
      <w:r>
        <w:rPr>
          <w:rFonts w:ascii="Arial" w:cs="Arial" w:eastAsia="Arial" w:hAnsi="Arial"/>
          <w:sz w:val="1"/>
          <w:szCs w:val="1"/>
          <w:color w:val="auto"/>
        </w:rPr>
        <w:drawing>
          <wp:inline distT="0" distB="0" distL="0" distR="0">
            <wp:extent cx="145415" cy="13716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4"/>
          <w:szCs w:val="4"/>
          <w:color w:val="auto"/>
        </w:rPr>
        <w:t xml:space="preserve">  </w:t>
      </w:r>
    </w:p>
    <w:p>
      <w:pPr>
        <w:spacing w:after="0" w:line="200" w:lineRule="exact"/>
        <w:rPr>
          <w:rFonts w:ascii="Arial" w:cs="Arial" w:eastAsia="Arial" w:hAnsi="Arial"/>
          <w:sz w:val="4"/>
          <w:szCs w:val="4"/>
          <w:color w:val="auto"/>
        </w:rPr>
      </w:pPr>
    </w:p>
    <w:p>
      <w:pPr>
        <w:spacing w:after="0" w:line="223" w:lineRule="exact"/>
        <w:rPr>
          <w:rFonts w:ascii="Arial" w:cs="Arial" w:eastAsia="Arial" w:hAnsi="Arial"/>
          <w:sz w:val="4"/>
          <w:szCs w:val="4"/>
          <w:color w:val="auto"/>
        </w:rPr>
      </w:pPr>
    </w:p>
    <w:p>
      <w:pPr>
        <w:ind w:left="1000" w:hanging="221"/>
        <w:spacing w:after="0"/>
        <w:tabs>
          <w:tab w:leader="none" w:pos="1000" w:val="left"/>
        </w:tabs>
        <w:numPr>
          <w:ilvl w:val="0"/>
          <w:numId w:val="41"/>
        </w:numPr>
        <w:rPr>
          <w:rFonts w:ascii="Arial" w:cs="Arial" w:eastAsia="Arial" w:hAnsi="Arial"/>
          <w:sz w:val="4"/>
          <w:szCs w:val="4"/>
          <w:color w:val="auto"/>
        </w:rPr>
      </w:pPr>
      <w:r>
        <w:rPr>
          <w:rFonts w:ascii="Arial" w:cs="Arial" w:eastAsia="Arial" w:hAnsi="Arial"/>
          <w:sz w:val="1"/>
          <w:szCs w:val="1"/>
          <w:color w:val="auto"/>
        </w:rPr>
        <w:drawing>
          <wp:inline distT="0" distB="0" distL="0" distR="0">
            <wp:extent cx="162560" cy="154305"/>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62560" cy="154305"/>
                    </a:xfrm>
                    <a:prstGeom prst="rect">
                      <a:avLst/>
                    </a:prstGeom>
                    <a:noFill/>
                    <a:ln>
                      <a:noFill/>
                    </a:ln>
                  </pic:spPr>
                </pic:pic>
              </a:graphicData>
            </a:graphic>
          </wp:inline>
        </w:drawing>
      </w:r>
      <w:r>
        <w:rPr>
          <w:rFonts w:ascii="Arial" w:cs="Arial" w:eastAsia="Arial" w:hAnsi="Arial"/>
          <w:sz w:val="4"/>
          <w:szCs w:val="4"/>
          <w:color w:val="auto"/>
        </w:rPr>
        <w:t xml:space="preserve">  </w:t>
      </w:r>
    </w:p>
    <w:p>
      <w:pPr>
        <w:spacing w:after="0" w:line="275" w:lineRule="exact"/>
        <w:rPr>
          <w:rFonts w:ascii="Arial" w:cs="Arial" w:eastAsia="Arial" w:hAnsi="Arial"/>
          <w:sz w:val="4"/>
          <w:szCs w:val="4"/>
          <w:color w:val="auto"/>
        </w:rPr>
      </w:pPr>
    </w:p>
    <w:p>
      <w:pPr>
        <w:ind w:left="1020" w:hanging="223"/>
        <w:spacing w:after="0"/>
        <w:tabs>
          <w:tab w:leader="none" w:pos="1020" w:val="left"/>
        </w:tabs>
        <w:numPr>
          <w:ilvl w:val="1"/>
          <w:numId w:val="41"/>
        </w:numPr>
        <w:rPr>
          <w:rFonts w:ascii="Arial" w:cs="Arial" w:eastAsia="Arial" w:hAnsi="Arial"/>
          <w:sz w:val="4"/>
          <w:szCs w:val="4"/>
          <w:color w:val="auto"/>
        </w:rPr>
      </w:pPr>
      <w:r>
        <w:rPr>
          <w:rFonts w:ascii="Arial" w:cs="Arial" w:eastAsia="Arial" w:hAnsi="Arial"/>
          <w:sz w:val="1"/>
          <w:szCs w:val="1"/>
          <w:color w:val="auto"/>
        </w:rPr>
        <w:drawing>
          <wp:inline distT="0" distB="0" distL="0" distR="0">
            <wp:extent cx="145415" cy="13716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4"/>
          <w:szCs w:val="4"/>
          <w:color w:val="auto"/>
        </w:rPr>
        <w:t xml:space="preserve">  </w:t>
      </w:r>
    </w:p>
    <w:p>
      <w:pPr>
        <w:spacing w:after="0" w:line="315" w:lineRule="exact"/>
        <w:rPr>
          <w:rFonts w:ascii="Arial" w:cs="Arial" w:eastAsia="Arial" w:hAnsi="Arial"/>
          <w:sz w:val="4"/>
          <w:szCs w:val="4"/>
          <w:color w:val="auto"/>
        </w:rPr>
      </w:pPr>
    </w:p>
    <w:p>
      <w:pPr>
        <w:ind w:left="1000" w:hanging="221"/>
        <w:spacing w:after="0"/>
        <w:tabs>
          <w:tab w:leader="none" w:pos="1000" w:val="left"/>
        </w:tabs>
        <w:numPr>
          <w:ilvl w:val="0"/>
          <w:numId w:val="41"/>
        </w:numPr>
        <w:rPr>
          <w:rFonts w:ascii="Arial" w:cs="Arial" w:eastAsia="Arial" w:hAnsi="Arial"/>
          <w:sz w:val="4"/>
          <w:szCs w:val="4"/>
          <w:color w:val="auto"/>
        </w:rPr>
      </w:pPr>
      <w:r>
        <w:rPr>
          <w:rFonts w:ascii="Arial" w:cs="Arial" w:eastAsia="Arial" w:hAnsi="Arial"/>
          <w:sz w:val="1"/>
          <w:szCs w:val="1"/>
          <w:color w:val="auto"/>
        </w:rPr>
        <w:drawing>
          <wp:inline distT="0" distB="0" distL="0" distR="0">
            <wp:extent cx="162560" cy="154305"/>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62560" cy="154305"/>
                    </a:xfrm>
                    <a:prstGeom prst="rect">
                      <a:avLst/>
                    </a:prstGeom>
                    <a:noFill/>
                    <a:ln>
                      <a:noFill/>
                    </a:ln>
                  </pic:spPr>
                </pic:pic>
              </a:graphicData>
            </a:graphic>
          </wp:inline>
        </w:drawing>
      </w:r>
      <w:r>
        <w:rPr>
          <w:rFonts w:ascii="Arial" w:cs="Arial" w:eastAsia="Arial" w:hAnsi="Arial"/>
          <w:sz w:val="4"/>
          <w:szCs w:val="4"/>
          <w:color w:val="auto"/>
        </w:rPr>
        <w:t xml:space="preserve">  </w:t>
      </w:r>
    </w:p>
    <w:p>
      <w:pPr>
        <w:spacing w:after="0" w:line="234" w:lineRule="exact"/>
        <w:rPr>
          <w:rFonts w:ascii="Arial" w:cs="Arial" w:eastAsia="Arial" w:hAnsi="Arial"/>
          <w:sz w:val="4"/>
          <w:szCs w:val="4"/>
          <w:color w:val="auto"/>
        </w:rPr>
      </w:pPr>
    </w:p>
    <w:p>
      <w:pPr>
        <w:ind w:left="1020" w:hanging="223"/>
        <w:spacing w:after="0"/>
        <w:tabs>
          <w:tab w:leader="none" w:pos="1020" w:val="left"/>
        </w:tabs>
        <w:numPr>
          <w:ilvl w:val="1"/>
          <w:numId w:val="41"/>
        </w:numPr>
        <w:rPr>
          <w:rFonts w:ascii="Arial" w:cs="Arial" w:eastAsia="Arial" w:hAnsi="Arial"/>
          <w:sz w:val="4"/>
          <w:szCs w:val="4"/>
          <w:color w:val="auto"/>
        </w:rPr>
      </w:pPr>
      <w:r>
        <w:rPr>
          <w:rFonts w:ascii="Arial" w:cs="Arial" w:eastAsia="Arial" w:hAnsi="Arial"/>
          <w:sz w:val="1"/>
          <w:szCs w:val="1"/>
          <w:color w:val="auto"/>
        </w:rPr>
        <w:drawing>
          <wp:inline distT="0" distB="0" distL="0" distR="0">
            <wp:extent cx="145415" cy="13716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4"/>
          <w:szCs w:val="4"/>
          <w:color w:val="auto"/>
        </w:rPr>
        <w:t xml:space="preserve">  </w:t>
      </w:r>
    </w:p>
    <w:p>
      <w:pPr>
        <w:spacing w:after="0" w:line="248" w:lineRule="exact"/>
        <w:rPr>
          <w:rFonts w:ascii="Arial" w:cs="Arial" w:eastAsia="Arial" w:hAnsi="Arial"/>
          <w:sz w:val="4"/>
          <w:szCs w:val="4"/>
          <w:color w:val="auto"/>
        </w:rPr>
      </w:pPr>
    </w:p>
    <w:p>
      <w:pPr>
        <w:ind w:left="1000" w:hanging="221"/>
        <w:spacing w:after="0"/>
        <w:tabs>
          <w:tab w:leader="none" w:pos="1000" w:val="left"/>
        </w:tabs>
        <w:numPr>
          <w:ilvl w:val="0"/>
          <w:numId w:val="41"/>
        </w:numPr>
        <w:rPr>
          <w:rFonts w:ascii="Arial" w:cs="Arial" w:eastAsia="Arial" w:hAnsi="Arial"/>
          <w:sz w:val="4"/>
          <w:szCs w:val="4"/>
          <w:color w:val="auto"/>
        </w:rPr>
      </w:pPr>
      <w:r>
        <w:rPr>
          <w:rFonts w:ascii="Arial" w:cs="Arial" w:eastAsia="Arial" w:hAnsi="Arial"/>
          <w:sz w:val="1"/>
          <w:szCs w:val="1"/>
          <w:color w:val="auto"/>
        </w:rPr>
        <w:drawing>
          <wp:inline distT="0" distB="0" distL="0" distR="0">
            <wp:extent cx="162560" cy="15430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62560" cy="154305"/>
                    </a:xfrm>
                    <a:prstGeom prst="rect">
                      <a:avLst/>
                    </a:prstGeom>
                    <a:noFill/>
                    <a:ln>
                      <a:noFill/>
                    </a:ln>
                  </pic:spPr>
                </pic:pic>
              </a:graphicData>
            </a:graphic>
          </wp:inline>
        </w:drawing>
      </w:r>
      <w:r>
        <w:rPr>
          <w:rFonts w:ascii="Arial" w:cs="Arial" w:eastAsia="Arial" w:hAnsi="Arial"/>
          <w:sz w:val="4"/>
          <w:szCs w:val="4"/>
          <w:color w:val="auto"/>
        </w:rPr>
        <w:t xml:space="preserve">  </w:t>
      </w:r>
    </w:p>
    <w:p>
      <w:pPr>
        <w:spacing w:after="0" w:line="261" w:lineRule="exact"/>
        <w:rPr>
          <w:rFonts w:ascii="Arial" w:cs="Arial" w:eastAsia="Arial" w:hAnsi="Arial"/>
          <w:sz w:val="4"/>
          <w:szCs w:val="4"/>
          <w:color w:val="auto"/>
        </w:rPr>
      </w:pPr>
    </w:p>
    <w:p>
      <w:pPr>
        <w:ind w:left="1020" w:hanging="223"/>
        <w:spacing w:after="0"/>
        <w:tabs>
          <w:tab w:leader="none" w:pos="1020" w:val="left"/>
        </w:tabs>
        <w:numPr>
          <w:ilvl w:val="1"/>
          <w:numId w:val="41"/>
        </w:numPr>
        <w:rPr>
          <w:rFonts w:ascii="Arial" w:cs="Arial" w:eastAsia="Arial" w:hAnsi="Arial"/>
          <w:sz w:val="4"/>
          <w:szCs w:val="4"/>
          <w:color w:val="auto"/>
        </w:rPr>
      </w:pPr>
      <w:r>
        <w:rPr>
          <w:rFonts w:ascii="Arial" w:cs="Arial" w:eastAsia="Arial" w:hAnsi="Arial"/>
          <w:sz w:val="1"/>
          <w:szCs w:val="1"/>
          <w:color w:val="auto"/>
        </w:rPr>
        <w:drawing>
          <wp:inline distT="0" distB="0" distL="0" distR="0">
            <wp:extent cx="145415" cy="13716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4"/>
          <w:szCs w:val="4"/>
          <w:color w:val="auto"/>
        </w:rPr>
        <w:t xml:space="preserve">  </w:t>
      </w:r>
    </w:p>
    <w:p>
      <w:pPr>
        <w:spacing w:after="0" w:line="302" w:lineRule="exact"/>
        <w:rPr>
          <w:rFonts w:ascii="Arial" w:cs="Arial" w:eastAsia="Arial" w:hAnsi="Arial"/>
          <w:sz w:val="4"/>
          <w:szCs w:val="4"/>
          <w:color w:val="auto"/>
        </w:rPr>
      </w:pPr>
    </w:p>
    <w:p>
      <w:pPr>
        <w:ind w:left="1000" w:hanging="221"/>
        <w:spacing w:after="0"/>
        <w:tabs>
          <w:tab w:leader="none" w:pos="1000" w:val="left"/>
        </w:tabs>
        <w:numPr>
          <w:ilvl w:val="0"/>
          <w:numId w:val="41"/>
        </w:numPr>
        <w:rPr>
          <w:rFonts w:ascii="Arial" w:cs="Arial" w:eastAsia="Arial" w:hAnsi="Arial"/>
          <w:sz w:val="4"/>
          <w:szCs w:val="4"/>
          <w:color w:val="auto"/>
        </w:rPr>
      </w:pPr>
      <w:r>
        <w:rPr>
          <w:rFonts w:ascii="Arial" w:cs="Arial" w:eastAsia="Arial" w:hAnsi="Arial"/>
          <w:sz w:val="1"/>
          <w:szCs w:val="1"/>
          <w:color w:val="auto"/>
        </w:rPr>
        <w:drawing>
          <wp:inline distT="0" distB="0" distL="0" distR="0">
            <wp:extent cx="162560" cy="154305"/>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62560" cy="154305"/>
                    </a:xfrm>
                    <a:prstGeom prst="rect">
                      <a:avLst/>
                    </a:prstGeom>
                    <a:noFill/>
                    <a:ln>
                      <a:noFill/>
                    </a:ln>
                  </pic:spPr>
                </pic:pic>
              </a:graphicData>
            </a:graphic>
          </wp:inline>
        </w:drawing>
      </w:r>
      <w:r>
        <w:rPr>
          <w:rFonts w:ascii="Arial" w:cs="Arial" w:eastAsia="Arial" w:hAnsi="Arial"/>
          <w:sz w:val="4"/>
          <w:szCs w:val="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-2199005</wp:posOffset>
            </wp:positionV>
            <wp:extent cx="454660" cy="3346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54660" cy="33464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-1522095</wp:posOffset>
            </wp:positionV>
            <wp:extent cx="454660" cy="3168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54660" cy="31686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-904875</wp:posOffset>
            </wp:positionV>
            <wp:extent cx="454660" cy="3257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54660" cy="3257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-236220</wp:posOffset>
            </wp:positionV>
            <wp:extent cx="454660" cy="3429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54660" cy="342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1420"/>
        <w:spacing w:after="0" w:line="271" w:lineRule="auto"/>
        <w:rPr>
          <w:sz w:val="20"/>
          <w:szCs w:val="20"/>
          <w:color w:val="auto"/>
        </w:rPr>
      </w:pPr>
      <w:r>
        <w:rPr>
          <w:rFonts w:ascii="Arial" w:cs="Arial" w:eastAsia="Arial" w:hAnsi="Arial"/>
          <w:sz w:val="18"/>
          <w:szCs w:val="18"/>
          <w:color w:val="auto"/>
        </w:rPr>
        <w:t>Only “double-trigger” accelerated vesting or payment for equity awards upon a change in control of the Company</w:t>
      </w:r>
    </w:p>
    <w:p>
      <w:pPr>
        <w:spacing w:after="0" w:line="73" w:lineRule="exact"/>
        <w:rPr>
          <w:sz w:val="20"/>
          <w:szCs w:val="20"/>
          <w:color w:val="auto"/>
        </w:rPr>
      </w:pPr>
    </w:p>
    <w:p>
      <w:pPr>
        <w:ind w:right="880"/>
        <w:spacing w:after="0" w:line="253" w:lineRule="auto"/>
        <w:rPr>
          <w:sz w:val="20"/>
          <w:szCs w:val="20"/>
          <w:color w:val="auto"/>
        </w:rPr>
      </w:pPr>
      <w:r>
        <w:rPr>
          <w:rFonts w:ascii="Arial" w:cs="Arial" w:eastAsia="Arial" w:hAnsi="Arial"/>
          <w:sz w:val="18"/>
          <w:szCs w:val="18"/>
          <w:color w:val="auto"/>
        </w:rPr>
        <w:t>Executive stock ownership guidelines that require ownership and further align our executive officers’ interests with those of our stockholders; only shares owned outright and time-based full value equity awards count towards meeting these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24765</wp:posOffset>
            </wp:positionV>
            <wp:extent cx="5700395" cy="3346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700395" cy="33464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Prohibition on hedging of Company common stock</w:t>
      </w:r>
    </w:p>
    <w:p>
      <w:pPr>
        <w:spacing w:after="0" w:line="212" w:lineRule="exact"/>
        <w:rPr>
          <w:sz w:val="20"/>
          <w:szCs w:val="20"/>
          <w:color w:val="auto"/>
        </w:rPr>
      </w:pPr>
    </w:p>
    <w:p>
      <w:pPr>
        <w:ind w:right="1280"/>
        <w:spacing w:after="0" w:line="271" w:lineRule="auto"/>
        <w:rPr>
          <w:sz w:val="20"/>
          <w:szCs w:val="20"/>
          <w:color w:val="auto"/>
        </w:rPr>
      </w:pPr>
      <w:r>
        <w:rPr>
          <w:rFonts w:ascii="Arial" w:cs="Arial" w:eastAsia="Arial" w:hAnsi="Arial"/>
          <w:sz w:val="18"/>
          <w:szCs w:val="18"/>
          <w:color w:val="auto"/>
        </w:rPr>
        <w:t>A compensation recovery, or “clawback,” policy pertaining to all performance-based compensation in the case of a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15240</wp:posOffset>
            </wp:positionV>
            <wp:extent cx="5700395" cy="431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00395" cy="43180"/>
                    </a:xfrm>
                    <a:prstGeom prst="rect">
                      <a:avLst/>
                    </a:prstGeom>
                    <a:noFill/>
                  </pic:spPr>
                </pic:pic>
              </a:graphicData>
            </a:graphic>
          </wp:anchor>
        </w:drawing>
      </w:r>
    </w:p>
    <w:p>
      <w:pPr>
        <w:spacing w:after="0" w:line="53" w:lineRule="exact"/>
        <w:rPr>
          <w:sz w:val="20"/>
          <w:szCs w:val="20"/>
          <w:color w:val="auto"/>
        </w:rPr>
      </w:pPr>
    </w:p>
    <w:p>
      <w:pPr>
        <w:ind w:right="1140"/>
        <w:spacing w:after="0" w:line="271" w:lineRule="auto"/>
        <w:rPr>
          <w:sz w:val="20"/>
          <w:szCs w:val="20"/>
          <w:color w:val="auto"/>
        </w:rPr>
      </w:pPr>
      <w:r>
        <w:rPr>
          <w:rFonts w:ascii="Arial" w:cs="Arial" w:eastAsia="Arial" w:hAnsi="Arial"/>
          <w:sz w:val="18"/>
          <w:szCs w:val="18"/>
          <w:color w:val="auto"/>
        </w:rPr>
        <w:t>Supplemental clawback policy triggered in the event of misconduct situations that covers annual and long-term incentive compensation, including time-based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-284480</wp:posOffset>
            </wp:positionV>
            <wp:extent cx="5700395" cy="2743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00395" cy="27432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Mandatory minimum vesting period of one year for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77470</wp:posOffset>
            </wp:positionV>
            <wp:extent cx="5700395" cy="3257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00395" cy="3257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Annual compensation peer group review with appropriate updates to ensure valid comparisons</w:t>
      </w:r>
    </w:p>
    <w:p>
      <w:pPr>
        <w:spacing w:after="0" w:line="212" w:lineRule="exact"/>
        <w:rPr>
          <w:sz w:val="20"/>
          <w:szCs w:val="20"/>
          <w:color w:val="auto"/>
        </w:rPr>
      </w:pPr>
    </w:p>
    <w:p>
      <w:pPr>
        <w:ind w:right="1260"/>
        <w:spacing w:after="0" w:line="271" w:lineRule="auto"/>
        <w:rPr>
          <w:sz w:val="20"/>
          <w:szCs w:val="20"/>
          <w:color w:val="auto"/>
        </w:rPr>
      </w:pPr>
      <w:r>
        <w:rPr>
          <w:rFonts w:ascii="Arial" w:cs="Arial" w:eastAsia="Arial" w:hAnsi="Arial"/>
          <w:sz w:val="18"/>
          <w:szCs w:val="18"/>
          <w:color w:val="auto"/>
        </w:rPr>
        <w:t>No tax “gross-ups” allowed except with respect to relocation benefits, required spousal travel and certain required regulatory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15240</wp:posOffset>
            </wp:positionV>
            <wp:extent cx="5700395" cy="431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700395" cy="43180"/>
                    </a:xfrm>
                    <a:prstGeom prst="rect">
                      <a:avLst/>
                    </a:prstGeom>
                    <a:noFill/>
                  </pic:spPr>
                </pic:pic>
              </a:graphicData>
            </a:graphic>
          </wp:anchor>
        </w:drawing>
      </w:r>
    </w:p>
    <w:p>
      <w:pPr>
        <w:spacing w:after="0" w:line="53" w:lineRule="exact"/>
        <w:rPr>
          <w:sz w:val="20"/>
          <w:szCs w:val="20"/>
          <w:color w:val="auto"/>
        </w:rPr>
      </w:pPr>
    </w:p>
    <w:p>
      <w:pPr>
        <w:ind w:right="960"/>
        <w:spacing w:after="0" w:line="271" w:lineRule="auto"/>
        <w:rPr>
          <w:sz w:val="20"/>
          <w:szCs w:val="20"/>
          <w:color w:val="auto"/>
        </w:rPr>
      </w:pPr>
      <w:r>
        <w:rPr>
          <w:rFonts w:ascii="Arial" w:cs="Arial" w:eastAsia="Arial" w:hAnsi="Arial"/>
          <w:sz w:val="18"/>
          <w:szCs w:val="18"/>
          <w:color w:val="auto"/>
        </w:rPr>
        <w:t>Independent compensation consultant engaged by the LDCC that does not provide any other services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-284480</wp:posOffset>
            </wp:positionV>
            <wp:extent cx="6155055" cy="3086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155055"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60" w:space="220"/>
            <w:col w:w="9560"/>
          </w:cols>
          <w:pgMar w:left="320" w:top="482" w:right="439" w:bottom="1440" w:gutter="0" w:footer="0" w:header="0"/>
          <w:type w:val="continuous"/>
        </w:sectPr>
      </w:pPr>
    </w:p>
    <w:p>
      <w:pPr>
        <w:spacing w:after="0" w:line="2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EXECUTIVE COMPENSATION PROGRAM</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69951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compensation program is designed to meet the following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10890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08902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76DB5"/>
        </w:rPr>
        <w:t>Attract, retain and reward high caliber talent</w:t>
      </w: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76DB5"/>
        </w:rPr>
        <w:t>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514985</wp:posOffset>
            </wp:positionV>
            <wp:extent cx="276034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91" w:lineRule="exact"/>
        <w:rPr>
          <w:sz w:val="20"/>
          <w:szCs w:val="20"/>
          <w:color w:val="auto"/>
        </w:rPr>
      </w:pPr>
      <w:r>
        <w:rPr>
          <w:rFonts w:ascii="MS PGothic" w:cs="MS PGothic" w:eastAsia="MS PGothic" w:hAnsi="MS PGothic"/>
          <w:sz w:val="9"/>
          <w:szCs w:val="9"/>
          <w:color w:val="376DB5"/>
        </w:rPr>
        <w:t>∎</w:t>
      </w:r>
    </w:p>
    <w:p>
      <w:pPr>
        <w:spacing w:after="0" w:line="200" w:lineRule="exact"/>
        <w:rPr>
          <w:sz w:val="20"/>
          <w:szCs w:val="20"/>
          <w:color w:val="auto"/>
        </w:rPr>
      </w:pPr>
    </w:p>
    <w:p>
      <w:pPr>
        <w:spacing w:after="0" w:line="398" w:lineRule="exact"/>
        <w:rPr>
          <w:sz w:val="20"/>
          <w:szCs w:val="20"/>
          <w:color w:val="auto"/>
        </w:rPr>
      </w:pPr>
    </w:p>
    <w:p>
      <w:pPr>
        <w:spacing w:after="0" w:line="91" w:lineRule="exact"/>
        <w:rPr>
          <w:sz w:val="20"/>
          <w:szCs w:val="20"/>
          <w:color w:val="auto"/>
        </w:rPr>
      </w:pPr>
      <w:r>
        <w:rPr>
          <w:rFonts w:ascii="MS PGothic" w:cs="MS PGothic" w:eastAsia="MS PGothic" w:hAnsi="MS PGothic"/>
          <w:sz w:val="9"/>
          <w:szCs w:val="9"/>
          <w:color w:val="376DB5"/>
        </w:rPr>
        <w:t>∎</w:t>
      </w:r>
    </w:p>
    <w:p>
      <w:pPr>
        <w:spacing w:after="0" w:line="200" w:lineRule="exact"/>
        <w:rPr>
          <w:sz w:val="20"/>
          <w:szCs w:val="20"/>
          <w:color w:val="auto"/>
        </w:rPr>
      </w:pPr>
    </w:p>
    <w:p>
      <w:pPr>
        <w:spacing w:after="0" w:line="236" w:lineRule="exact"/>
        <w:rPr>
          <w:sz w:val="20"/>
          <w:szCs w:val="20"/>
          <w:color w:val="auto"/>
        </w:rPr>
      </w:pPr>
    </w:p>
    <w:p>
      <w:pPr>
        <w:spacing w:after="0" w:line="91" w:lineRule="exact"/>
        <w:rPr>
          <w:sz w:val="20"/>
          <w:szCs w:val="20"/>
          <w:color w:val="auto"/>
        </w:rPr>
      </w:pPr>
      <w:r>
        <w:rPr>
          <w:rFonts w:ascii="MS PGothic" w:cs="MS PGothic" w:eastAsia="MS PGothic" w:hAnsi="MS PGothic"/>
          <w:sz w:val="9"/>
          <w:szCs w:val="9"/>
          <w:color w:val="376DB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234950</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234950</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234950</wp:posOffset>
            </wp:positionV>
            <wp:extent cx="825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234950</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234950</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234950</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234950</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234950</wp:posOffset>
            </wp:positionV>
            <wp:extent cx="825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-156845</wp:posOffset>
            </wp:positionH>
            <wp:positionV relativeFrom="paragraph">
              <wp:posOffset>234950</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234950</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234950</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234950</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-88265</wp:posOffset>
            </wp:positionH>
            <wp:positionV relativeFrom="paragraph">
              <wp:posOffset>234950</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Attract, retain, motivate and reward our outstanding leaders in a competitive market, who are instrumental in maintaining our position as a leading analytics software company</w:t>
      </w:r>
    </w:p>
    <w:p>
      <w:pPr>
        <w:spacing w:after="0" w:line="34"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Set rigorous performance targets that drive achievement of our financial goals and strategic plans</w:t>
      </w:r>
    </w:p>
    <w:p>
      <w:pPr>
        <w:spacing w:after="0" w:line="59"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Responsive payouts that reward leaders for outperformance and result in a lower, or no, payout for results that fall short of high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15240</wp:posOffset>
            </wp:positionV>
            <wp:extent cx="4003040" cy="5226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003040" cy="522605"/>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3">
            <w:col w:w="4220" w:space="720"/>
            <w:col w:w="60" w:space="260"/>
            <w:col w:w="5880"/>
          </w:cols>
          <w:pgMar w:left="320" w:top="482" w:right="439" w:bottom="1440" w:gutter="0" w:footer="0" w:header="0"/>
          <w:type w:val="continuous"/>
        </w:sectPr>
      </w:pPr>
    </w:p>
    <w:p>
      <w:pPr>
        <w:ind w:left="200"/>
        <w:spacing w:after="0"/>
        <w:rPr>
          <w:sz w:val="20"/>
          <w:szCs w:val="20"/>
          <w:color w:val="auto"/>
        </w:rPr>
      </w:pPr>
      <w:r>
        <w:rPr>
          <w:rFonts w:ascii="Arial" w:cs="Arial" w:eastAsia="Arial" w:hAnsi="Arial"/>
          <w:sz w:val="17"/>
          <w:szCs w:val="17"/>
          <w:b w:val="1"/>
          <w:bCs w:val="1"/>
          <w:color w:val="376DB5"/>
        </w:rPr>
        <w:t>Align Executive and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393700</wp:posOffset>
            </wp:positionV>
            <wp:extent cx="270891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76DB5"/>
        </w:rPr>
        <w:t>Account for Individual Performance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91" w:lineRule="exact"/>
        <w:rPr>
          <w:sz w:val="20"/>
          <w:szCs w:val="20"/>
          <w:color w:val="auto"/>
        </w:rPr>
      </w:pPr>
      <w:r>
        <w:rPr>
          <w:rFonts w:ascii="MS PGothic" w:cs="MS PGothic" w:eastAsia="MS PGothic" w:hAnsi="MS PGothic"/>
          <w:sz w:val="9"/>
          <w:szCs w:val="9"/>
          <w:color w:val="376DB5"/>
        </w:rPr>
        <w:t>∎</w:t>
      </w:r>
    </w:p>
    <w:p>
      <w:pPr>
        <w:spacing w:after="0" w:line="234" w:lineRule="exact"/>
        <w:rPr>
          <w:sz w:val="20"/>
          <w:szCs w:val="20"/>
          <w:color w:val="auto"/>
        </w:rPr>
      </w:pPr>
    </w:p>
    <w:p>
      <w:pPr>
        <w:spacing w:after="0" w:line="91" w:lineRule="exact"/>
        <w:rPr>
          <w:sz w:val="20"/>
          <w:szCs w:val="20"/>
          <w:color w:val="auto"/>
        </w:rPr>
      </w:pPr>
      <w:r>
        <w:rPr>
          <w:rFonts w:ascii="MS PGothic" w:cs="MS PGothic" w:eastAsia="MS PGothic" w:hAnsi="MS PGothic"/>
          <w:sz w:val="9"/>
          <w:szCs w:val="9"/>
          <w:color w:val="376DB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234950</wp:posOffset>
            </wp:positionV>
            <wp:extent cx="825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234950</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234950</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-294005</wp:posOffset>
            </wp:positionH>
            <wp:positionV relativeFrom="paragraph">
              <wp:posOffset>234950</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234950</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234950</wp:posOffset>
            </wp:positionV>
            <wp:extent cx="825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234950</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234950</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234950</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234950</wp:posOffset>
            </wp:positionV>
            <wp:extent cx="88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234950</wp:posOffset>
            </wp:positionV>
            <wp:extent cx="825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-156845</wp:posOffset>
            </wp:positionH>
            <wp:positionV relativeFrom="paragraph">
              <wp:posOffset>234950</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234950</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234950</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234950</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-88265</wp:posOffset>
            </wp:positionH>
            <wp:positionV relativeFrom="paragraph">
              <wp:posOffset>234950</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90" w:lineRule="exact"/>
        <w:rPr>
          <w:sz w:val="20"/>
          <w:szCs w:val="20"/>
          <w:color w:val="auto"/>
        </w:rPr>
      </w:pPr>
    </w:p>
    <w:p>
      <w:pPr>
        <w:spacing w:after="0" w:line="91" w:lineRule="exact"/>
        <w:rPr>
          <w:sz w:val="20"/>
          <w:szCs w:val="20"/>
          <w:color w:val="auto"/>
        </w:rPr>
      </w:pPr>
      <w:r>
        <w:rPr>
          <w:rFonts w:ascii="MS PGothic" w:cs="MS PGothic" w:eastAsia="MS PGothic" w:hAnsi="MS PGothic"/>
          <w:sz w:val="9"/>
          <w:szCs w:val="9"/>
          <w:color w:val="376DB5"/>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Encourage long-term, sustained value creation for stockholders</w:t>
      </w:r>
    </w:p>
    <w:p>
      <w:pPr>
        <w:spacing w:after="0" w:line="11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Heavily weight equity incentives to maximize alignment between executives’ pay outcomes and stockholder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15240</wp:posOffset>
            </wp:positionV>
            <wp:extent cx="4003040" cy="3086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003040" cy="308610"/>
                    </a:xfrm>
                    <a:prstGeom prst="rect">
                      <a:avLst/>
                    </a:prstGeom>
                    <a:noFill/>
                  </pic:spPr>
                </pic:pic>
              </a:graphicData>
            </a:graphic>
          </wp:anchor>
        </w:drawing>
      </w:r>
    </w:p>
    <w:p>
      <w:pPr>
        <w:spacing w:after="0" w:line="1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Calibrate pay levels and opportunities relative to individuals’ contributions and track record of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6350</wp:posOffset>
            </wp:positionV>
            <wp:extent cx="69951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3">
            <w:col w:w="4220" w:space="720"/>
            <w:col w:w="60" w:space="260"/>
            <w:col w:w="5880"/>
          </w:cols>
          <w:pgMar w:left="320" w:top="482" w:right="439" w:bottom="1440" w:gutter="0" w:footer="0" w:header="0"/>
          <w:type w:val="continuous"/>
        </w:sect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43</w:t>
      </w:r>
    </w:p>
    <w:p>
      <w:pPr>
        <w:sectPr>
          <w:pgSz w:w="11900" w:h="16838" w:orient="portrait"/>
          <w:cols w:equalWidth="0" w:num="1">
            <w:col w:w="11140"/>
          </w:cols>
          <w:pgMar w:left="320" w:top="482" w:right="4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2025 Elements of Compensation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fiscal 2025 executive compensation program consisted of the following key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163195</wp:posOffset>
            </wp:positionV>
            <wp:extent cx="5872480" cy="8058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87248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1780" w:type="dxa"/>
            <w:vAlign w:val="bottom"/>
          </w:tcPr>
          <w:p>
            <w:pPr>
              <w:spacing w:after="0"/>
              <w:rPr>
                <w:sz w:val="20"/>
                <w:szCs w:val="20"/>
                <w:color w:val="auto"/>
              </w:rPr>
            </w:pPr>
            <w:r>
              <w:rPr>
                <w:rFonts w:ascii="Arial" w:cs="Arial" w:eastAsia="Arial" w:hAnsi="Arial"/>
                <w:sz w:val="18"/>
                <w:szCs w:val="18"/>
                <w:b w:val="1"/>
                <w:bCs w:val="1"/>
                <w:color w:val="1F438E"/>
              </w:rPr>
              <w:t>WHAT</w:t>
            </w: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1620" w:type="dxa"/>
            <w:vAlign w:val="bottom"/>
            <w:gridSpan w:val="2"/>
          </w:tcPr>
          <w:p>
            <w:pPr>
              <w:ind w:left="60"/>
              <w:spacing w:after="0"/>
              <w:rPr>
                <w:sz w:val="20"/>
                <w:szCs w:val="20"/>
                <w:color w:val="auto"/>
              </w:rPr>
            </w:pPr>
            <w:r>
              <w:rPr>
                <w:rFonts w:ascii="Arial" w:cs="Arial" w:eastAsia="Arial" w:hAnsi="Arial"/>
                <w:sz w:val="17"/>
                <w:szCs w:val="17"/>
                <w:color w:val="auto"/>
              </w:rPr>
              <w:t>Cash</w:t>
            </w:r>
          </w:p>
        </w:tc>
        <w:tc>
          <w:tcPr>
            <w:tcW w:w="260" w:type="dxa"/>
            <w:vAlign w:val="bottom"/>
          </w:tcPr>
          <w:p>
            <w:pPr>
              <w:ind w:left="160"/>
              <w:spacing w:after="0"/>
              <w:rPr>
                <w:sz w:val="20"/>
                <w:szCs w:val="20"/>
                <w:color w:val="auto"/>
              </w:rPr>
            </w:pPr>
            <w:r>
              <w:rPr>
                <w:rFonts w:ascii="Arial" w:cs="Arial" w:eastAsia="Arial" w:hAnsi="Arial"/>
                <w:sz w:val="17"/>
                <w:szCs w:val="17"/>
                <w:color w:val="auto"/>
              </w:rPr>
              <w:t>•</w:t>
            </w:r>
          </w:p>
        </w:tc>
        <w:tc>
          <w:tcPr>
            <w:tcW w:w="1700" w:type="dxa"/>
            <w:vAlign w:val="bottom"/>
            <w:gridSpan w:val="2"/>
          </w:tcPr>
          <w:p>
            <w:pPr>
              <w:ind w:left="60"/>
              <w:spacing w:after="0"/>
              <w:rPr>
                <w:sz w:val="20"/>
                <w:szCs w:val="20"/>
                <w:color w:val="auto"/>
              </w:rPr>
            </w:pPr>
            <w:r>
              <w:rPr>
                <w:rFonts w:ascii="Arial" w:cs="Arial" w:eastAsia="Arial" w:hAnsi="Arial"/>
                <w:sz w:val="17"/>
                <w:szCs w:val="17"/>
                <w:color w:val="auto"/>
              </w:rPr>
              <w:t>Cash</w:t>
            </w:r>
          </w:p>
        </w:tc>
        <w:tc>
          <w:tcPr>
            <w:tcW w:w="180" w:type="dxa"/>
            <w:vAlign w:val="bottom"/>
          </w:tcPr>
          <w:p>
            <w:pPr>
              <w:ind w:left="60"/>
              <w:spacing w:after="0"/>
              <w:rPr>
                <w:sz w:val="20"/>
                <w:szCs w:val="20"/>
                <w:color w:val="auto"/>
              </w:rPr>
            </w:pPr>
            <w:r>
              <w:rPr>
                <w:rFonts w:ascii="Arial" w:cs="Arial" w:eastAsia="Arial" w:hAnsi="Arial"/>
                <w:sz w:val="17"/>
                <w:szCs w:val="17"/>
                <w:color w:val="auto"/>
              </w:rPr>
              <w:t>•</w:t>
            </w:r>
          </w:p>
        </w:tc>
        <w:tc>
          <w:tcPr>
            <w:tcW w:w="1660" w:type="dxa"/>
            <w:vAlign w:val="bottom"/>
            <w:gridSpan w:val="2"/>
          </w:tcPr>
          <w:p>
            <w:pPr>
              <w:ind w:left="40"/>
              <w:spacing w:after="0"/>
              <w:rPr>
                <w:sz w:val="20"/>
                <w:szCs w:val="20"/>
                <w:color w:val="auto"/>
              </w:rPr>
            </w:pPr>
            <w:r>
              <w:rPr>
                <w:rFonts w:ascii="Arial" w:cs="Arial" w:eastAsia="Arial" w:hAnsi="Arial"/>
                <w:sz w:val="17"/>
                <w:szCs w:val="17"/>
                <w:color w:val="auto"/>
              </w:rPr>
              <w:t>Equity</w:t>
            </w:r>
          </w:p>
        </w:tc>
        <w:tc>
          <w:tcPr>
            <w:tcW w:w="200" w:type="dxa"/>
            <w:vAlign w:val="bottom"/>
          </w:tcPr>
          <w:p>
            <w:pPr>
              <w:ind w:left="80"/>
              <w:spacing w:after="0"/>
              <w:rPr>
                <w:sz w:val="20"/>
                <w:szCs w:val="20"/>
                <w:color w:val="auto"/>
              </w:rPr>
            </w:pPr>
            <w:r>
              <w:rPr>
                <w:rFonts w:ascii="Arial" w:cs="Arial" w:eastAsia="Arial" w:hAnsi="Arial"/>
                <w:sz w:val="17"/>
                <w:szCs w:val="17"/>
                <w:color w:val="auto"/>
              </w:rPr>
              <w:t>•</w:t>
            </w:r>
          </w:p>
        </w:tc>
        <w:tc>
          <w:tcPr>
            <w:tcW w:w="1680" w:type="dxa"/>
            <w:vAlign w:val="bottom"/>
            <w:gridSpan w:val="2"/>
          </w:tcPr>
          <w:p>
            <w:pPr>
              <w:ind w:left="60"/>
              <w:spacing w:after="0"/>
              <w:rPr>
                <w:sz w:val="20"/>
                <w:szCs w:val="20"/>
                <w:color w:val="auto"/>
              </w:rPr>
            </w:pPr>
            <w:r>
              <w:rPr>
                <w:rFonts w:ascii="Arial" w:cs="Arial" w:eastAsia="Arial" w:hAnsi="Arial"/>
                <w:sz w:val="17"/>
                <w:szCs w:val="17"/>
                <w:color w:val="auto"/>
              </w:rPr>
              <w:t>Equity</w:t>
            </w:r>
          </w:p>
        </w:tc>
        <w:tc>
          <w:tcPr>
            <w:tcW w:w="180" w:type="dxa"/>
            <w:vAlign w:val="bottom"/>
          </w:tcPr>
          <w:p>
            <w:pPr>
              <w:ind w:left="60"/>
              <w:spacing w:after="0"/>
              <w:rPr>
                <w:sz w:val="20"/>
                <w:szCs w:val="20"/>
                <w:color w:val="auto"/>
              </w:rPr>
            </w:pPr>
            <w:r>
              <w:rPr>
                <w:rFonts w:ascii="Arial" w:cs="Arial" w:eastAsia="Arial" w:hAnsi="Arial"/>
                <w:sz w:val="17"/>
                <w:szCs w:val="17"/>
                <w:color w:val="auto"/>
              </w:rPr>
              <w:t>•</w:t>
            </w:r>
          </w:p>
        </w:tc>
        <w:tc>
          <w:tcPr>
            <w:tcW w:w="1540" w:type="dxa"/>
            <w:vAlign w:val="bottom"/>
            <w:gridSpan w:val="2"/>
          </w:tcPr>
          <w:p>
            <w:pPr>
              <w:ind w:left="60"/>
              <w:spacing w:after="0"/>
              <w:rPr>
                <w:sz w:val="20"/>
                <w:szCs w:val="20"/>
                <w:color w:val="auto"/>
              </w:rPr>
            </w:pPr>
            <w:r>
              <w:rPr>
                <w:rFonts w:ascii="Arial" w:cs="Arial" w:eastAsia="Arial" w:hAnsi="Arial"/>
                <w:sz w:val="17"/>
                <w:szCs w:val="17"/>
                <w:color w:val="auto"/>
              </w:rPr>
              <w:t>Equity</w:t>
            </w:r>
          </w:p>
        </w:tc>
        <w:tc>
          <w:tcPr>
            <w:tcW w:w="0" w:type="dxa"/>
            <w:vAlign w:val="bottom"/>
          </w:tcPr>
          <w:p>
            <w:pPr>
              <w:spacing w:after="0"/>
              <w:rPr>
                <w:sz w:val="1"/>
                <w:szCs w:val="1"/>
                <w:color w:val="auto"/>
              </w:rPr>
            </w:pPr>
          </w:p>
        </w:tc>
      </w:tr>
      <w:tr>
        <w:trPr>
          <w:trHeight w:val="56"/>
        </w:trPr>
        <w:tc>
          <w:tcPr>
            <w:tcW w:w="1780" w:type="dxa"/>
            <w:vAlign w:val="bottom"/>
            <w:tcBorders>
              <w:bottom w:val="single" w:sz="8" w:color="D8D8D8"/>
            </w:tcBorders>
          </w:tcPr>
          <w:p>
            <w:pPr>
              <w:spacing w:after="0"/>
              <w:rPr>
                <w:sz w:val="4"/>
                <w:szCs w:val="4"/>
                <w:color w:val="auto"/>
              </w:rPr>
            </w:pPr>
          </w:p>
        </w:tc>
        <w:tc>
          <w:tcPr>
            <w:tcW w:w="220" w:type="dxa"/>
            <w:vAlign w:val="bottom"/>
            <w:tcBorders>
              <w:bottom w:val="single" w:sz="8" w:color="D8D8D8"/>
            </w:tcBorders>
          </w:tcPr>
          <w:p>
            <w:pPr>
              <w:spacing w:after="0"/>
              <w:rPr>
                <w:sz w:val="4"/>
                <w:szCs w:val="4"/>
                <w:color w:val="auto"/>
              </w:rPr>
            </w:pPr>
          </w:p>
        </w:tc>
        <w:tc>
          <w:tcPr>
            <w:tcW w:w="160" w:type="dxa"/>
            <w:vAlign w:val="bottom"/>
            <w:tcBorders>
              <w:bottom w:val="single" w:sz="8" w:color="D8D8D8"/>
            </w:tcBorders>
          </w:tcPr>
          <w:p>
            <w:pPr>
              <w:spacing w:after="0"/>
              <w:rPr>
                <w:sz w:val="4"/>
                <w:szCs w:val="4"/>
                <w:color w:val="auto"/>
              </w:rPr>
            </w:pPr>
          </w:p>
        </w:tc>
        <w:tc>
          <w:tcPr>
            <w:tcW w:w="1460" w:type="dxa"/>
            <w:vAlign w:val="bottom"/>
            <w:tcBorders>
              <w:bottom w:val="single" w:sz="8" w:color="D8D8D8"/>
            </w:tcBorders>
          </w:tcPr>
          <w:p>
            <w:pPr>
              <w:spacing w:after="0"/>
              <w:rPr>
                <w:sz w:val="4"/>
                <w:szCs w:val="4"/>
                <w:color w:val="auto"/>
              </w:rPr>
            </w:pPr>
          </w:p>
        </w:tc>
        <w:tc>
          <w:tcPr>
            <w:tcW w:w="260" w:type="dxa"/>
            <w:vAlign w:val="bottom"/>
            <w:tcBorders>
              <w:bottom w:val="single" w:sz="8" w:color="D8D8D8"/>
            </w:tcBorders>
          </w:tcPr>
          <w:p>
            <w:pPr>
              <w:spacing w:after="0"/>
              <w:rPr>
                <w:sz w:val="4"/>
                <w:szCs w:val="4"/>
                <w:color w:val="auto"/>
              </w:rPr>
            </w:pPr>
          </w:p>
        </w:tc>
        <w:tc>
          <w:tcPr>
            <w:tcW w:w="180" w:type="dxa"/>
            <w:vAlign w:val="bottom"/>
            <w:tcBorders>
              <w:bottom w:val="single" w:sz="8" w:color="D8D8D8"/>
            </w:tcBorders>
          </w:tcPr>
          <w:p>
            <w:pPr>
              <w:spacing w:after="0"/>
              <w:rPr>
                <w:sz w:val="4"/>
                <w:szCs w:val="4"/>
                <w:color w:val="auto"/>
              </w:rPr>
            </w:pPr>
          </w:p>
        </w:tc>
        <w:tc>
          <w:tcPr>
            <w:tcW w:w="1520" w:type="dxa"/>
            <w:vAlign w:val="bottom"/>
            <w:tcBorders>
              <w:bottom w:val="single" w:sz="8" w:color="D8D8D8"/>
            </w:tcBorders>
          </w:tcPr>
          <w:p>
            <w:pPr>
              <w:spacing w:after="0"/>
              <w:rPr>
                <w:sz w:val="4"/>
                <w:szCs w:val="4"/>
                <w:color w:val="auto"/>
              </w:rPr>
            </w:pPr>
          </w:p>
        </w:tc>
        <w:tc>
          <w:tcPr>
            <w:tcW w:w="180" w:type="dxa"/>
            <w:vAlign w:val="bottom"/>
            <w:tcBorders>
              <w:bottom w:val="single" w:sz="8" w:color="D8D8D8"/>
            </w:tcBorders>
          </w:tcPr>
          <w:p>
            <w:pPr>
              <w:spacing w:after="0"/>
              <w:rPr>
                <w:sz w:val="4"/>
                <w:szCs w:val="4"/>
                <w:color w:val="auto"/>
              </w:rPr>
            </w:pPr>
          </w:p>
        </w:tc>
        <w:tc>
          <w:tcPr>
            <w:tcW w:w="160" w:type="dxa"/>
            <w:vAlign w:val="bottom"/>
            <w:tcBorders>
              <w:bottom w:val="single" w:sz="8" w:color="D8D8D8"/>
            </w:tcBorders>
          </w:tcPr>
          <w:p>
            <w:pPr>
              <w:spacing w:after="0"/>
              <w:rPr>
                <w:sz w:val="4"/>
                <w:szCs w:val="4"/>
                <w:color w:val="auto"/>
              </w:rPr>
            </w:pPr>
          </w:p>
        </w:tc>
        <w:tc>
          <w:tcPr>
            <w:tcW w:w="1500" w:type="dxa"/>
            <w:vAlign w:val="bottom"/>
            <w:tcBorders>
              <w:bottom w:val="single" w:sz="8" w:color="D8D8D8"/>
            </w:tcBorders>
          </w:tcPr>
          <w:p>
            <w:pPr>
              <w:spacing w:after="0"/>
              <w:rPr>
                <w:sz w:val="4"/>
                <w:szCs w:val="4"/>
                <w:color w:val="auto"/>
              </w:rPr>
            </w:pPr>
          </w:p>
        </w:tc>
        <w:tc>
          <w:tcPr>
            <w:tcW w:w="200" w:type="dxa"/>
            <w:vAlign w:val="bottom"/>
            <w:tcBorders>
              <w:bottom w:val="single" w:sz="8" w:color="D8D8D8"/>
            </w:tcBorders>
          </w:tcPr>
          <w:p>
            <w:pPr>
              <w:spacing w:after="0"/>
              <w:rPr>
                <w:sz w:val="4"/>
                <w:szCs w:val="4"/>
                <w:color w:val="auto"/>
              </w:rPr>
            </w:pPr>
          </w:p>
        </w:tc>
        <w:tc>
          <w:tcPr>
            <w:tcW w:w="160" w:type="dxa"/>
            <w:vAlign w:val="bottom"/>
            <w:tcBorders>
              <w:bottom w:val="single" w:sz="8" w:color="D8D8D8"/>
            </w:tcBorders>
          </w:tcPr>
          <w:p>
            <w:pPr>
              <w:spacing w:after="0"/>
              <w:rPr>
                <w:sz w:val="4"/>
                <w:szCs w:val="4"/>
                <w:color w:val="auto"/>
              </w:rPr>
            </w:pPr>
          </w:p>
        </w:tc>
        <w:tc>
          <w:tcPr>
            <w:tcW w:w="1520" w:type="dxa"/>
            <w:vAlign w:val="bottom"/>
            <w:tcBorders>
              <w:bottom w:val="single" w:sz="8" w:color="D8D8D8"/>
            </w:tcBorders>
          </w:tcPr>
          <w:p>
            <w:pPr>
              <w:spacing w:after="0"/>
              <w:rPr>
                <w:sz w:val="4"/>
                <w:szCs w:val="4"/>
                <w:color w:val="auto"/>
              </w:rPr>
            </w:pPr>
          </w:p>
        </w:tc>
        <w:tc>
          <w:tcPr>
            <w:tcW w:w="180" w:type="dxa"/>
            <w:vAlign w:val="bottom"/>
            <w:tcBorders>
              <w:bottom w:val="single" w:sz="8" w:color="D8D8D8"/>
            </w:tcBorders>
          </w:tcPr>
          <w:p>
            <w:pPr>
              <w:spacing w:after="0"/>
              <w:rPr>
                <w:sz w:val="4"/>
                <w:szCs w:val="4"/>
                <w:color w:val="auto"/>
              </w:rPr>
            </w:pPr>
          </w:p>
        </w:tc>
        <w:tc>
          <w:tcPr>
            <w:tcW w:w="160" w:type="dxa"/>
            <w:vAlign w:val="bottom"/>
            <w:tcBorders>
              <w:bottom w:val="single" w:sz="8" w:color="D8D8D8"/>
            </w:tcBorders>
          </w:tcPr>
          <w:p>
            <w:pPr>
              <w:spacing w:after="0"/>
              <w:rPr>
                <w:sz w:val="4"/>
                <w:szCs w:val="4"/>
                <w:color w:val="auto"/>
              </w:rPr>
            </w:pPr>
          </w:p>
        </w:tc>
        <w:tc>
          <w:tcPr>
            <w:tcW w:w="1380" w:type="dxa"/>
            <w:vAlign w:val="bottom"/>
            <w:tcBorders>
              <w:bottom w:val="single" w:sz="8" w:color="D8D8D8"/>
            </w:tcBorders>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1780" w:type="dxa"/>
            <w:vAlign w:val="bottom"/>
          </w:tcPr>
          <w:p>
            <w:pPr>
              <w:spacing w:after="0"/>
              <w:rPr>
                <w:sz w:val="20"/>
                <w:szCs w:val="20"/>
                <w:color w:val="auto"/>
              </w:rPr>
            </w:pPr>
            <w:r>
              <w:rPr>
                <w:rFonts w:ascii="Arial" w:cs="Arial" w:eastAsia="Arial" w:hAnsi="Arial"/>
                <w:sz w:val="17"/>
                <w:szCs w:val="17"/>
                <w:b w:val="1"/>
                <w:bCs w:val="1"/>
                <w:color w:val="1F438E"/>
              </w:rPr>
              <w:t>PAY MIX</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1780" w:type="dxa"/>
            <w:vAlign w:val="bottom"/>
          </w:tcPr>
          <w:p>
            <w:pPr>
              <w:spacing w:after="0"/>
              <w:rPr>
                <w:sz w:val="20"/>
                <w:szCs w:val="20"/>
                <w:color w:val="auto"/>
              </w:rPr>
            </w:pPr>
            <w:r>
              <w:rPr>
                <w:rFonts w:ascii="Arial" w:cs="Arial" w:eastAsia="Arial" w:hAnsi="Arial"/>
                <w:sz w:val="17"/>
                <w:szCs w:val="17"/>
                <w:color w:val="auto"/>
              </w:rPr>
              <w:t>CEO</w:t>
            </w:r>
          </w:p>
        </w:tc>
        <w:tc>
          <w:tcPr>
            <w:tcW w:w="220" w:type="dxa"/>
            <w:vAlign w:val="bottom"/>
          </w:tcPr>
          <w:p>
            <w:pPr>
              <w:ind w:left="100"/>
              <w:spacing w:after="0"/>
              <w:rPr>
                <w:sz w:val="20"/>
                <w:szCs w:val="20"/>
                <w:color w:val="auto"/>
              </w:rPr>
            </w:pPr>
            <w:r>
              <w:rPr>
                <w:rFonts w:ascii="Arial" w:cs="Arial" w:eastAsia="Arial" w:hAnsi="Arial"/>
                <w:sz w:val="14"/>
                <w:szCs w:val="14"/>
                <w:color w:val="auto"/>
                <w:w w:val="71"/>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460" w:type="dxa"/>
            <w:vAlign w:val="bottom"/>
          </w:tcPr>
          <w:p>
            <w:pPr>
              <w:jc w:val="right"/>
              <w:ind w:right="915"/>
              <w:spacing w:after="0"/>
              <w:rPr>
                <w:sz w:val="20"/>
                <w:szCs w:val="20"/>
                <w:color w:val="auto"/>
              </w:rPr>
            </w:pPr>
            <w:r>
              <w:rPr>
                <w:rFonts w:ascii="Arial" w:cs="Arial" w:eastAsia="Arial" w:hAnsi="Arial"/>
                <w:sz w:val="17"/>
                <w:szCs w:val="17"/>
                <w:color w:val="auto"/>
              </w:rPr>
              <w:t>2.4%</w:t>
            </w:r>
          </w:p>
        </w:tc>
        <w:tc>
          <w:tcPr>
            <w:tcW w:w="260" w:type="dxa"/>
            <w:vAlign w:val="bottom"/>
          </w:tcPr>
          <w:p>
            <w:pPr>
              <w:ind w:left="160"/>
              <w:spacing w:after="0"/>
              <w:rPr>
                <w:sz w:val="20"/>
                <w:szCs w:val="20"/>
                <w:color w:val="auto"/>
              </w:rPr>
            </w:pPr>
            <w:r>
              <w:rPr>
                <w:rFonts w:ascii="Arial" w:cs="Arial" w:eastAsia="Arial" w:hAnsi="Arial"/>
                <w:sz w:val="11"/>
                <w:szCs w:val="11"/>
                <w:color w:val="auto"/>
                <w:w w:val="72"/>
              </w:rPr>
              <w:t> </w:t>
            </w:r>
          </w:p>
        </w:tc>
        <w:tc>
          <w:tcPr>
            <w:tcW w:w="180" w:type="dxa"/>
            <w:vAlign w:val="bottom"/>
          </w:tcPr>
          <w:p>
            <w:pPr>
              <w:jc w:val="right"/>
              <w:spacing w:after="0"/>
              <w:rPr>
                <w:sz w:val="20"/>
                <w:szCs w:val="20"/>
                <w:color w:val="auto"/>
              </w:rPr>
            </w:pPr>
            <w:r>
              <w:rPr>
                <w:rFonts w:ascii="Arial" w:cs="Arial" w:eastAsia="Arial" w:hAnsi="Arial"/>
                <w:sz w:val="14"/>
                <w:szCs w:val="14"/>
                <w:color w:val="auto"/>
                <w:w w:val="71"/>
              </w:rPr>
              <w:t> </w:t>
            </w:r>
          </w:p>
        </w:tc>
        <w:tc>
          <w:tcPr>
            <w:tcW w:w="1520" w:type="dxa"/>
            <w:vAlign w:val="bottom"/>
          </w:tcPr>
          <w:p>
            <w:pPr>
              <w:ind w:left="60"/>
              <w:spacing w:after="0"/>
              <w:rPr>
                <w:sz w:val="20"/>
                <w:szCs w:val="20"/>
                <w:color w:val="auto"/>
              </w:rPr>
            </w:pPr>
            <w:r>
              <w:rPr>
                <w:rFonts w:ascii="Arial" w:cs="Arial" w:eastAsia="Arial" w:hAnsi="Arial"/>
                <w:sz w:val="17"/>
                <w:szCs w:val="17"/>
                <w:color w:val="auto"/>
              </w:rPr>
              <w:t>2.4%</w:t>
            </w:r>
          </w:p>
        </w:tc>
        <w:tc>
          <w:tcPr>
            <w:tcW w:w="180" w:type="dxa"/>
            <w:vAlign w:val="bottom"/>
          </w:tcPr>
          <w:p>
            <w:pPr>
              <w:ind w:left="60"/>
              <w:spacing w:after="0"/>
              <w:rPr>
                <w:sz w:val="20"/>
                <w:szCs w:val="20"/>
                <w:color w:val="auto"/>
              </w:rPr>
            </w:pPr>
            <w:r>
              <w:rPr>
                <w:rFonts w:ascii="Arial" w:cs="Arial" w:eastAsia="Arial" w:hAnsi="Arial"/>
                <w:sz w:val="14"/>
                <w:szCs w:val="14"/>
                <w:color w:val="auto"/>
                <w:w w:val="71"/>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500" w:type="dxa"/>
            <w:vAlign w:val="bottom"/>
          </w:tcPr>
          <w:p>
            <w:pPr>
              <w:jc w:val="right"/>
              <w:ind w:right="875"/>
              <w:spacing w:after="0"/>
              <w:rPr>
                <w:sz w:val="20"/>
                <w:szCs w:val="20"/>
                <w:color w:val="auto"/>
              </w:rPr>
            </w:pPr>
            <w:r>
              <w:rPr>
                <w:rFonts w:ascii="Arial" w:cs="Arial" w:eastAsia="Arial" w:hAnsi="Arial"/>
                <w:sz w:val="17"/>
                <w:szCs w:val="17"/>
                <w:color w:val="auto"/>
              </w:rPr>
              <w:t>31.8%</w:t>
            </w:r>
          </w:p>
        </w:tc>
        <w:tc>
          <w:tcPr>
            <w:tcW w:w="200" w:type="dxa"/>
            <w:vAlign w:val="bottom"/>
          </w:tcPr>
          <w:p>
            <w:pPr>
              <w:ind w:left="80"/>
              <w:spacing w:after="0"/>
              <w:rPr>
                <w:sz w:val="20"/>
                <w:szCs w:val="20"/>
                <w:color w:val="auto"/>
              </w:rPr>
            </w:pPr>
            <w:r>
              <w:rPr>
                <w:rFonts w:ascii="Arial" w:cs="Arial" w:eastAsia="Arial" w:hAnsi="Arial"/>
                <w:sz w:val="14"/>
                <w:szCs w:val="14"/>
                <w:color w:val="auto"/>
                <w:w w:val="71"/>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520" w:type="dxa"/>
            <w:vAlign w:val="bottom"/>
          </w:tcPr>
          <w:p>
            <w:pPr>
              <w:jc w:val="right"/>
              <w:ind w:right="895"/>
              <w:spacing w:after="0"/>
              <w:rPr>
                <w:sz w:val="20"/>
                <w:szCs w:val="20"/>
                <w:color w:val="auto"/>
              </w:rPr>
            </w:pPr>
            <w:r>
              <w:rPr>
                <w:rFonts w:ascii="Arial" w:cs="Arial" w:eastAsia="Arial" w:hAnsi="Arial"/>
                <w:sz w:val="17"/>
                <w:szCs w:val="17"/>
                <w:color w:val="auto"/>
              </w:rPr>
              <w:t>31.8%</w:t>
            </w:r>
          </w:p>
        </w:tc>
        <w:tc>
          <w:tcPr>
            <w:tcW w:w="180" w:type="dxa"/>
            <w:vAlign w:val="bottom"/>
          </w:tcPr>
          <w:p>
            <w:pPr>
              <w:ind w:left="60"/>
              <w:spacing w:after="0"/>
              <w:rPr>
                <w:sz w:val="20"/>
                <w:szCs w:val="20"/>
                <w:color w:val="auto"/>
              </w:rPr>
            </w:pPr>
            <w:r>
              <w:rPr>
                <w:rFonts w:ascii="Arial" w:cs="Arial" w:eastAsia="Arial" w:hAnsi="Arial"/>
                <w:sz w:val="14"/>
                <w:szCs w:val="14"/>
                <w:color w:val="auto"/>
                <w:w w:val="71"/>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380" w:type="dxa"/>
            <w:vAlign w:val="bottom"/>
          </w:tcPr>
          <w:p>
            <w:pPr>
              <w:jc w:val="right"/>
              <w:ind w:right="735"/>
              <w:spacing w:after="0"/>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225"/>
        </w:trPr>
        <w:tc>
          <w:tcPr>
            <w:tcW w:w="1780" w:type="dxa"/>
            <w:vAlign w:val="bottom"/>
          </w:tcPr>
          <w:p>
            <w:pPr>
              <w:spacing w:after="0"/>
              <w:rPr>
                <w:sz w:val="20"/>
                <w:szCs w:val="20"/>
                <w:color w:val="auto"/>
              </w:rPr>
            </w:pPr>
            <w:r>
              <w:rPr>
                <w:rFonts w:ascii="Arial" w:cs="Arial" w:eastAsia="Arial" w:hAnsi="Arial"/>
                <w:sz w:val="17"/>
                <w:szCs w:val="17"/>
                <w:color w:val="auto"/>
              </w:rPr>
              <w:t>Other NEOs</w:t>
            </w:r>
          </w:p>
        </w:tc>
        <w:tc>
          <w:tcPr>
            <w:tcW w:w="220" w:type="dxa"/>
            <w:vAlign w:val="bottom"/>
          </w:tcPr>
          <w:p>
            <w:pPr>
              <w:ind w:left="100"/>
              <w:spacing w:after="0"/>
              <w:rPr>
                <w:sz w:val="20"/>
                <w:szCs w:val="20"/>
                <w:color w:val="auto"/>
              </w:rPr>
            </w:pPr>
            <w:r>
              <w:rPr>
                <w:rFonts w:ascii="Arial" w:cs="Arial" w:eastAsia="Arial" w:hAnsi="Arial"/>
                <w:sz w:val="14"/>
                <w:szCs w:val="14"/>
                <w:color w:val="auto"/>
                <w:w w:val="71"/>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460" w:type="dxa"/>
            <w:vAlign w:val="bottom"/>
          </w:tcPr>
          <w:p>
            <w:pPr>
              <w:jc w:val="right"/>
              <w:ind w:right="915"/>
              <w:spacing w:after="0"/>
              <w:rPr>
                <w:sz w:val="20"/>
                <w:szCs w:val="20"/>
                <w:color w:val="auto"/>
              </w:rPr>
            </w:pPr>
            <w:r>
              <w:rPr>
                <w:rFonts w:ascii="Arial" w:cs="Arial" w:eastAsia="Arial" w:hAnsi="Arial"/>
                <w:sz w:val="17"/>
                <w:szCs w:val="17"/>
                <w:color w:val="auto"/>
              </w:rPr>
              <w:t>6.9%</w:t>
            </w:r>
          </w:p>
        </w:tc>
        <w:tc>
          <w:tcPr>
            <w:tcW w:w="260" w:type="dxa"/>
            <w:vAlign w:val="bottom"/>
          </w:tcPr>
          <w:p>
            <w:pPr>
              <w:ind w:left="160"/>
              <w:spacing w:after="0"/>
              <w:rPr>
                <w:sz w:val="20"/>
                <w:szCs w:val="20"/>
                <w:color w:val="auto"/>
              </w:rPr>
            </w:pPr>
            <w:r>
              <w:rPr>
                <w:rFonts w:ascii="Arial" w:cs="Arial" w:eastAsia="Arial" w:hAnsi="Arial"/>
                <w:sz w:val="11"/>
                <w:szCs w:val="11"/>
                <w:color w:val="auto"/>
                <w:w w:val="72"/>
              </w:rPr>
              <w:t> </w:t>
            </w:r>
          </w:p>
        </w:tc>
        <w:tc>
          <w:tcPr>
            <w:tcW w:w="180" w:type="dxa"/>
            <w:vAlign w:val="bottom"/>
          </w:tcPr>
          <w:p>
            <w:pPr>
              <w:jc w:val="right"/>
              <w:spacing w:after="0"/>
              <w:rPr>
                <w:sz w:val="20"/>
                <w:szCs w:val="20"/>
                <w:color w:val="auto"/>
              </w:rPr>
            </w:pPr>
            <w:r>
              <w:rPr>
                <w:rFonts w:ascii="Arial" w:cs="Arial" w:eastAsia="Arial" w:hAnsi="Arial"/>
                <w:sz w:val="14"/>
                <w:szCs w:val="14"/>
                <w:color w:val="auto"/>
                <w:w w:val="71"/>
              </w:rPr>
              <w:t> </w:t>
            </w:r>
          </w:p>
        </w:tc>
        <w:tc>
          <w:tcPr>
            <w:tcW w:w="1520" w:type="dxa"/>
            <w:vAlign w:val="bottom"/>
          </w:tcPr>
          <w:p>
            <w:pPr>
              <w:ind w:left="60"/>
              <w:spacing w:after="0"/>
              <w:rPr>
                <w:sz w:val="20"/>
                <w:szCs w:val="20"/>
                <w:color w:val="auto"/>
              </w:rPr>
            </w:pPr>
            <w:r>
              <w:rPr>
                <w:rFonts w:ascii="Arial" w:cs="Arial" w:eastAsia="Arial" w:hAnsi="Arial"/>
                <w:sz w:val="17"/>
                <w:szCs w:val="17"/>
                <w:color w:val="auto"/>
              </w:rPr>
              <w:t>3.5%</w:t>
            </w:r>
          </w:p>
        </w:tc>
        <w:tc>
          <w:tcPr>
            <w:tcW w:w="180" w:type="dxa"/>
            <w:vAlign w:val="bottom"/>
          </w:tcPr>
          <w:p>
            <w:pPr>
              <w:ind w:left="60"/>
              <w:spacing w:after="0"/>
              <w:rPr>
                <w:sz w:val="20"/>
                <w:szCs w:val="20"/>
                <w:color w:val="auto"/>
              </w:rPr>
            </w:pPr>
            <w:r>
              <w:rPr>
                <w:rFonts w:ascii="Arial" w:cs="Arial" w:eastAsia="Arial" w:hAnsi="Arial"/>
                <w:sz w:val="14"/>
                <w:szCs w:val="14"/>
                <w:color w:val="auto"/>
                <w:w w:val="71"/>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500" w:type="dxa"/>
            <w:vAlign w:val="bottom"/>
          </w:tcPr>
          <w:p>
            <w:pPr>
              <w:jc w:val="right"/>
              <w:ind w:right="875"/>
              <w:spacing w:after="0"/>
              <w:rPr>
                <w:sz w:val="20"/>
                <w:szCs w:val="20"/>
                <w:color w:val="auto"/>
              </w:rPr>
            </w:pPr>
            <w:r>
              <w:rPr>
                <w:rFonts w:ascii="Arial" w:cs="Arial" w:eastAsia="Arial" w:hAnsi="Arial"/>
                <w:sz w:val="17"/>
                <w:szCs w:val="17"/>
                <w:color w:val="auto"/>
              </w:rPr>
              <w:t>29.9%</w:t>
            </w:r>
          </w:p>
        </w:tc>
        <w:tc>
          <w:tcPr>
            <w:tcW w:w="200" w:type="dxa"/>
            <w:vAlign w:val="bottom"/>
          </w:tcPr>
          <w:p>
            <w:pPr>
              <w:ind w:left="80"/>
              <w:spacing w:after="0"/>
              <w:rPr>
                <w:sz w:val="20"/>
                <w:szCs w:val="20"/>
                <w:color w:val="auto"/>
              </w:rPr>
            </w:pPr>
            <w:r>
              <w:rPr>
                <w:rFonts w:ascii="Arial" w:cs="Arial" w:eastAsia="Arial" w:hAnsi="Arial"/>
                <w:sz w:val="14"/>
                <w:szCs w:val="14"/>
                <w:color w:val="auto"/>
                <w:w w:val="71"/>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520" w:type="dxa"/>
            <w:vAlign w:val="bottom"/>
          </w:tcPr>
          <w:p>
            <w:pPr>
              <w:jc w:val="right"/>
              <w:ind w:right="895"/>
              <w:spacing w:after="0"/>
              <w:rPr>
                <w:sz w:val="20"/>
                <w:szCs w:val="20"/>
                <w:color w:val="auto"/>
              </w:rPr>
            </w:pPr>
            <w:r>
              <w:rPr>
                <w:rFonts w:ascii="Arial" w:cs="Arial" w:eastAsia="Arial" w:hAnsi="Arial"/>
                <w:sz w:val="17"/>
                <w:szCs w:val="17"/>
                <w:color w:val="auto"/>
              </w:rPr>
              <w:t>29.9%</w:t>
            </w:r>
          </w:p>
        </w:tc>
        <w:tc>
          <w:tcPr>
            <w:tcW w:w="180" w:type="dxa"/>
            <w:vAlign w:val="bottom"/>
          </w:tcPr>
          <w:p>
            <w:pPr>
              <w:ind w:left="60"/>
              <w:spacing w:after="0"/>
              <w:rPr>
                <w:sz w:val="20"/>
                <w:szCs w:val="20"/>
                <w:color w:val="auto"/>
              </w:rPr>
            </w:pPr>
            <w:r>
              <w:rPr>
                <w:rFonts w:ascii="Arial" w:cs="Arial" w:eastAsia="Arial" w:hAnsi="Arial"/>
                <w:sz w:val="14"/>
                <w:szCs w:val="14"/>
                <w:color w:val="auto"/>
                <w:w w:val="71"/>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380" w:type="dxa"/>
            <w:vAlign w:val="bottom"/>
          </w:tcPr>
          <w:p>
            <w:pPr>
              <w:jc w:val="right"/>
              <w:ind w:right="735"/>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81"/>
        </w:trPr>
        <w:tc>
          <w:tcPr>
            <w:tcW w:w="1780" w:type="dxa"/>
            <w:vAlign w:val="bottom"/>
            <w:tcBorders>
              <w:bottom w:val="single" w:sz="8" w:color="D8D8D8"/>
            </w:tcBorders>
          </w:tcPr>
          <w:p>
            <w:pPr>
              <w:spacing w:after="0"/>
              <w:rPr>
                <w:sz w:val="7"/>
                <w:szCs w:val="7"/>
                <w:color w:val="auto"/>
              </w:rPr>
            </w:pPr>
          </w:p>
        </w:tc>
        <w:tc>
          <w:tcPr>
            <w:tcW w:w="220" w:type="dxa"/>
            <w:vAlign w:val="bottom"/>
            <w:tcBorders>
              <w:bottom w:val="single" w:sz="8" w:color="D8D8D8"/>
            </w:tcBorders>
          </w:tcPr>
          <w:p>
            <w:pPr>
              <w:spacing w:after="0"/>
              <w:rPr>
                <w:sz w:val="7"/>
                <w:szCs w:val="7"/>
                <w:color w:val="auto"/>
              </w:rPr>
            </w:pPr>
          </w:p>
        </w:tc>
        <w:tc>
          <w:tcPr>
            <w:tcW w:w="1620" w:type="dxa"/>
            <w:vAlign w:val="bottom"/>
            <w:tcBorders>
              <w:bottom w:val="single" w:sz="8" w:color="D8D8D8"/>
            </w:tcBorders>
            <w:gridSpan w:val="2"/>
          </w:tcPr>
          <w:p>
            <w:pPr>
              <w:spacing w:after="0"/>
              <w:rPr>
                <w:sz w:val="7"/>
                <w:szCs w:val="7"/>
                <w:color w:val="auto"/>
              </w:rPr>
            </w:pPr>
          </w:p>
        </w:tc>
        <w:tc>
          <w:tcPr>
            <w:tcW w:w="260" w:type="dxa"/>
            <w:vAlign w:val="bottom"/>
            <w:tcBorders>
              <w:bottom w:val="single" w:sz="8" w:color="D8D8D8"/>
            </w:tcBorders>
          </w:tcPr>
          <w:p>
            <w:pPr>
              <w:spacing w:after="0"/>
              <w:rPr>
                <w:sz w:val="7"/>
                <w:szCs w:val="7"/>
                <w:color w:val="auto"/>
              </w:rPr>
            </w:pPr>
          </w:p>
        </w:tc>
        <w:tc>
          <w:tcPr>
            <w:tcW w:w="1700" w:type="dxa"/>
            <w:vAlign w:val="bottom"/>
            <w:tcBorders>
              <w:bottom w:val="single" w:sz="8" w:color="D8D8D8"/>
            </w:tcBorders>
            <w:gridSpan w:val="2"/>
          </w:tcPr>
          <w:p>
            <w:pPr>
              <w:spacing w:after="0"/>
              <w:rPr>
                <w:sz w:val="7"/>
                <w:szCs w:val="7"/>
                <w:color w:val="auto"/>
              </w:rPr>
            </w:pPr>
          </w:p>
        </w:tc>
        <w:tc>
          <w:tcPr>
            <w:tcW w:w="180" w:type="dxa"/>
            <w:vAlign w:val="bottom"/>
            <w:tcBorders>
              <w:bottom w:val="single" w:sz="8" w:color="D8D8D8"/>
            </w:tcBorders>
          </w:tcPr>
          <w:p>
            <w:pPr>
              <w:spacing w:after="0"/>
              <w:rPr>
                <w:sz w:val="7"/>
                <w:szCs w:val="7"/>
                <w:color w:val="auto"/>
              </w:rPr>
            </w:pPr>
          </w:p>
        </w:tc>
        <w:tc>
          <w:tcPr>
            <w:tcW w:w="1660" w:type="dxa"/>
            <w:vAlign w:val="bottom"/>
            <w:tcBorders>
              <w:bottom w:val="single" w:sz="8" w:color="D8D8D8"/>
            </w:tcBorders>
            <w:gridSpan w:val="2"/>
          </w:tcPr>
          <w:p>
            <w:pPr>
              <w:spacing w:after="0"/>
              <w:rPr>
                <w:sz w:val="7"/>
                <w:szCs w:val="7"/>
                <w:color w:val="auto"/>
              </w:rPr>
            </w:pPr>
          </w:p>
        </w:tc>
        <w:tc>
          <w:tcPr>
            <w:tcW w:w="200" w:type="dxa"/>
            <w:vAlign w:val="bottom"/>
            <w:tcBorders>
              <w:bottom w:val="single" w:sz="8" w:color="D8D8D8"/>
            </w:tcBorders>
          </w:tcPr>
          <w:p>
            <w:pPr>
              <w:spacing w:after="0"/>
              <w:rPr>
                <w:sz w:val="7"/>
                <w:szCs w:val="7"/>
                <w:color w:val="auto"/>
              </w:rPr>
            </w:pPr>
          </w:p>
        </w:tc>
        <w:tc>
          <w:tcPr>
            <w:tcW w:w="1680" w:type="dxa"/>
            <w:vAlign w:val="bottom"/>
            <w:tcBorders>
              <w:bottom w:val="single" w:sz="8" w:color="D8D8D8"/>
            </w:tcBorders>
            <w:gridSpan w:val="2"/>
          </w:tcPr>
          <w:p>
            <w:pPr>
              <w:spacing w:after="0"/>
              <w:rPr>
                <w:sz w:val="7"/>
                <w:szCs w:val="7"/>
                <w:color w:val="auto"/>
              </w:rPr>
            </w:pPr>
          </w:p>
        </w:tc>
        <w:tc>
          <w:tcPr>
            <w:tcW w:w="1720" w:type="dxa"/>
            <w:vAlign w:val="bottom"/>
            <w:tcBorders>
              <w:bottom w:val="single" w:sz="8" w:color="D8D8D8"/>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Arial" w:cs="Arial" w:eastAsia="Arial" w:hAnsi="Arial"/>
                <w:sz w:val="17"/>
                <w:szCs w:val="17"/>
                <w:b w:val="1"/>
                <w:bCs w:val="1"/>
                <w:color w:val="1F438E"/>
              </w:rPr>
              <w:t>WHEN</w:t>
            </w: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1620" w:type="dxa"/>
            <w:vAlign w:val="bottom"/>
            <w:gridSpan w:val="2"/>
          </w:tcPr>
          <w:p>
            <w:pPr>
              <w:ind w:left="60"/>
              <w:spacing w:after="0"/>
              <w:rPr>
                <w:sz w:val="20"/>
                <w:szCs w:val="20"/>
                <w:color w:val="auto"/>
              </w:rPr>
            </w:pPr>
            <w:r>
              <w:rPr>
                <w:rFonts w:ascii="Arial" w:cs="Arial" w:eastAsia="Arial" w:hAnsi="Arial"/>
                <w:sz w:val="17"/>
                <w:szCs w:val="17"/>
                <w:color w:val="auto"/>
              </w:rPr>
              <w:t>Ongoing</w:t>
            </w:r>
          </w:p>
        </w:tc>
        <w:tc>
          <w:tcPr>
            <w:tcW w:w="260" w:type="dxa"/>
            <w:vAlign w:val="bottom"/>
          </w:tcPr>
          <w:p>
            <w:pPr>
              <w:ind w:left="160"/>
              <w:spacing w:after="0"/>
              <w:rPr>
                <w:sz w:val="20"/>
                <w:szCs w:val="20"/>
                <w:color w:val="auto"/>
              </w:rPr>
            </w:pPr>
            <w:r>
              <w:rPr>
                <w:rFonts w:ascii="Arial" w:cs="Arial" w:eastAsia="Arial" w:hAnsi="Arial"/>
                <w:sz w:val="17"/>
                <w:szCs w:val="17"/>
                <w:color w:val="auto"/>
              </w:rPr>
              <w:t>•</w:t>
            </w:r>
          </w:p>
        </w:tc>
        <w:tc>
          <w:tcPr>
            <w:tcW w:w="1700" w:type="dxa"/>
            <w:vAlign w:val="bottom"/>
            <w:gridSpan w:val="2"/>
          </w:tcPr>
          <w:p>
            <w:pPr>
              <w:ind w:left="60"/>
              <w:spacing w:after="0"/>
              <w:rPr>
                <w:sz w:val="20"/>
                <w:szCs w:val="20"/>
                <w:color w:val="auto"/>
              </w:rPr>
            </w:pPr>
            <w:r>
              <w:rPr>
                <w:rFonts w:ascii="Arial" w:cs="Arial" w:eastAsia="Arial" w:hAnsi="Arial"/>
                <w:sz w:val="17"/>
                <w:szCs w:val="17"/>
                <w:color w:val="auto"/>
              </w:rPr>
              <w:t>Annual</w:t>
            </w:r>
          </w:p>
        </w:tc>
        <w:tc>
          <w:tcPr>
            <w:tcW w:w="180" w:type="dxa"/>
            <w:vAlign w:val="bottom"/>
          </w:tcPr>
          <w:p>
            <w:pPr>
              <w:ind w:left="60"/>
              <w:spacing w:after="0"/>
              <w:rPr>
                <w:sz w:val="20"/>
                <w:szCs w:val="20"/>
                <w:color w:val="auto"/>
              </w:rPr>
            </w:pPr>
            <w:r>
              <w:rPr>
                <w:rFonts w:ascii="Arial" w:cs="Arial" w:eastAsia="Arial" w:hAnsi="Arial"/>
                <w:sz w:val="17"/>
                <w:szCs w:val="17"/>
                <w:color w:val="auto"/>
              </w:rPr>
              <w:t>•</w:t>
            </w:r>
          </w:p>
        </w:tc>
        <w:tc>
          <w:tcPr>
            <w:tcW w:w="1660" w:type="dxa"/>
            <w:vAlign w:val="bottom"/>
            <w:gridSpan w:val="2"/>
          </w:tcPr>
          <w:p>
            <w:pPr>
              <w:ind w:left="40"/>
              <w:spacing w:after="0"/>
              <w:rPr>
                <w:sz w:val="20"/>
                <w:szCs w:val="20"/>
                <w:color w:val="auto"/>
              </w:rPr>
            </w:pPr>
            <w:r>
              <w:rPr>
                <w:rFonts w:ascii="Arial" w:cs="Arial" w:eastAsia="Arial" w:hAnsi="Arial"/>
                <w:sz w:val="17"/>
                <w:szCs w:val="17"/>
                <w:color w:val="auto"/>
              </w:rPr>
              <w:t>One-year</w:t>
            </w:r>
          </w:p>
        </w:tc>
        <w:tc>
          <w:tcPr>
            <w:tcW w:w="200" w:type="dxa"/>
            <w:vAlign w:val="bottom"/>
          </w:tcPr>
          <w:p>
            <w:pPr>
              <w:ind w:left="80"/>
              <w:spacing w:after="0"/>
              <w:rPr>
                <w:sz w:val="20"/>
                <w:szCs w:val="20"/>
                <w:color w:val="auto"/>
              </w:rPr>
            </w:pPr>
            <w:r>
              <w:rPr>
                <w:rFonts w:ascii="Arial" w:cs="Arial" w:eastAsia="Arial" w:hAnsi="Arial"/>
                <w:sz w:val="17"/>
                <w:szCs w:val="17"/>
                <w:color w:val="auto"/>
              </w:rPr>
              <w:t>•</w:t>
            </w:r>
          </w:p>
        </w:tc>
        <w:tc>
          <w:tcPr>
            <w:tcW w:w="1680" w:type="dxa"/>
            <w:vAlign w:val="bottom"/>
            <w:gridSpan w:val="2"/>
          </w:tcPr>
          <w:p>
            <w:pPr>
              <w:ind w:left="60"/>
              <w:spacing w:after="0"/>
              <w:rPr>
                <w:sz w:val="20"/>
                <w:szCs w:val="20"/>
                <w:color w:val="auto"/>
              </w:rPr>
            </w:pPr>
            <w:r>
              <w:rPr>
                <w:rFonts w:ascii="Arial" w:cs="Arial" w:eastAsia="Arial" w:hAnsi="Arial"/>
                <w:sz w:val="17"/>
                <w:szCs w:val="17"/>
                <w:color w:val="auto"/>
              </w:rPr>
              <w:t>Performance over</w:t>
            </w:r>
          </w:p>
        </w:tc>
        <w:tc>
          <w:tcPr>
            <w:tcW w:w="1720" w:type="dxa"/>
            <w:vAlign w:val="bottom"/>
            <w:gridSpan w:val="3"/>
          </w:tcPr>
          <w:p>
            <w:pPr>
              <w:ind w:left="60"/>
              <w:spacing w:after="0"/>
              <w:rPr>
                <w:sz w:val="20"/>
                <w:szCs w:val="20"/>
                <w:color w:val="auto"/>
              </w:rPr>
            </w:pPr>
            <w:r>
              <w:rPr>
                <w:rFonts w:ascii="Arial" w:cs="Arial" w:eastAsia="Arial" w:hAnsi="Arial"/>
                <w:sz w:val="17"/>
                <w:szCs w:val="17"/>
                <w:color w:val="auto"/>
              </w:rPr>
              <w:t>• Vests in four equal</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40"/>
              <w:spacing w:after="0" w:line="189" w:lineRule="exact"/>
              <w:rPr>
                <w:sz w:val="20"/>
                <w:szCs w:val="20"/>
                <w:color w:val="auto"/>
              </w:rPr>
            </w:pPr>
            <w:r>
              <w:rPr>
                <w:rFonts w:ascii="Arial" w:cs="Arial" w:eastAsia="Arial" w:hAnsi="Arial"/>
                <w:sz w:val="17"/>
                <w:szCs w:val="17"/>
                <w:color w:val="auto"/>
              </w:rPr>
              <w:t>performance period,</w:t>
            </w:r>
          </w:p>
        </w:tc>
        <w:tc>
          <w:tcPr>
            <w:tcW w:w="200" w:type="dxa"/>
            <w:vAlign w:val="bottom"/>
          </w:tcPr>
          <w:p>
            <w:pPr>
              <w:spacing w:after="0"/>
              <w:rPr>
                <w:sz w:val="16"/>
                <w:szCs w:val="16"/>
                <w:color w:val="auto"/>
              </w:rPr>
            </w:pPr>
          </w:p>
        </w:tc>
        <w:tc>
          <w:tcPr>
            <w:tcW w:w="168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three years, with</w:t>
            </w:r>
          </w:p>
        </w:tc>
        <w:tc>
          <w:tcPr>
            <w:tcW w:w="180" w:type="dxa"/>
            <w:vAlign w:val="bottom"/>
          </w:tcPr>
          <w:p>
            <w:pPr>
              <w:spacing w:after="0"/>
              <w:rPr>
                <w:sz w:val="16"/>
                <w:szCs w:val="16"/>
                <w:color w:val="auto"/>
              </w:rPr>
            </w:pPr>
          </w:p>
        </w:tc>
        <w:tc>
          <w:tcPr>
            <w:tcW w:w="154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annual installments</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40"/>
              <w:spacing w:after="0" w:line="189" w:lineRule="exact"/>
              <w:rPr>
                <w:sz w:val="20"/>
                <w:szCs w:val="20"/>
                <w:color w:val="auto"/>
              </w:rPr>
            </w:pPr>
            <w:r>
              <w:rPr>
                <w:rFonts w:ascii="Arial" w:cs="Arial" w:eastAsia="Arial" w:hAnsi="Arial"/>
                <w:sz w:val="17"/>
                <w:szCs w:val="17"/>
                <w:color w:val="auto"/>
              </w:rPr>
              <w:t>with any earned</w:t>
            </w:r>
          </w:p>
        </w:tc>
        <w:tc>
          <w:tcPr>
            <w:tcW w:w="200" w:type="dxa"/>
            <w:vAlign w:val="bottom"/>
          </w:tcPr>
          <w:p>
            <w:pPr>
              <w:spacing w:after="0"/>
              <w:rPr>
                <w:sz w:val="16"/>
                <w:szCs w:val="16"/>
                <w:color w:val="auto"/>
              </w:rPr>
            </w:pPr>
          </w:p>
        </w:tc>
        <w:tc>
          <w:tcPr>
            <w:tcW w:w="168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interim earning and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40"/>
              <w:spacing w:after="0" w:line="189" w:lineRule="exact"/>
              <w:rPr>
                <w:sz w:val="20"/>
                <w:szCs w:val="20"/>
                <w:color w:val="auto"/>
              </w:rPr>
            </w:pPr>
            <w:r>
              <w:rPr>
                <w:rFonts w:ascii="Arial" w:cs="Arial" w:eastAsia="Arial" w:hAnsi="Arial"/>
                <w:sz w:val="17"/>
                <w:szCs w:val="17"/>
                <w:color w:val="auto"/>
              </w:rPr>
              <w:t>shares vesting on</w:t>
            </w:r>
          </w:p>
        </w:tc>
        <w:tc>
          <w:tcPr>
            <w:tcW w:w="200" w:type="dxa"/>
            <w:vAlign w:val="bottom"/>
          </w:tcPr>
          <w:p>
            <w:pPr>
              <w:spacing w:after="0"/>
              <w:rPr>
                <w:sz w:val="16"/>
                <w:szCs w:val="16"/>
                <w:color w:val="auto"/>
              </w:rPr>
            </w:pPr>
          </w:p>
        </w:tc>
        <w:tc>
          <w:tcPr>
            <w:tcW w:w="168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vesting opportunities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40"/>
              <w:spacing w:after="0" w:line="189" w:lineRule="exact"/>
              <w:rPr>
                <w:sz w:val="20"/>
                <w:szCs w:val="20"/>
                <w:color w:val="auto"/>
              </w:rPr>
            </w:pPr>
            <w:r>
              <w:rPr>
                <w:rFonts w:ascii="Arial" w:cs="Arial" w:eastAsia="Arial" w:hAnsi="Arial"/>
                <w:sz w:val="17"/>
                <w:szCs w:val="17"/>
                <w:color w:val="auto"/>
              </w:rPr>
              <w:t>the first three</w:t>
            </w:r>
          </w:p>
        </w:tc>
        <w:tc>
          <w:tcPr>
            <w:tcW w:w="200" w:type="dxa"/>
            <w:vAlign w:val="bottom"/>
          </w:tcPr>
          <w:p>
            <w:pPr>
              <w:spacing w:after="0"/>
              <w:rPr>
                <w:sz w:val="16"/>
                <w:szCs w:val="16"/>
                <w:color w:val="auto"/>
              </w:rPr>
            </w:pPr>
          </w:p>
        </w:tc>
        <w:tc>
          <w:tcPr>
            <w:tcW w:w="168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after years one and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40"/>
              <w:spacing w:after="0" w:line="189" w:lineRule="exact"/>
              <w:rPr>
                <w:sz w:val="20"/>
                <w:szCs w:val="20"/>
                <w:color w:val="auto"/>
              </w:rPr>
            </w:pPr>
            <w:r>
              <w:rPr>
                <w:rFonts w:ascii="Arial" w:cs="Arial" w:eastAsia="Arial" w:hAnsi="Arial"/>
                <w:sz w:val="17"/>
                <w:szCs w:val="17"/>
                <w:color w:val="auto"/>
              </w:rPr>
              <w:t>anniversaries of the</w:t>
            </w:r>
          </w:p>
        </w:tc>
        <w:tc>
          <w:tcPr>
            <w:tcW w:w="200" w:type="dxa"/>
            <w:vAlign w:val="bottom"/>
          </w:tcPr>
          <w:p>
            <w:pPr>
              <w:spacing w:after="0"/>
              <w:rPr>
                <w:sz w:val="16"/>
                <w:szCs w:val="16"/>
                <w:color w:val="auto"/>
              </w:rPr>
            </w:pPr>
          </w:p>
        </w:tc>
        <w:tc>
          <w:tcPr>
            <w:tcW w:w="168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two</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ind w:left="40"/>
              <w:spacing w:after="0"/>
              <w:rPr>
                <w:sz w:val="20"/>
                <w:szCs w:val="20"/>
                <w:color w:val="auto"/>
              </w:rPr>
            </w:pPr>
            <w:r>
              <w:rPr>
                <w:rFonts w:ascii="Arial" w:cs="Arial" w:eastAsia="Arial" w:hAnsi="Arial"/>
                <w:sz w:val="17"/>
                <w:szCs w:val="17"/>
                <w:color w:val="auto"/>
              </w:rPr>
              <w:t>date of grant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1780" w:type="dxa"/>
            <w:vAlign w:val="bottom"/>
            <w:tcBorders>
              <w:bottom w:val="single" w:sz="8" w:color="D8D8D8"/>
            </w:tcBorders>
          </w:tcPr>
          <w:p>
            <w:pPr>
              <w:spacing w:after="0"/>
              <w:rPr>
                <w:sz w:val="5"/>
                <w:szCs w:val="5"/>
                <w:color w:val="auto"/>
              </w:rPr>
            </w:pPr>
          </w:p>
        </w:tc>
        <w:tc>
          <w:tcPr>
            <w:tcW w:w="220" w:type="dxa"/>
            <w:vAlign w:val="bottom"/>
            <w:tcBorders>
              <w:bottom w:val="single" w:sz="8" w:color="D8D8D8"/>
            </w:tcBorders>
          </w:tcPr>
          <w:p>
            <w:pPr>
              <w:spacing w:after="0"/>
              <w:rPr>
                <w:sz w:val="5"/>
                <w:szCs w:val="5"/>
                <w:color w:val="auto"/>
              </w:rPr>
            </w:pPr>
          </w:p>
        </w:tc>
        <w:tc>
          <w:tcPr>
            <w:tcW w:w="1620" w:type="dxa"/>
            <w:vAlign w:val="bottom"/>
            <w:tcBorders>
              <w:bottom w:val="single" w:sz="8" w:color="D8D8D8"/>
            </w:tcBorders>
            <w:gridSpan w:val="2"/>
          </w:tcPr>
          <w:p>
            <w:pPr>
              <w:spacing w:after="0"/>
              <w:rPr>
                <w:sz w:val="5"/>
                <w:szCs w:val="5"/>
                <w:color w:val="auto"/>
              </w:rPr>
            </w:pPr>
          </w:p>
        </w:tc>
        <w:tc>
          <w:tcPr>
            <w:tcW w:w="260" w:type="dxa"/>
            <w:vAlign w:val="bottom"/>
            <w:tcBorders>
              <w:bottom w:val="single" w:sz="8" w:color="D8D8D8"/>
            </w:tcBorders>
          </w:tcPr>
          <w:p>
            <w:pPr>
              <w:spacing w:after="0"/>
              <w:rPr>
                <w:sz w:val="5"/>
                <w:szCs w:val="5"/>
                <w:color w:val="auto"/>
              </w:rPr>
            </w:pPr>
          </w:p>
        </w:tc>
        <w:tc>
          <w:tcPr>
            <w:tcW w:w="1700" w:type="dxa"/>
            <w:vAlign w:val="bottom"/>
            <w:tcBorders>
              <w:bottom w:val="single" w:sz="8" w:color="D8D8D8"/>
            </w:tcBorders>
            <w:gridSpan w:val="2"/>
          </w:tcPr>
          <w:p>
            <w:pPr>
              <w:spacing w:after="0"/>
              <w:rPr>
                <w:sz w:val="5"/>
                <w:szCs w:val="5"/>
                <w:color w:val="auto"/>
              </w:rPr>
            </w:pPr>
          </w:p>
        </w:tc>
        <w:tc>
          <w:tcPr>
            <w:tcW w:w="180" w:type="dxa"/>
            <w:vAlign w:val="bottom"/>
            <w:tcBorders>
              <w:bottom w:val="single" w:sz="8" w:color="D8D8D8"/>
            </w:tcBorders>
          </w:tcPr>
          <w:p>
            <w:pPr>
              <w:spacing w:after="0"/>
              <w:rPr>
                <w:sz w:val="5"/>
                <w:szCs w:val="5"/>
                <w:color w:val="auto"/>
              </w:rPr>
            </w:pPr>
          </w:p>
        </w:tc>
        <w:tc>
          <w:tcPr>
            <w:tcW w:w="1660" w:type="dxa"/>
            <w:vAlign w:val="bottom"/>
            <w:tcBorders>
              <w:bottom w:val="single" w:sz="8" w:color="D8D8D8"/>
            </w:tcBorders>
            <w:gridSpan w:val="2"/>
          </w:tcPr>
          <w:p>
            <w:pPr>
              <w:spacing w:after="0"/>
              <w:rPr>
                <w:sz w:val="5"/>
                <w:szCs w:val="5"/>
                <w:color w:val="auto"/>
              </w:rPr>
            </w:pPr>
          </w:p>
        </w:tc>
        <w:tc>
          <w:tcPr>
            <w:tcW w:w="200" w:type="dxa"/>
            <w:vAlign w:val="bottom"/>
            <w:tcBorders>
              <w:bottom w:val="single" w:sz="8" w:color="D8D8D8"/>
            </w:tcBorders>
          </w:tcPr>
          <w:p>
            <w:pPr>
              <w:spacing w:after="0"/>
              <w:rPr>
                <w:sz w:val="5"/>
                <w:szCs w:val="5"/>
                <w:color w:val="auto"/>
              </w:rPr>
            </w:pPr>
          </w:p>
        </w:tc>
        <w:tc>
          <w:tcPr>
            <w:tcW w:w="1680" w:type="dxa"/>
            <w:vAlign w:val="bottom"/>
            <w:tcBorders>
              <w:bottom w:val="single" w:sz="8" w:color="D8D8D8"/>
            </w:tcBorders>
            <w:gridSpan w:val="2"/>
          </w:tcPr>
          <w:p>
            <w:pPr>
              <w:spacing w:after="0"/>
              <w:rPr>
                <w:sz w:val="5"/>
                <w:szCs w:val="5"/>
                <w:color w:val="auto"/>
              </w:rPr>
            </w:pPr>
          </w:p>
        </w:tc>
        <w:tc>
          <w:tcPr>
            <w:tcW w:w="180" w:type="dxa"/>
            <w:vAlign w:val="bottom"/>
            <w:tcBorders>
              <w:bottom w:val="single" w:sz="8" w:color="D8D8D8"/>
            </w:tcBorders>
          </w:tcPr>
          <w:p>
            <w:pPr>
              <w:spacing w:after="0"/>
              <w:rPr>
                <w:sz w:val="5"/>
                <w:szCs w:val="5"/>
                <w:color w:val="auto"/>
              </w:rPr>
            </w:pPr>
          </w:p>
        </w:tc>
        <w:tc>
          <w:tcPr>
            <w:tcW w:w="1540" w:type="dxa"/>
            <w:vAlign w:val="bottom"/>
            <w:tcBorders>
              <w:bottom w:val="single" w:sz="8" w:color="D8D8D8"/>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Arial" w:cs="Arial" w:eastAsia="Arial" w:hAnsi="Arial"/>
                <w:sz w:val="17"/>
                <w:szCs w:val="17"/>
                <w:b w:val="1"/>
                <w:bCs w:val="1"/>
                <w:color w:val="1F438E"/>
              </w:rPr>
              <w:t>HOW</w:t>
            </w: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1620" w:type="dxa"/>
            <w:vAlign w:val="bottom"/>
            <w:gridSpan w:val="2"/>
          </w:tcPr>
          <w:p>
            <w:pPr>
              <w:ind w:left="60"/>
              <w:spacing w:after="0"/>
              <w:rPr>
                <w:sz w:val="20"/>
                <w:szCs w:val="20"/>
                <w:color w:val="auto"/>
              </w:rPr>
            </w:pPr>
            <w:r>
              <w:rPr>
                <w:rFonts w:ascii="Arial" w:cs="Arial" w:eastAsia="Arial" w:hAnsi="Arial"/>
                <w:sz w:val="17"/>
                <w:szCs w:val="17"/>
                <w:color w:val="auto"/>
              </w:rPr>
              <w:t>N/A</w:t>
            </w:r>
          </w:p>
        </w:tc>
        <w:tc>
          <w:tcPr>
            <w:tcW w:w="260" w:type="dxa"/>
            <w:vAlign w:val="bottom"/>
          </w:tcPr>
          <w:p>
            <w:pPr>
              <w:ind w:left="160"/>
              <w:spacing w:after="0"/>
              <w:rPr>
                <w:sz w:val="20"/>
                <w:szCs w:val="20"/>
                <w:color w:val="auto"/>
              </w:rPr>
            </w:pPr>
            <w:r>
              <w:rPr>
                <w:rFonts w:ascii="Arial" w:cs="Arial" w:eastAsia="Arial" w:hAnsi="Arial"/>
                <w:sz w:val="17"/>
                <w:szCs w:val="17"/>
                <w:color w:val="auto"/>
              </w:rPr>
              <w:t>•</w:t>
            </w:r>
          </w:p>
        </w:tc>
        <w:tc>
          <w:tcPr>
            <w:tcW w:w="1700" w:type="dxa"/>
            <w:vAlign w:val="bottom"/>
            <w:gridSpan w:val="2"/>
          </w:tcPr>
          <w:p>
            <w:pPr>
              <w:ind w:left="60"/>
              <w:spacing w:after="0"/>
              <w:rPr>
                <w:sz w:val="20"/>
                <w:szCs w:val="20"/>
                <w:color w:val="auto"/>
              </w:rPr>
            </w:pPr>
            <w:r>
              <w:rPr>
                <w:rFonts w:ascii="Arial" w:cs="Arial" w:eastAsia="Arial" w:hAnsi="Arial"/>
                <w:sz w:val="17"/>
                <w:szCs w:val="17"/>
                <w:color w:val="auto"/>
              </w:rPr>
              <w:t>Company</w:t>
            </w:r>
          </w:p>
        </w:tc>
        <w:tc>
          <w:tcPr>
            <w:tcW w:w="180" w:type="dxa"/>
            <w:vAlign w:val="bottom"/>
          </w:tcPr>
          <w:p>
            <w:pPr>
              <w:ind w:left="60"/>
              <w:spacing w:after="0"/>
              <w:rPr>
                <w:sz w:val="20"/>
                <w:szCs w:val="20"/>
                <w:color w:val="auto"/>
              </w:rPr>
            </w:pPr>
            <w:r>
              <w:rPr>
                <w:rFonts w:ascii="Arial" w:cs="Arial" w:eastAsia="Arial" w:hAnsi="Arial"/>
                <w:sz w:val="17"/>
                <w:szCs w:val="17"/>
                <w:color w:val="auto"/>
              </w:rPr>
              <w:t>•</w:t>
            </w:r>
          </w:p>
        </w:tc>
        <w:tc>
          <w:tcPr>
            <w:tcW w:w="1660" w:type="dxa"/>
            <w:vAlign w:val="bottom"/>
            <w:gridSpan w:val="2"/>
          </w:tcPr>
          <w:p>
            <w:pPr>
              <w:ind w:left="40"/>
              <w:spacing w:after="0"/>
              <w:rPr>
                <w:sz w:val="20"/>
                <w:szCs w:val="20"/>
                <w:color w:val="auto"/>
              </w:rPr>
            </w:pPr>
            <w:r>
              <w:rPr>
                <w:rFonts w:ascii="Arial" w:cs="Arial" w:eastAsia="Arial" w:hAnsi="Arial"/>
                <w:sz w:val="17"/>
                <w:szCs w:val="17"/>
                <w:color w:val="auto"/>
              </w:rPr>
              <w:t>Adjusted Revenue</w:t>
            </w:r>
          </w:p>
        </w:tc>
        <w:tc>
          <w:tcPr>
            <w:tcW w:w="200" w:type="dxa"/>
            <w:vAlign w:val="bottom"/>
          </w:tcPr>
          <w:p>
            <w:pPr>
              <w:ind w:left="80"/>
              <w:spacing w:after="0"/>
              <w:rPr>
                <w:sz w:val="20"/>
                <w:szCs w:val="20"/>
                <w:color w:val="auto"/>
              </w:rPr>
            </w:pPr>
            <w:r>
              <w:rPr>
                <w:rFonts w:ascii="Arial" w:cs="Arial" w:eastAsia="Arial" w:hAnsi="Arial"/>
                <w:sz w:val="17"/>
                <w:szCs w:val="17"/>
                <w:color w:val="auto"/>
              </w:rPr>
              <w:t>•</w:t>
            </w:r>
          </w:p>
        </w:tc>
        <w:tc>
          <w:tcPr>
            <w:tcW w:w="1680" w:type="dxa"/>
            <w:vAlign w:val="bottom"/>
            <w:gridSpan w:val="2"/>
          </w:tcPr>
          <w:p>
            <w:pPr>
              <w:ind w:left="60"/>
              <w:spacing w:after="0"/>
              <w:rPr>
                <w:sz w:val="20"/>
                <w:szCs w:val="20"/>
                <w:color w:val="auto"/>
              </w:rPr>
            </w:pPr>
            <w:r>
              <w:rPr>
                <w:rFonts w:ascii="Arial" w:cs="Arial" w:eastAsia="Arial" w:hAnsi="Arial"/>
                <w:sz w:val="17"/>
                <w:szCs w:val="17"/>
                <w:color w:val="auto"/>
              </w:rPr>
              <w:t>Company’s TSR</w:t>
            </w:r>
          </w:p>
        </w:tc>
        <w:tc>
          <w:tcPr>
            <w:tcW w:w="180" w:type="dxa"/>
            <w:vAlign w:val="bottom"/>
          </w:tcPr>
          <w:p>
            <w:pPr>
              <w:ind w:left="60"/>
              <w:spacing w:after="0"/>
              <w:rPr>
                <w:sz w:val="20"/>
                <w:szCs w:val="20"/>
                <w:color w:val="auto"/>
              </w:rPr>
            </w:pPr>
            <w:r>
              <w:rPr>
                <w:rFonts w:ascii="Arial" w:cs="Arial" w:eastAsia="Arial" w:hAnsi="Arial"/>
                <w:sz w:val="17"/>
                <w:szCs w:val="17"/>
                <w:color w:val="auto"/>
              </w:rPr>
              <w:t>•</w:t>
            </w:r>
          </w:p>
        </w:tc>
        <w:tc>
          <w:tcPr>
            <w:tcW w:w="1540" w:type="dxa"/>
            <w:vAlign w:val="bottom"/>
            <w:gridSpan w:val="2"/>
          </w:tcPr>
          <w:p>
            <w:pPr>
              <w:ind w:left="60"/>
              <w:spacing w:after="0"/>
              <w:rPr>
                <w:sz w:val="20"/>
                <w:szCs w:val="20"/>
                <w:color w:val="auto"/>
              </w:rPr>
            </w:pPr>
            <w:r>
              <w:rPr>
                <w:rFonts w:ascii="Arial" w:cs="Arial" w:eastAsia="Arial" w:hAnsi="Arial"/>
                <w:sz w:val="17"/>
                <w:szCs w:val="17"/>
                <w:color w:val="auto"/>
              </w:rPr>
              <w:t>Stock Price</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Performance</w:t>
            </w:r>
          </w:p>
        </w:tc>
        <w:tc>
          <w:tcPr>
            <w:tcW w:w="180" w:type="dxa"/>
            <w:vAlign w:val="bottom"/>
          </w:tcPr>
          <w:p>
            <w:pPr>
              <w:spacing w:after="0"/>
              <w:rPr>
                <w:sz w:val="16"/>
                <w:szCs w:val="16"/>
                <w:color w:val="auto"/>
              </w:rPr>
            </w:pPr>
          </w:p>
        </w:tc>
        <w:tc>
          <w:tcPr>
            <w:tcW w:w="1660" w:type="dxa"/>
            <w:vAlign w:val="bottom"/>
            <w:gridSpan w:val="2"/>
          </w:tcPr>
          <w:p>
            <w:pPr>
              <w:ind w:left="40"/>
              <w:spacing w:after="0" w:line="189" w:lineRule="exact"/>
              <w:rPr>
                <w:sz w:val="20"/>
                <w:szCs w:val="20"/>
                <w:color w:val="auto"/>
              </w:rPr>
            </w:pPr>
            <w:r>
              <w:rPr>
                <w:rFonts w:ascii="Arial" w:cs="Arial" w:eastAsia="Arial" w:hAnsi="Arial"/>
                <w:sz w:val="17"/>
                <w:szCs w:val="17"/>
                <w:b w:val="1"/>
                <w:bCs w:val="1"/>
                <w:color w:val="auto"/>
              </w:rPr>
              <w:t>50%</w:t>
            </w:r>
          </w:p>
        </w:tc>
        <w:tc>
          <w:tcPr>
            <w:tcW w:w="200" w:type="dxa"/>
            <w:vAlign w:val="bottom"/>
          </w:tcPr>
          <w:p>
            <w:pPr>
              <w:spacing w:after="0"/>
              <w:rPr>
                <w:sz w:val="16"/>
                <w:szCs w:val="16"/>
                <w:color w:val="auto"/>
              </w:rPr>
            </w:pPr>
          </w:p>
        </w:tc>
        <w:tc>
          <w:tcPr>
            <w:tcW w:w="168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relative to the S&amp;P</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Adjusted Revenue</w:t>
            </w:r>
          </w:p>
        </w:tc>
        <w:tc>
          <w:tcPr>
            <w:tcW w:w="180" w:type="dxa"/>
            <w:vAlign w:val="bottom"/>
            <w:vMerge w:val="restart"/>
          </w:tcPr>
          <w:p>
            <w:pPr>
              <w:ind w:left="60"/>
              <w:spacing w:after="0"/>
              <w:rPr>
                <w:sz w:val="20"/>
                <w:szCs w:val="20"/>
                <w:color w:val="auto"/>
              </w:rPr>
            </w:pPr>
            <w:r>
              <w:rPr>
                <w:rFonts w:ascii="Arial" w:cs="Arial" w:eastAsia="Arial" w:hAnsi="Arial"/>
                <w:sz w:val="17"/>
                <w:szCs w:val="17"/>
                <w:color w:val="auto"/>
              </w:rPr>
              <w:t>•</w:t>
            </w:r>
          </w:p>
        </w:tc>
        <w:tc>
          <w:tcPr>
            <w:tcW w:w="1660" w:type="dxa"/>
            <w:vAlign w:val="bottom"/>
            <w:gridSpan w:val="2"/>
            <w:vMerge w:val="restart"/>
          </w:tcPr>
          <w:p>
            <w:pPr>
              <w:ind w:left="40"/>
              <w:spacing w:after="0"/>
              <w:rPr>
                <w:sz w:val="20"/>
                <w:szCs w:val="20"/>
                <w:color w:val="auto"/>
              </w:rPr>
            </w:pPr>
            <w:r>
              <w:rPr>
                <w:rFonts w:ascii="Arial" w:cs="Arial" w:eastAsia="Arial" w:hAnsi="Arial"/>
                <w:sz w:val="17"/>
                <w:szCs w:val="17"/>
                <w:color w:val="auto"/>
              </w:rPr>
              <w:t>Adjusted EBITDA</w:t>
            </w:r>
          </w:p>
        </w:tc>
        <w:tc>
          <w:tcPr>
            <w:tcW w:w="200" w:type="dxa"/>
            <w:vAlign w:val="bottom"/>
          </w:tcPr>
          <w:p>
            <w:pPr>
              <w:spacing w:after="0"/>
              <w:rPr>
                <w:sz w:val="19"/>
                <w:szCs w:val="19"/>
                <w:color w:val="auto"/>
              </w:rPr>
            </w:pPr>
          </w:p>
        </w:tc>
        <w:tc>
          <w:tcPr>
            <w:tcW w:w="1680" w:type="dxa"/>
            <w:vAlign w:val="bottom"/>
            <w:gridSpan w:val="2"/>
          </w:tcPr>
          <w:p>
            <w:pPr>
              <w:ind w:left="60"/>
              <w:spacing w:after="0"/>
              <w:rPr>
                <w:sz w:val="20"/>
                <w:szCs w:val="20"/>
                <w:color w:val="auto"/>
              </w:rPr>
            </w:pPr>
            <w:r>
              <w:rPr>
                <w:rFonts w:ascii="Arial" w:cs="Arial" w:eastAsia="Arial" w:hAnsi="Arial"/>
                <w:sz w:val="17"/>
                <w:szCs w:val="17"/>
                <w:color w:val="auto"/>
              </w:rPr>
              <w:t>500 Index</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
        </w:trPr>
        <w:tc>
          <w:tcPr>
            <w:tcW w:w="1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line="189" w:lineRule="exact"/>
              <w:rPr>
                <w:sz w:val="20"/>
                <w:szCs w:val="20"/>
                <w:color w:val="auto"/>
              </w:rPr>
            </w:pPr>
            <w:r>
              <w:rPr>
                <w:rFonts w:ascii="Arial" w:cs="Arial" w:eastAsia="Arial" w:hAnsi="Arial"/>
                <w:sz w:val="17"/>
                <w:szCs w:val="17"/>
                <w:color w:val="auto"/>
              </w:rPr>
              <w:t>Measures,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ind w:left="40"/>
              <w:spacing w:after="0" w:line="189" w:lineRule="exact"/>
              <w:rPr>
                <w:sz w:val="20"/>
                <w:szCs w:val="20"/>
                <w:color w:val="auto"/>
              </w:rPr>
            </w:pPr>
            <w:r>
              <w:rPr>
                <w:rFonts w:ascii="Arial" w:cs="Arial" w:eastAsia="Arial" w:hAnsi="Arial"/>
                <w:sz w:val="17"/>
                <w:szCs w:val="17"/>
                <w:b w:val="1"/>
                <w:bCs w:val="1"/>
                <w:color w:val="auto"/>
              </w:rPr>
              <w:t>50%</w:t>
            </w:r>
          </w:p>
        </w:tc>
        <w:tc>
          <w:tcPr>
            <w:tcW w:w="180" w:type="dxa"/>
            <w:vAlign w:val="bottom"/>
          </w:tcPr>
          <w:p>
            <w:pPr>
              <w:spacing w:after="0"/>
              <w:rPr>
                <w:sz w:val="16"/>
                <w:szCs w:val="16"/>
                <w:color w:val="auto"/>
              </w:rPr>
            </w:pPr>
          </w:p>
        </w:tc>
        <w:tc>
          <w:tcPr>
            <w:tcW w:w="1660" w:type="dxa"/>
            <w:vAlign w:val="bottom"/>
            <w:gridSpan w:val="2"/>
          </w:tcPr>
          <w:p>
            <w:pPr>
              <w:ind w:left="40"/>
              <w:spacing w:after="0" w:line="189" w:lineRule="exact"/>
              <w:rPr>
                <w:sz w:val="20"/>
                <w:szCs w:val="20"/>
                <w:color w:val="auto"/>
              </w:rPr>
            </w:pPr>
            <w:r>
              <w:rPr>
                <w:rFonts w:ascii="Arial" w:cs="Arial" w:eastAsia="Arial" w:hAnsi="Arial"/>
                <w:sz w:val="17"/>
                <w:szCs w:val="17"/>
                <w:b w:val="1"/>
                <w:bCs w:val="1"/>
                <w:color w:val="auto"/>
              </w:rPr>
              <w:t>50%</w:t>
            </w:r>
          </w:p>
        </w:tc>
        <w:tc>
          <w:tcPr>
            <w:tcW w:w="200" w:type="dxa"/>
            <w:vAlign w:val="bottom"/>
          </w:tcPr>
          <w:p>
            <w:pPr>
              <w:ind w:left="80"/>
              <w:spacing w:after="0" w:line="189" w:lineRule="exact"/>
              <w:rPr>
                <w:sz w:val="20"/>
                <w:szCs w:val="20"/>
                <w:color w:val="auto"/>
              </w:rPr>
            </w:pPr>
            <w:r>
              <w:rPr>
                <w:rFonts w:ascii="Arial" w:cs="Arial" w:eastAsia="Arial" w:hAnsi="Arial"/>
                <w:sz w:val="17"/>
                <w:szCs w:val="17"/>
                <w:color w:val="auto"/>
              </w:rPr>
              <w:t>•</w:t>
            </w:r>
          </w:p>
        </w:tc>
        <w:tc>
          <w:tcPr>
            <w:tcW w:w="168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Payout: 0-200% of</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80" w:type="dxa"/>
            <w:vAlign w:val="bottom"/>
          </w:tcPr>
          <w:p>
            <w:pPr>
              <w:spacing w:after="0"/>
              <w:rPr>
                <w:sz w:val="20"/>
                <w:szCs w:val="20"/>
                <w:color w:val="auto"/>
              </w:rPr>
            </w:pPr>
            <w:r>
              <w:rPr>
                <w:rFonts w:ascii="Arial" w:cs="Arial" w:eastAsia="Arial" w:hAnsi="Arial"/>
                <w:sz w:val="17"/>
                <w:szCs w:val="17"/>
                <w:color w:val="auto"/>
              </w:rPr>
              <w:t>Weightings &amp; Payouts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520" w:type="dxa"/>
            <w:vAlign w:val="bottom"/>
            <w:vMerge w:val="restart"/>
          </w:tcPr>
          <w:p>
            <w:pPr>
              <w:ind w:left="40"/>
              <w:spacing w:after="0"/>
              <w:rPr>
                <w:sz w:val="20"/>
                <w:szCs w:val="20"/>
                <w:color w:val="auto"/>
              </w:rPr>
            </w:pPr>
            <w:r>
              <w:rPr>
                <w:rFonts w:ascii="Arial" w:cs="Arial" w:eastAsia="Arial" w:hAnsi="Arial"/>
                <w:sz w:val="17"/>
                <w:szCs w:val="17"/>
                <w:color w:val="auto"/>
              </w:rPr>
              <w:t>Adjusted EBITDA</w:t>
            </w:r>
          </w:p>
        </w:tc>
        <w:tc>
          <w:tcPr>
            <w:tcW w:w="180" w:type="dxa"/>
            <w:vAlign w:val="bottom"/>
            <w:vMerge w:val="restart"/>
          </w:tcPr>
          <w:p>
            <w:pPr>
              <w:ind w:left="60"/>
              <w:spacing w:after="0"/>
              <w:rPr>
                <w:sz w:val="20"/>
                <w:szCs w:val="20"/>
                <w:color w:val="auto"/>
              </w:rPr>
            </w:pPr>
            <w:r>
              <w:rPr>
                <w:rFonts w:ascii="Arial" w:cs="Arial" w:eastAsia="Arial" w:hAnsi="Arial"/>
                <w:sz w:val="17"/>
                <w:szCs w:val="17"/>
                <w:color w:val="auto"/>
              </w:rPr>
              <w:t>•</w:t>
            </w:r>
          </w:p>
        </w:tc>
        <w:tc>
          <w:tcPr>
            <w:tcW w:w="1660" w:type="dxa"/>
            <w:vAlign w:val="bottom"/>
            <w:gridSpan w:val="2"/>
            <w:vMerge w:val="restart"/>
          </w:tcPr>
          <w:p>
            <w:pPr>
              <w:ind w:left="40"/>
              <w:spacing w:after="0"/>
              <w:rPr>
                <w:sz w:val="20"/>
                <w:szCs w:val="20"/>
                <w:color w:val="auto"/>
              </w:rPr>
            </w:pPr>
            <w:r>
              <w:rPr>
                <w:rFonts w:ascii="Arial" w:cs="Arial" w:eastAsia="Arial" w:hAnsi="Arial"/>
                <w:sz w:val="17"/>
                <w:szCs w:val="17"/>
                <w:color w:val="auto"/>
              </w:rPr>
              <w:t>Payout: 0-200% of</w:t>
            </w:r>
          </w:p>
        </w:tc>
        <w:tc>
          <w:tcPr>
            <w:tcW w:w="200" w:type="dxa"/>
            <w:vAlign w:val="bottom"/>
          </w:tcPr>
          <w:p>
            <w:pPr>
              <w:spacing w:after="0"/>
              <w:rPr>
                <w:sz w:val="19"/>
                <w:szCs w:val="19"/>
                <w:color w:val="auto"/>
              </w:rPr>
            </w:pPr>
          </w:p>
        </w:tc>
        <w:tc>
          <w:tcPr>
            <w:tcW w:w="1680" w:type="dxa"/>
            <w:vAlign w:val="bottom"/>
            <w:gridSpan w:val="2"/>
          </w:tcPr>
          <w:p>
            <w:pPr>
              <w:ind w:left="60"/>
              <w:spacing w:after="0"/>
              <w:rPr>
                <w:sz w:val="20"/>
                <w:szCs w:val="20"/>
                <w:color w:val="auto"/>
              </w:rPr>
            </w:pPr>
            <w:r>
              <w:rPr>
                <w:rFonts w:ascii="Arial" w:cs="Arial" w:eastAsia="Arial" w:hAnsi="Arial"/>
                <w:sz w:val="17"/>
                <w:szCs w:val="17"/>
                <w:color w:val="auto"/>
              </w:rPr>
              <w:t>target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
        </w:trPr>
        <w:tc>
          <w:tcPr>
            <w:tcW w:w="1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ind w:left="40"/>
              <w:spacing w:after="0"/>
              <w:rPr>
                <w:sz w:val="20"/>
                <w:szCs w:val="20"/>
                <w:color w:val="auto"/>
              </w:rPr>
            </w:pPr>
            <w:r>
              <w:rPr>
                <w:rFonts w:ascii="Arial" w:cs="Arial" w:eastAsia="Arial" w:hAnsi="Arial"/>
                <w:sz w:val="17"/>
                <w:szCs w:val="17"/>
                <w:b w:val="1"/>
                <w:bCs w:val="1"/>
                <w:color w:val="auto"/>
              </w:rPr>
              <w:t>50%</w:t>
            </w:r>
          </w:p>
        </w:tc>
        <w:tc>
          <w:tcPr>
            <w:tcW w:w="180" w:type="dxa"/>
            <w:vAlign w:val="bottom"/>
          </w:tcPr>
          <w:p>
            <w:pPr>
              <w:spacing w:after="0"/>
              <w:rPr>
                <w:sz w:val="20"/>
                <w:szCs w:val="20"/>
                <w:color w:val="auto"/>
              </w:rPr>
            </w:pPr>
          </w:p>
        </w:tc>
        <w:tc>
          <w:tcPr>
            <w:tcW w:w="1660" w:type="dxa"/>
            <w:vAlign w:val="bottom"/>
            <w:gridSpan w:val="2"/>
          </w:tcPr>
          <w:p>
            <w:pPr>
              <w:ind w:left="40"/>
              <w:spacing w:after="0"/>
              <w:rPr>
                <w:sz w:val="20"/>
                <w:szCs w:val="20"/>
                <w:color w:val="auto"/>
              </w:rPr>
            </w:pPr>
            <w:r>
              <w:rPr>
                <w:rFonts w:ascii="Arial" w:cs="Arial" w:eastAsia="Arial" w:hAnsi="Arial"/>
                <w:sz w:val="17"/>
                <w:szCs w:val="17"/>
                <w:color w:val="auto"/>
              </w:rPr>
              <w:t>target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60" w:type="dxa"/>
            <w:vAlign w:val="bottom"/>
          </w:tcPr>
          <w:p>
            <w:pPr>
              <w:ind w:left="160"/>
              <w:spacing w:after="0"/>
              <w:rPr>
                <w:sz w:val="20"/>
                <w:szCs w:val="20"/>
                <w:color w:val="auto"/>
              </w:rPr>
            </w:pPr>
            <w:r>
              <w:rPr>
                <w:rFonts w:ascii="Arial" w:cs="Arial" w:eastAsia="Arial" w:hAnsi="Arial"/>
                <w:sz w:val="17"/>
                <w:szCs w:val="17"/>
                <w:color w:val="auto"/>
              </w:rPr>
              <w:t>•</w:t>
            </w:r>
          </w:p>
        </w:tc>
        <w:tc>
          <w:tcPr>
            <w:tcW w:w="1700" w:type="dxa"/>
            <w:vAlign w:val="bottom"/>
            <w:gridSpan w:val="2"/>
          </w:tcPr>
          <w:p>
            <w:pPr>
              <w:ind w:left="60"/>
              <w:spacing w:after="0"/>
              <w:rPr>
                <w:sz w:val="20"/>
                <w:szCs w:val="20"/>
                <w:color w:val="auto"/>
              </w:rPr>
            </w:pPr>
            <w:r>
              <w:rPr>
                <w:rFonts w:ascii="Arial" w:cs="Arial" w:eastAsia="Arial" w:hAnsi="Arial"/>
                <w:sz w:val="17"/>
                <w:szCs w:val="17"/>
                <w:color w:val="auto"/>
              </w:rPr>
              <w:t>Individual</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Arial" w:cs="Arial" w:eastAsia="Arial" w:hAnsi="Arial"/>
                <w:sz w:val="17"/>
                <w:szCs w:val="17"/>
                <w:color w:val="auto"/>
              </w:rPr>
              <w:t>Performance</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1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60" w:type="dxa"/>
            <w:vAlign w:val="bottom"/>
          </w:tcPr>
          <w:p>
            <w:pPr>
              <w:ind w:left="160"/>
              <w:spacing w:after="0"/>
              <w:rPr>
                <w:sz w:val="20"/>
                <w:szCs w:val="20"/>
                <w:color w:val="auto"/>
              </w:rPr>
            </w:pPr>
            <w:r>
              <w:rPr>
                <w:rFonts w:ascii="Arial" w:cs="Arial" w:eastAsia="Arial" w:hAnsi="Arial"/>
                <w:sz w:val="17"/>
                <w:szCs w:val="17"/>
                <w:color w:val="auto"/>
              </w:rPr>
              <w:t>•</w:t>
            </w:r>
          </w:p>
        </w:tc>
        <w:tc>
          <w:tcPr>
            <w:tcW w:w="1700" w:type="dxa"/>
            <w:vAlign w:val="bottom"/>
            <w:gridSpan w:val="2"/>
          </w:tcPr>
          <w:p>
            <w:pPr>
              <w:ind w:left="60"/>
              <w:spacing w:after="0"/>
              <w:rPr>
                <w:sz w:val="20"/>
                <w:szCs w:val="20"/>
                <w:color w:val="auto"/>
              </w:rPr>
            </w:pPr>
            <w:r>
              <w:rPr>
                <w:rFonts w:ascii="Arial" w:cs="Arial" w:eastAsia="Arial" w:hAnsi="Arial"/>
                <w:sz w:val="17"/>
                <w:szCs w:val="17"/>
                <w:color w:val="auto"/>
              </w:rPr>
              <w:t>Payout: 0-187.5% of</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Arial" w:cs="Arial" w:eastAsia="Arial" w:hAnsi="Arial"/>
                <w:sz w:val="17"/>
                <w:szCs w:val="17"/>
                <w:color w:val="auto"/>
              </w:rPr>
              <w:t>target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1780" w:type="dxa"/>
            <w:vAlign w:val="bottom"/>
            <w:tcBorders>
              <w:bottom w:val="single" w:sz="8" w:color="D8D8D8"/>
            </w:tcBorders>
          </w:tcPr>
          <w:p>
            <w:pPr>
              <w:spacing w:after="0"/>
              <w:rPr>
                <w:sz w:val="5"/>
                <w:szCs w:val="5"/>
                <w:color w:val="auto"/>
              </w:rPr>
            </w:pPr>
          </w:p>
        </w:tc>
        <w:tc>
          <w:tcPr>
            <w:tcW w:w="220" w:type="dxa"/>
            <w:vAlign w:val="bottom"/>
            <w:tcBorders>
              <w:bottom w:val="single" w:sz="8" w:color="D8D8D8"/>
            </w:tcBorders>
          </w:tcPr>
          <w:p>
            <w:pPr>
              <w:spacing w:after="0"/>
              <w:rPr>
                <w:sz w:val="5"/>
                <w:szCs w:val="5"/>
                <w:color w:val="auto"/>
              </w:rPr>
            </w:pPr>
          </w:p>
        </w:tc>
        <w:tc>
          <w:tcPr>
            <w:tcW w:w="1620" w:type="dxa"/>
            <w:vAlign w:val="bottom"/>
            <w:tcBorders>
              <w:bottom w:val="single" w:sz="8" w:color="D8D8D8"/>
            </w:tcBorders>
            <w:gridSpan w:val="2"/>
          </w:tcPr>
          <w:p>
            <w:pPr>
              <w:spacing w:after="0"/>
              <w:rPr>
                <w:sz w:val="5"/>
                <w:szCs w:val="5"/>
                <w:color w:val="auto"/>
              </w:rPr>
            </w:pPr>
          </w:p>
        </w:tc>
        <w:tc>
          <w:tcPr>
            <w:tcW w:w="260" w:type="dxa"/>
            <w:vAlign w:val="bottom"/>
            <w:tcBorders>
              <w:bottom w:val="single" w:sz="8" w:color="D8D8D8"/>
            </w:tcBorders>
          </w:tcPr>
          <w:p>
            <w:pPr>
              <w:spacing w:after="0"/>
              <w:rPr>
                <w:sz w:val="5"/>
                <w:szCs w:val="5"/>
                <w:color w:val="auto"/>
              </w:rPr>
            </w:pPr>
          </w:p>
        </w:tc>
        <w:tc>
          <w:tcPr>
            <w:tcW w:w="1700" w:type="dxa"/>
            <w:vAlign w:val="bottom"/>
            <w:tcBorders>
              <w:bottom w:val="single" w:sz="8" w:color="D8D8D8"/>
            </w:tcBorders>
            <w:gridSpan w:val="2"/>
          </w:tcPr>
          <w:p>
            <w:pPr>
              <w:spacing w:after="0"/>
              <w:rPr>
                <w:sz w:val="5"/>
                <w:szCs w:val="5"/>
                <w:color w:val="auto"/>
              </w:rPr>
            </w:pPr>
          </w:p>
        </w:tc>
        <w:tc>
          <w:tcPr>
            <w:tcW w:w="180" w:type="dxa"/>
            <w:vAlign w:val="bottom"/>
            <w:tcBorders>
              <w:bottom w:val="single" w:sz="8" w:color="D8D8D8"/>
            </w:tcBorders>
          </w:tcPr>
          <w:p>
            <w:pPr>
              <w:spacing w:after="0"/>
              <w:rPr>
                <w:sz w:val="5"/>
                <w:szCs w:val="5"/>
                <w:color w:val="auto"/>
              </w:rPr>
            </w:pPr>
          </w:p>
        </w:tc>
        <w:tc>
          <w:tcPr>
            <w:tcW w:w="5260" w:type="dxa"/>
            <w:vAlign w:val="bottom"/>
            <w:tcBorders>
              <w:bottom w:val="single" w:sz="8" w:color="D8D8D8"/>
            </w:tcBorders>
            <w:gridSpan w:val="8"/>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1780" w:type="dxa"/>
            <w:vAlign w:val="bottom"/>
          </w:tcPr>
          <w:p>
            <w:pPr>
              <w:spacing w:after="0"/>
              <w:rPr>
                <w:sz w:val="20"/>
                <w:szCs w:val="20"/>
                <w:color w:val="auto"/>
              </w:rPr>
            </w:pPr>
            <w:r>
              <w:rPr>
                <w:rFonts w:ascii="Arial" w:cs="Arial" w:eastAsia="Arial" w:hAnsi="Arial"/>
                <w:sz w:val="17"/>
                <w:szCs w:val="17"/>
                <w:b w:val="1"/>
                <w:bCs w:val="1"/>
                <w:color w:val="1F438E"/>
              </w:rPr>
              <w:t>WHY</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Base salary</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Our short-term</w:t>
            </w:r>
          </w:p>
        </w:tc>
        <w:tc>
          <w:tcPr>
            <w:tcW w:w="180" w:type="dxa"/>
            <w:vAlign w:val="bottom"/>
          </w:tcPr>
          <w:p>
            <w:pPr>
              <w:ind w:left="60"/>
              <w:spacing w:after="0"/>
              <w:rPr>
                <w:sz w:val="20"/>
                <w:szCs w:val="20"/>
                <w:color w:val="auto"/>
              </w:rPr>
            </w:pPr>
            <w:r>
              <w:rPr>
                <w:rFonts w:ascii="Arial" w:cs="Arial" w:eastAsia="Arial" w:hAnsi="Arial"/>
                <w:sz w:val="18"/>
                <w:szCs w:val="18"/>
                <w:color w:val="auto"/>
              </w:rPr>
              <w:t>•</w:t>
            </w:r>
          </w:p>
        </w:tc>
        <w:tc>
          <w:tcPr>
            <w:tcW w:w="5260" w:type="dxa"/>
            <w:vAlign w:val="bottom"/>
            <w:gridSpan w:val="8"/>
          </w:tcPr>
          <w:p>
            <w:pPr>
              <w:ind w:left="60"/>
              <w:spacing w:after="0"/>
              <w:rPr>
                <w:sz w:val="20"/>
                <w:szCs w:val="20"/>
                <w:color w:val="auto"/>
              </w:rPr>
            </w:pPr>
            <w:r>
              <w:rPr>
                <w:rFonts w:ascii="Arial" w:cs="Arial" w:eastAsia="Arial" w:hAnsi="Arial"/>
                <w:sz w:val="18"/>
                <w:szCs w:val="18"/>
                <w:color w:val="auto"/>
              </w:rPr>
              <w:t>Long-term equity incentive awards directly link the vast majority</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provides our</w:t>
            </w:r>
          </w:p>
        </w:tc>
        <w:tc>
          <w:tcPr>
            <w:tcW w:w="260" w:type="dxa"/>
            <w:vAlign w:val="bottom"/>
          </w:tcPr>
          <w:p>
            <w:pPr>
              <w:spacing w:after="0"/>
              <w:rPr>
                <w:sz w:val="17"/>
                <w:szCs w:val="17"/>
                <w:color w:val="auto"/>
              </w:rPr>
            </w:pPr>
          </w:p>
        </w:tc>
        <w:tc>
          <w:tcPr>
            <w:tcW w:w="17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cash incentive plan</w:t>
            </w:r>
          </w:p>
        </w:tc>
        <w:tc>
          <w:tcPr>
            <w:tcW w:w="180" w:type="dxa"/>
            <w:vAlign w:val="bottom"/>
          </w:tcPr>
          <w:p>
            <w:pPr>
              <w:spacing w:after="0"/>
              <w:rPr>
                <w:sz w:val="17"/>
                <w:szCs w:val="17"/>
                <w:color w:val="auto"/>
              </w:rPr>
            </w:pPr>
          </w:p>
        </w:tc>
        <w:tc>
          <w:tcPr>
            <w:tcW w:w="5260" w:type="dxa"/>
            <w:vAlign w:val="bottom"/>
            <w:gridSpan w:val="8"/>
          </w:tcPr>
          <w:p>
            <w:pPr>
              <w:ind w:left="60"/>
              <w:spacing w:after="0" w:line="202" w:lineRule="exact"/>
              <w:rPr>
                <w:sz w:val="20"/>
                <w:szCs w:val="20"/>
                <w:color w:val="auto"/>
              </w:rPr>
            </w:pPr>
            <w:r>
              <w:rPr>
                <w:rFonts w:ascii="Arial" w:cs="Arial" w:eastAsia="Arial" w:hAnsi="Arial"/>
                <w:sz w:val="18"/>
                <w:szCs w:val="18"/>
                <w:color w:val="auto"/>
              </w:rPr>
              <w:t>of each executive officer’s target total direct compensation to the</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executive officers</w:t>
            </w:r>
          </w:p>
        </w:tc>
        <w:tc>
          <w:tcPr>
            <w:tcW w:w="260" w:type="dxa"/>
            <w:vAlign w:val="bottom"/>
          </w:tcPr>
          <w:p>
            <w:pPr>
              <w:spacing w:after="0"/>
              <w:rPr>
                <w:sz w:val="17"/>
                <w:szCs w:val="17"/>
                <w:color w:val="auto"/>
              </w:rPr>
            </w:pPr>
          </w:p>
        </w:tc>
        <w:tc>
          <w:tcPr>
            <w:tcW w:w="17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creates shared</w:t>
            </w:r>
          </w:p>
        </w:tc>
        <w:tc>
          <w:tcPr>
            <w:tcW w:w="180" w:type="dxa"/>
            <w:vAlign w:val="bottom"/>
          </w:tcPr>
          <w:p>
            <w:pPr>
              <w:spacing w:after="0"/>
              <w:rPr>
                <w:sz w:val="17"/>
                <w:szCs w:val="17"/>
                <w:color w:val="auto"/>
              </w:rPr>
            </w:pPr>
          </w:p>
        </w:tc>
        <w:tc>
          <w:tcPr>
            <w:tcW w:w="5260" w:type="dxa"/>
            <w:vAlign w:val="bottom"/>
            <w:gridSpan w:val="8"/>
          </w:tcPr>
          <w:p>
            <w:pPr>
              <w:ind w:left="60"/>
              <w:spacing w:after="0" w:line="202" w:lineRule="exact"/>
              <w:rPr>
                <w:sz w:val="20"/>
                <w:szCs w:val="20"/>
                <w:color w:val="auto"/>
              </w:rPr>
            </w:pPr>
            <w:r>
              <w:rPr>
                <w:rFonts w:ascii="Arial" w:cs="Arial" w:eastAsia="Arial" w:hAnsi="Arial"/>
                <w:sz w:val="18"/>
                <w:szCs w:val="18"/>
                <w:color w:val="auto"/>
              </w:rPr>
              <w:t>market value of our common stock, while promoting retention</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with a stable and</w:t>
            </w:r>
          </w:p>
        </w:tc>
        <w:tc>
          <w:tcPr>
            <w:tcW w:w="260" w:type="dxa"/>
            <w:vAlign w:val="bottom"/>
          </w:tcPr>
          <w:p>
            <w:pPr>
              <w:spacing w:after="0"/>
              <w:rPr>
                <w:sz w:val="17"/>
                <w:szCs w:val="17"/>
                <w:color w:val="auto"/>
              </w:rPr>
            </w:pPr>
          </w:p>
        </w:tc>
        <w:tc>
          <w:tcPr>
            <w:tcW w:w="17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alignment across</w:t>
            </w:r>
          </w:p>
        </w:tc>
        <w:tc>
          <w:tcPr>
            <w:tcW w:w="180" w:type="dxa"/>
            <w:vAlign w:val="bottom"/>
          </w:tcPr>
          <w:p>
            <w:pPr>
              <w:spacing w:after="0"/>
              <w:rPr>
                <w:sz w:val="17"/>
                <w:szCs w:val="17"/>
                <w:color w:val="auto"/>
              </w:rPr>
            </w:pPr>
          </w:p>
        </w:tc>
        <w:tc>
          <w:tcPr>
            <w:tcW w:w="5260" w:type="dxa"/>
            <w:vAlign w:val="bottom"/>
            <w:gridSpan w:val="8"/>
          </w:tcPr>
          <w:p>
            <w:pPr>
              <w:ind w:left="60"/>
              <w:spacing w:after="0" w:line="202" w:lineRule="exact"/>
              <w:rPr>
                <w:sz w:val="20"/>
                <w:szCs w:val="20"/>
                <w:color w:val="auto"/>
              </w:rPr>
            </w:pPr>
            <w:r>
              <w:rPr>
                <w:rFonts w:ascii="Arial" w:cs="Arial" w:eastAsia="Arial" w:hAnsi="Arial"/>
                <w:sz w:val="18"/>
                <w:szCs w:val="18"/>
                <w:color w:val="auto"/>
              </w:rPr>
              <w:t>through multi-year vesting and performance periods</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predictable cash</w:t>
            </w:r>
          </w:p>
        </w:tc>
        <w:tc>
          <w:tcPr>
            <w:tcW w:w="260" w:type="dxa"/>
            <w:vAlign w:val="bottom"/>
          </w:tcPr>
          <w:p>
            <w:pPr>
              <w:spacing w:after="0"/>
              <w:rPr>
                <w:sz w:val="17"/>
                <w:szCs w:val="17"/>
                <w:color w:val="auto"/>
              </w:rPr>
            </w:pPr>
          </w:p>
        </w:tc>
        <w:tc>
          <w:tcPr>
            <w:tcW w:w="17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our employee</w:t>
            </w:r>
          </w:p>
        </w:tc>
        <w:tc>
          <w:tcPr>
            <w:tcW w:w="1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5260" w:type="dxa"/>
            <w:vAlign w:val="bottom"/>
            <w:gridSpan w:val="8"/>
            <w:vMerge w:val="restart"/>
          </w:tcPr>
          <w:p>
            <w:pPr>
              <w:ind w:left="60"/>
              <w:spacing w:after="0"/>
              <w:rPr>
                <w:sz w:val="20"/>
                <w:szCs w:val="20"/>
                <w:color w:val="auto"/>
              </w:rPr>
            </w:pPr>
            <w:r>
              <w:rPr>
                <w:rFonts w:ascii="Arial" w:cs="Arial" w:eastAsia="Arial" w:hAnsi="Arial"/>
                <w:sz w:val="18"/>
                <w:szCs w:val="18"/>
                <w:color w:val="auto"/>
              </w:rPr>
              <w:t>PSUs build further focus on annual Company financial</w:t>
            </w: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gridSpan w:val="2"/>
            <w:vMerge w:val="restart"/>
          </w:tcPr>
          <w:p>
            <w:pPr>
              <w:ind w:left="60"/>
              <w:spacing w:after="0" w:line="202" w:lineRule="exact"/>
              <w:rPr>
                <w:sz w:val="20"/>
                <w:szCs w:val="20"/>
                <w:color w:val="auto"/>
              </w:rPr>
            </w:pPr>
            <w:r>
              <w:rPr>
                <w:rFonts w:ascii="Arial" w:cs="Arial" w:eastAsia="Arial" w:hAnsi="Arial"/>
                <w:sz w:val="18"/>
                <w:szCs w:val="18"/>
                <w:color w:val="auto"/>
              </w:rPr>
              <w:t>flow</w:t>
            </w:r>
          </w:p>
        </w:tc>
        <w:tc>
          <w:tcPr>
            <w:tcW w:w="260" w:type="dxa"/>
            <w:vAlign w:val="bottom"/>
          </w:tcPr>
          <w:p>
            <w:pPr>
              <w:spacing w:after="0"/>
              <w:rPr>
                <w:sz w:val="10"/>
                <w:szCs w:val="10"/>
                <w:color w:val="auto"/>
              </w:rPr>
            </w:pPr>
          </w:p>
        </w:tc>
        <w:tc>
          <w:tcPr>
            <w:tcW w:w="1700" w:type="dxa"/>
            <w:vAlign w:val="bottom"/>
            <w:gridSpan w:val="2"/>
            <w:vMerge w:val="restart"/>
          </w:tcPr>
          <w:p>
            <w:pPr>
              <w:ind w:left="80"/>
              <w:spacing w:after="0" w:line="202" w:lineRule="exact"/>
              <w:rPr>
                <w:sz w:val="20"/>
                <w:szCs w:val="20"/>
                <w:color w:val="auto"/>
              </w:rPr>
            </w:pPr>
            <w:r>
              <w:rPr>
                <w:rFonts w:ascii="Arial" w:cs="Arial" w:eastAsia="Arial" w:hAnsi="Arial"/>
                <w:sz w:val="18"/>
                <w:szCs w:val="18"/>
                <w:color w:val="auto"/>
              </w:rPr>
              <w:t>population and</w:t>
            </w:r>
          </w:p>
        </w:tc>
        <w:tc>
          <w:tcPr>
            <w:tcW w:w="180" w:type="dxa"/>
            <w:vAlign w:val="bottom"/>
            <w:vMerge w:val="continue"/>
          </w:tcPr>
          <w:p>
            <w:pPr>
              <w:spacing w:after="0"/>
              <w:rPr>
                <w:sz w:val="10"/>
                <w:szCs w:val="10"/>
                <w:color w:val="auto"/>
              </w:rPr>
            </w:pPr>
          </w:p>
        </w:tc>
        <w:tc>
          <w:tcPr>
            <w:tcW w:w="52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5260" w:type="dxa"/>
            <w:vAlign w:val="bottom"/>
            <w:gridSpan w:val="8"/>
            <w:vMerge w:val="restart"/>
          </w:tcPr>
          <w:p>
            <w:pPr>
              <w:ind w:left="60"/>
              <w:spacing w:after="0" w:line="202" w:lineRule="exact"/>
              <w:rPr>
                <w:sz w:val="20"/>
                <w:szCs w:val="20"/>
                <w:color w:val="auto"/>
              </w:rPr>
            </w:pPr>
            <w:r>
              <w:rPr>
                <w:rFonts w:ascii="Arial" w:cs="Arial" w:eastAsia="Arial" w:hAnsi="Arial"/>
                <w:sz w:val="18"/>
                <w:szCs w:val="18"/>
                <w:color w:val="auto"/>
              </w:rPr>
              <w:t>performance targets, using a steeper payout curve than our</w:t>
            </w: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00" w:type="dxa"/>
            <w:vAlign w:val="bottom"/>
            <w:gridSpan w:val="2"/>
            <w:vMerge w:val="restart"/>
          </w:tcPr>
          <w:p>
            <w:pPr>
              <w:ind w:left="80"/>
              <w:spacing w:after="0" w:line="202" w:lineRule="exact"/>
              <w:rPr>
                <w:sz w:val="20"/>
                <w:szCs w:val="20"/>
                <w:color w:val="auto"/>
              </w:rPr>
            </w:pPr>
            <w:r>
              <w:rPr>
                <w:rFonts w:ascii="Arial" w:cs="Arial" w:eastAsia="Arial" w:hAnsi="Arial"/>
                <w:sz w:val="18"/>
                <w:szCs w:val="18"/>
                <w:color w:val="auto"/>
              </w:rPr>
              <w:t>rewards the</w:t>
            </w:r>
          </w:p>
        </w:tc>
        <w:tc>
          <w:tcPr>
            <w:tcW w:w="180" w:type="dxa"/>
            <w:vAlign w:val="bottom"/>
          </w:tcPr>
          <w:p>
            <w:pPr>
              <w:spacing w:after="0"/>
              <w:rPr>
                <w:sz w:val="10"/>
                <w:szCs w:val="10"/>
                <w:color w:val="auto"/>
              </w:rPr>
            </w:pPr>
          </w:p>
        </w:tc>
        <w:tc>
          <w:tcPr>
            <w:tcW w:w="52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5260" w:type="dxa"/>
            <w:vAlign w:val="bottom"/>
            <w:gridSpan w:val="8"/>
            <w:vMerge w:val="restart"/>
          </w:tcPr>
          <w:p>
            <w:pPr>
              <w:ind w:left="60"/>
              <w:spacing w:after="0"/>
              <w:rPr>
                <w:sz w:val="20"/>
                <w:szCs w:val="20"/>
                <w:color w:val="auto"/>
              </w:rPr>
            </w:pPr>
            <w:r>
              <w:rPr>
                <w:rFonts w:ascii="Arial" w:cs="Arial" w:eastAsia="Arial" w:hAnsi="Arial"/>
                <w:sz w:val="18"/>
                <w:szCs w:val="18"/>
                <w:color w:val="auto"/>
              </w:rPr>
              <w:t>annual incentives in the event of under- or over-performance</w:t>
            </w:r>
          </w:p>
        </w:tc>
        <w:tc>
          <w:tcPr>
            <w:tcW w:w="0" w:type="dxa"/>
            <w:vAlign w:val="bottom"/>
          </w:tcPr>
          <w:p>
            <w:pPr>
              <w:spacing w:after="0"/>
              <w:rPr>
                <w:sz w:val="1"/>
                <w:szCs w:val="1"/>
                <w:color w:val="auto"/>
              </w:rPr>
            </w:pPr>
          </w:p>
        </w:tc>
      </w:tr>
      <w:tr>
        <w:trPr>
          <w:trHeight w:val="158"/>
        </w:trPr>
        <w:tc>
          <w:tcPr>
            <w:tcW w:w="1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2"/>
            <w:vMerge w:val="restart"/>
          </w:tcPr>
          <w:p>
            <w:pPr>
              <w:ind w:left="80"/>
              <w:spacing w:after="0" w:line="202" w:lineRule="exact"/>
              <w:rPr>
                <w:sz w:val="20"/>
                <w:szCs w:val="20"/>
                <w:color w:val="auto"/>
              </w:rPr>
            </w:pPr>
            <w:r>
              <w:rPr>
                <w:rFonts w:ascii="Arial" w:cs="Arial" w:eastAsia="Arial" w:hAnsi="Arial"/>
                <w:sz w:val="18"/>
                <w:szCs w:val="18"/>
                <w:color w:val="auto"/>
              </w:rPr>
              <w:t>achievement of</w:t>
            </w:r>
          </w:p>
        </w:tc>
        <w:tc>
          <w:tcPr>
            <w:tcW w:w="180" w:type="dxa"/>
            <w:vAlign w:val="bottom"/>
          </w:tcPr>
          <w:p>
            <w:pPr>
              <w:spacing w:after="0"/>
              <w:rPr>
                <w:sz w:val="13"/>
                <w:szCs w:val="13"/>
                <w:color w:val="auto"/>
              </w:rPr>
            </w:pPr>
          </w:p>
        </w:tc>
        <w:tc>
          <w:tcPr>
            <w:tcW w:w="526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1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annual Company</w:t>
            </w:r>
          </w:p>
        </w:tc>
        <w:tc>
          <w:tcPr>
            <w:tcW w:w="180" w:type="dxa"/>
            <w:vAlign w:val="bottom"/>
          </w:tcPr>
          <w:p>
            <w:pPr>
              <w:ind w:left="60"/>
              <w:spacing w:after="0"/>
              <w:rPr>
                <w:sz w:val="20"/>
                <w:szCs w:val="20"/>
                <w:color w:val="auto"/>
              </w:rPr>
            </w:pPr>
            <w:r>
              <w:rPr>
                <w:rFonts w:ascii="Arial" w:cs="Arial" w:eastAsia="Arial" w:hAnsi="Arial"/>
                <w:sz w:val="18"/>
                <w:szCs w:val="18"/>
                <w:color w:val="auto"/>
              </w:rPr>
              <w:t>•</w:t>
            </w:r>
          </w:p>
        </w:tc>
        <w:tc>
          <w:tcPr>
            <w:tcW w:w="5260" w:type="dxa"/>
            <w:vAlign w:val="bottom"/>
            <w:gridSpan w:val="8"/>
          </w:tcPr>
          <w:p>
            <w:pPr>
              <w:ind w:left="60"/>
              <w:spacing w:after="0"/>
              <w:rPr>
                <w:sz w:val="20"/>
                <w:szCs w:val="20"/>
                <w:color w:val="auto"/>
              </w:rPr>
            </w:pPr>
            <w:r>
              <w:rPr>
                <w:rFonts w:ascii="Arial" w:cs="Arial" w:eastAsia="Arial" w:hAnsi="Arial"/>
                <w:sz w:val="18"/>
                <w:szCs w:val="18"/>
                <w:color w:val="auto"/>
              </w:rPr>
              <w:t>MSUs align executive pay outcomes with stockholder experience</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goals as well as</w:t>
            </w:r>
          </w:p>
        </w:tc>
        <w:tc>
          <w:tcPr>
            <w:tcW w:w="180" w:type="dxa"/>
            <w:vAlign w:val="bottom"/>
          </w:tcPr>
          <w:p>
            <w:pPr>
              <w:spacing w:after="0"/>
              <w:rPr>
                <w:sz w:val="17"/>
                <w:szCs w:val="17"/>
                <w:color w:val="auto"/>
              </w:rPr>
            </w:pPr>
          </w:p>
        </w:tc>
        <w:tc>
          <w:tcPr>
            <w:tcW w:w="3880" w:type="dxa"/>
            <w:vAlign w:val="bottom"/>
            <w:gridSpan w:val="7"/>
          </w:tcPr>
          <w:p>
            <w:pPr>
              <w:ind w:left="60"/>
              <w:spacing w:after="0" w:line="202" w:lineRule="exact"/>
              <w:rPr>
                <w:sz w:val="20"/>
                <w:szCs w:val="20"/>
                <w:color w:val="auto"/>
              </w:rPr>
            </w:pPr>
            <w:r>
              <w:rPr>
                <w:rFonts w:ascii="Arial" w:cs="Arial" w:eastAsia="Arial" w:hAnsi="Arial"/>
                <w:sz w:val="18"/>
                <w:szCs w:val="18"/>
                <w:color w:val="auto"/>
              </w:rPr>
              <w:t>and further encourages long-term performance</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2"/>
          </w:tcPr>
          <w:p>
            <w:pPr>
              <w:ind w:left="80"/>
              <w:spacing w:after="0" w:line="183" w:lineRule="exact"/>
              <w:rPr>
                <w:sz w:val="20"/>
                <w:szCs w:val="20"/>
                <w:color w:val="auto"/>
              </w:rPr>
            </w:pPr>
            <w:r>
              <w:rPr>
                <w:rFonts w:ascii="Arial" w:cs="Arial" w:eastAsia="Arial" w:hAnsi="Arial"/>
                <w:sz w:val="18"/>
                <w:szCs w:val="18"/>
                <w:color w:val="auto"/>
              </w:rPr>
              <w:t>individual</w:t>
            </w:r>
          </w:p>
        </w:tc>
        <w:tc>
          <w:tcPr>
            <w:tcW w:w="1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5260" w:type="dxa"/>
            <w:vAlign w:val="bottom"/>
            <w:gridSpan w:val="8"/>
            <w:vMerge w:val="restart"/>
          </w:tcPr>
          <w:p>
            <w:pPr>
              <w:ind w:left="60"/>
              <w:spacing w:after="0"/>
              <w:rPr>
                <w:sz w:val="20"/>
                <w:szCs w:val="20"/>
                <w:color w:val="auto"/>
              </w:rPr>
            </w:pPr>
            <w:r>
              <w:rPr>
                <w:rFonts w:ascii="Arial" w:cs="Arial" w:eastAsia="Arial" w:hAnsi="Arial"/>
                <w:sz w:val="18"/>
                <w:szCs w:val="18"/>
                <w:color w:val="auto"/>
              </w:rPr>
              <w:t>RSUs represent a more stable equity-based compensation</w:t>
            </w:r>
          </w:p>
        </w:tc>
        <w:tc>
          <w:tcPr>
            <w:tcW w:w="0" w:type="dxa"/>
            <w:vAlign w:val="bottom"/>
          </w:tcPr>
          <w:p>
            <w:pPr>
              <w:spacing w:after="0"/>
              <w:rPr>
                <w:sz w:val="1"/>
                <w:szCs w:val="1"/>
                <w:color w:val="auto"/>
              </w:rPr>
            </w:pPr>
          </w:p>
        </w:tc>
      </w:tr>
      <w:tr>
        <w:trPr>
          <w:trHeight w:val="180"/>
        </w:trPr>
        <w:tc>
          <w:tcPr>
            <w:tcW w:w="1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2"/>
          </w:tcPr>
          <w:p>
            <w:pPr>
              <w:ind w:left="80"/>
              <w:spacing w:after="0" w:line="180" w:lineRule="exact"/>
              <w:rPr>
                <w:sz w:val="20"/>
                <w:szCs w:val="20"/>
                <w:color w:val="auto"/>
              </w:rPr>
            </w:pPr>
            <w:r>
              <w:rPr>
                <w:rFonts w:ascii="Arial" w:cs="Arial" w:eastAsia="Arial" w:hAnsi="Arial"/>
                <w:sz w:val="18"/>
                <w:szCs w:val="18"/>
                <w:color w:val="auto"/>
              </w:rPr>
              <w:t>performance</w:t>
            </w:r>
          </w:p>
        </w:tc>
        <w:tc>
          <w:tcPr>
            <w:tcW w:w="180" w:type="dxa"/>
            <w:vAlign w:val="bottom"/>
            <w:vMerge w:val="continue"/>
          </w:tcPr>
          <w:p>
            <w:pPr>
              <w:spacing w:after="0"/>
              <w:rPr>
                <w:sz w:val="15"/>
                <w:szCs w:val="15"/>
                <w:color w:val="auto"/>
              </w:rPr>
            </w:pPr>
          </w:p>
        </w:tc>
        <w:tc>
          <w:tcPr>
            <w:tcW w:w="526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5940"/>
        <w:spacing w:after="0" w:line="234" w:lineRule="auto"/>
        <w:rPr>
          <w:sz w:val="20"/>
          <w:szCs w:val="20"/>
          <w:color w:val="auto"/>
        </w:rPr>
      </w:pPr>
      <w:r>
        <w:rPr>
          <w:rFonts w:ascii="Arial" w:cs="Arial" w:eastAsia="Arial" w:hAnsi="Arial"/>
          <w:sz w:val="18"/>
          <w:szCs w:val="18"/>
          <w:color w:val="auto"/>
        </w:rPr>
        <w:t>vehicle, ensuring program durability across market cycles while</w:t>
      </w:r>
    </w:p>
    <w:p>
      <w:pPr>
        <w:ind w:left="5940"/>
        <w:spacing w:after="0" w:line="235" w:lineRule="auto"/>
        <w:rPr>
          <w:sz w:val="20"/>
          <w:szCs w:val="20"/>
          <w:color w:val="auto"/>
        </w:rPr>
      </w:pPr>
      <w:r>
        <w:rPr>
          <w:rFonts w:ascii="Arial" w:cs="Arial" w:eastAsia="Arial" w:hAnsi="Arial"/>
          <w:sz w:val="18"/>
          <w:szCs w:val="18"/>
          <w:color w:val="auto"/>
        </w:rPr>
        <w:t>providing linkage to the stock price performance of our common</w:t>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stock and promoting retention over a four-year vesting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699516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44</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Base Salary in Fiscal 2025</w:t>
      </w:r>
    </w:p>
    <w:p>
      <w:pPr>
        <w:spacing w:after="0" w:line="104"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None of our named executive officers received an increase in base salary as part of the Company’s annual year-end performance review and compensation process in November 2024. This approach reflects the LDCC’s continued emphasis on incentive compensation elements directly linked to the achievement of our target financial goals and the creation of stockholder value.</w:t>
      </w:r>
    </w:p>
    <w:p>
      <w:pPr>
        <w:spacing w:after="0" w:line="195" w:lineRule="exact"/>
        <w:rPr>
          <w:sz w:val="20"/>
          <w:szCs w:val="20"/>
          <w:color w:val="auto"/>
        </w:rPr>
      </w:pPr>
    </w:p>
    <w:tbl>
      <w:tblPr>
        <w:tblLayout w:type="fixed"/>
        <w:tblInd w:w="780" w:type="dxa"/>
        <w:tblCellMar>
          <w:top w:w="0" w:type="dxa"/>
          <w:left w:w="0" w:type="dxa"/>
          <w:bottom w:w="0" w:type="dxa"/>
          <w:right w:w="0" w:type="dxa"/>
        </w:tblCellMar>
      </w:tblPr>
      <w:tr>
        <w:trPr>
          <w:trHeight w:val="197"/>
        </w:trPr>
        <w:tc>
          <w:tcPr>
            <w:tcW w:w="6480" w:type="dxa"/>
            <w:vAlign w:val="bottom"/>
            <w:tcBorders>
              <w:top w:val="single" w:sz="8" w:color="376DB5"/>
            </w:tcBorders>
          </w:tcPr>
          <w:p>
            <w:pPr>
              <w:spacing w:after="0"/>
              <w:rPr>
                <w:sz w:val="17"/>
                <w:szCs w:val="17"/>
                <w:color w:val="auto"/>
              </w:rPr>
            </w:pPr>
          </w:p>
        </w:tc>
        <w:tc>
          <w:tcPr>
            <w:tcW w:w="1740" w:type="dxa"/>
            <w:vAlign w:val="bottom"/>
            <w:tcBorders>
              <w:top w:val="single" w:sz="8" w:color="376DB5"/>
            </w:tcBorders>
          </w:tcPr>
          <w:p>
            <w:pPr>
              <w:jc w:val="right"/>
              <w:ind w:right="110"/>
              <w:spacing w:after="0" w:line="197" w:lineRule="exact"/>
              <w:rPr>
                <w:sz w:val="20"/>
                <w:szCs w:val="20"/>
                <w:color w:val="auto"/>
              </w:rPr>
            </w:pPr>
            <w:r>
              <w:rPr>
                <w:rFonts w:ascii="Arial" w:cs="Arial" w:eastAsia="Arial" w:hAnsi="Arial"/>
                <w:sz w:val="18"/>
                <w:szCs w:val="18"/>
                <w:b w:val="1"/>
                <w:bCs w:val="1"/>
                <w:color w:val="376DB5"/>
              </w:rPr>
              <w:t>Fiscal 2025</w:t>
            </w:r>
          </w:p>
        </w:tc>
        <w:tc>
          <w:tcPr>
            <w:tcW w:w="1480" w:type="dxa"/>
            <w:vAlign w:val="bottom"/>
            <w:tcBorders>
              <w:top w:val="single" w:sz="8" w:color="376DB5"/>
            </w:tcBorders>
          </w:tcPr>
          <w:p>
            <w:pPr>
              <w:jc w:val="right"/>
              <w:ind w:right="230"/>
              <w:spacing w:after="0" w:line="197" w:lineRule="exact"/>
              <w:rPr>
                <w:sz w:val="20"/>
                <w:szCs w:val="20"/>
                <w:color w:val="auto"/>
              </w:rPr>
            </w:pPr>
            <w:r>
              <w:rPr>
                <w:rFonts w:ascii="Arial" w:cs="Arial" w:eastAsia="Arial" w:hAnsi="Arial"/>
                <w:sz w:val="18"/>
                <w:szCs w:val="18"/>
                <w:b w:val="1"/>
                <w:bCs w:val="1"/>
                <w:color w:val="376DB5"/>
              </w:rPr>
              <w:t>Fiscal 2024</w:t>
            </w:r>
          </w:p>
        </w:tc>
      </w:tr>
      <w:tr>
        <w:trPr>
          <w:trHeight w:val="261"/>
        </w:trPr>
        <w:tc>
          <w:tcPr>
            <w:tcW w:w="6480" w:type="dxa"/>
            <w:vAlign w:val="bottom"/>
            <w:tcBorders>
              <w:bottom w:val="single" w:sz="8" w:color="376DB5"/>
            </w:tcBorders>
          </w:tcPr>
          <w:p>
            <w:pPr>
              <w:spacing w:after="0"/>
              <w:rPr>
                <w:sz w:val="20"/>
                <w:szCs w:val="20"/>
                <w:color w:val="auto"/>
              </w:rPr>
            </w:pPr>
            <w:r>
              <w:rPr>
                <w:rFonts w:ascii="Arial" w:cs="Arial" w:eastAsia="Arial" w:hAnsi="Arial"/>
                <w:sz w:val="18"/>
                <w:szCs w:val="18"/>
                <w:b w:val="1"/>
                <w:bCs w:val="1"/>
                <w:color w:val="376DB5"/>
              </w:rPr>
              <w:t>  Named Executive Officer</w:t>
            </w:r>
          </w:p>
        </w:tc>
        <w:tc>
          <w:tcPr>
            <w:tcW w:w="1740" w:type="dxa"/>
            <w:vAlign w:val="bottom"/>
            <w:tcBorders>
              <w:bottom w:val="single" w:sz="8" w:color="376DB5"/>
            </w:tcBorders>
          </w:tcPr>
          <w:p>
            <w:pPr>
              <w:jc w:val="right"/>
              <w:ind w:right="70"/>
              <w:spacing w:after="0"/>
              <w:rPr>
                <w:sz w:val="20"/>
                <w:szCs w:val="20"/>
                <w:color w:val="auto"/>
              </w:rPr>
            </w:pPr>
            <w:r>
              <w:rPr>
                <w:rFonts w:ascii="Arial" w:cs="Arial" w:eastAsia="Arial" w:hAnsi="Arial"/>
                <w:sz w:val="18"/>
                <w:szCs w:val="18"/>
                <w:b w:val="1"/>
                <w:bCs w:val="1"/>
                <w:color w:val="376DB5"/>
              </w:rPr>
              <w:t>Base Salary</w:t>
            </w:r>
          </w:p>
        </w:tc>
        <w:tc>
          <w:tcPr>
            <w:tcW w:w="1480" w:type="dxa"/>
            <w:vAlign w:val="bottom"/>
            <w:tcBorders>
              <w:bottom w:val="single" w:sz="8" w:color="376DB5"/>
            </w:tcBorders>
          </w:tcPr>
          <w:p>
            <w:pPr>
              <w:jc w:val="right"/>
              <w:ind w:right="190"/>
              <w:spacing w:after="0"/>
              <w:rPr>
                <w:sz w:val="20"/>
                <w:szCs w:val="20"/>
                <w:color w:val="auto"/>
              </w:rPr>
            </w:pPr>
            <w:r>
              <w:rPr>
                <w:rFonts w:ascii="Arial" w:cs="Arial" w:eastAsia="Arial" w:hAnsi="Arial"/>
                <w:sz w:val="18"/>
                <w:szCs w:val="18"/>
                <w:b w:val="1"/>
                <w:bCs w:val="1"/>
                <w:color w:val="376DB5"/>
              </w:rPr>
              <w:t>Base Salary</w:t>
            </w:r>
          </w:p>
        </w:tc>
      </w:tr>
      <w:tr>
        <w:trPr>
          <w:trHeight w:val="259"/>
        </w:trPr>
        <w:tc>
          <w:tcPr>
            <w:tcW w:w="6480" w:type="dxa"/>
            <w:vAlign w:val="bottom"/>
          </w:tcPr>
          <w:p>
            <w:pPr>
              <w:spacing w:after="0"/>
              <w:rPr>
                <w:sz w:val="20"/>
                <w:szCs w:val="20"/>
                <w:color w:val="auto"/>
              </w:rPr>
            </w:pPr>
            <w:r>
              <w:rPr>
                <w:rFonts w:ascii="Arial" w:cs="Arial" w:eastAsia="Arial" w:hAnsi="Arial"/>
                <w:sz w:val="18"/>
                <w:szCs w:val="18"/>
                <w:color w:val="auto"/>
              </w:rPr>
              <w:t>  William Lansing</w:t>
            </w: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$750,000</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$750,000</w:t>
            </w:r>
          </w:p>
        </w:tc>
      </w:tr>
      <w:tr>
        <w:trPr>
          <w:trHeight w:val="288"/>
        </w:trPr>
        <w:tc>
          <w:tcPr>
            <w:tcW w:w="6480" w:type="dxa"/>
            <w:vAlign w:val="bottom"/>
            <w:shd w:val="clear" w:color="auto" w:fill="F2F2F2"/>
          </w:tcPr>
          <w:p>
            <w:pPr>
              <w:spacing w:after="0"/>
              <w:rPr>
                <w:sz w:val="20"/>
                <w:szCs w:val="20"/>
                <w:color w:val="auto"/>
              </w:rPr>
            </w:pPr>
            <w:r>
              <w:rPr>
                <w:rFonts w:ascii="Arial" w:cs="Arial" w:eastAsia="Arial" w:hAnsi="Arial"/>
                <w:sz w:val="18"/>
                <w:szCs w:val="18"/>
                <w:color w:val="auto"/>
              </w:rPr>
              <w:t>  Steven Weber</w:t>
            </w:r>
          </w:p>
        </w:tc>
        <w:tc>
          <w:tcPr>
            <w:tcW w:w="174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$400,000</w:t>
            </w:r>
          </w:p>
        </w:tc>
        <w:tc>
          <w:tcPr>
            <w:tcW w:w="1480" w:type="dxa"/>
            <w:vAlign w:val="bottom"/>
            <w:shd w:val="clear" w:color="auto" w:fill="F2F2F2"/>
          </w:tcPr>
          <w:p>
            <w:pPr>
              <w:jc w:val="right"/>
              <w:ind w:right="190"/>
              <w:spacing w:after="0"/>
              <w:rPr>
                <w:sz w:val="20"/>
                <w:szCs w:val="20"/>
                <w:color w:val="auto"/>
              </w:rPr>
            </w:pPr>
            <w:r>
              <w:rPr>
                <w:rFonts w:ascii="Arial" w:cs="Arial" w:eastAsia="Arial" w:hAnsi="Arial"/>
                <w:sz w:val="18"/>
                <w:szCs w:val="18"/>
                <w:color w:val="auto"/>
              </w:rPr>
              <w:t>$400,000</w:t>
            </w:r>
          </w:p>
        </w:tc>
      </w:tr>
      <w:tr>
        <w:trPr>
          <w:trHeight w:val="279"/>
        </w:trPr>
        <w:tc>
          <w:tcPr>
            <w:tcW w:w="6480" w:type="dxa"/>
            <w:vAlign w:val="bottom"/>
          </w:tcPr>
          <w:p>
            <w:pPr>
              <w:spacing w:after="0"/>
              <w:rPr>
                <w:sz w:val="20"/>
                <w:szCs w:val="20"/>
                <w:color w:val="auto"/>
              </w:rPr>
            </w:pPr>
            <w:r>
              <w:rPr>
                <w:rFonts w:ascii="Arial" w:cs="Arial" w:eastAsia="Arial" w:hAnsi="Arial"/>
                <w:sz w:val="18"/>
                <w:szCs w:val="18"/>
                <w:color w:val="auto"/>
              </w:rPr>
              <w:t>  Nikhil Behl</w:t>
            </w: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$500,000</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$500,000</w:t>
            </w:r>
          </w:p>
        </w:tc>
      </w:tr>
      <w:tr>
        <w:trPr>
          <w:trHeight w:val="288"/>
        </w:trPr>
        <w:tc>
          <w:tcPr>
            <w:tcW w:w="6480" w:type="dxa"/>
            <w:vAlign w:val="bottom"/>
            <w:shd w:val="clear" w:color="auto" w:fill="F2F2F2"/>
          </w:tcPr>
          <w:p>
            <w:pPr>
              <w:spacing w:after="0"/>
              <w:rPr>
                <w:sz w:val="20"/>
                <w:szCs w:val="20"/>
                <w:color w:val="auto"/>
              </w:rPr>
            </w:pPr>
            <w:r>
              <w:rPr>
                <w:rFonts w:ascii="Arial" w:cs="Arial" w:eastAsia="Arial" w:hAnsi="Arial"/>
                <w:sz w:val="18"/>
                <w:szCs w:val="18"/>
                <w:color w:val="auto"/>
              </w:rPr>
              <w:t>  Richard Deal</w:t>
            </w:r>
          </w:p>
        </w:tc>
        <w:tc>
          <w:tcPr>
            <w:tcW w:w="174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$400,000</w:t>
            </w:r>
          </w:p>
        </w:tc>
        <w:tc>
          <w:tcPr>
            <w:tcW w:w="1480" w:type="dxa"/>
            <w:vAlign w:val="bottom"/>
            <w:shd w:val="clear" w:color="auto" w:fill="F2F2F2"/>
          </w:tcPr>
          <w:p>
            <w:pPr>
              <w:jc w:val="right"/>
              <w:ind w:right="190"/>
              <w:spacing w:after="0"/>
              <w:rPr>
                <w:sz w:val="20"/>
                <w:szCs w:val="20"/>
                <w:color w:val="auto"/>
              </w:rPr>
            </w:pPr>
            <w:r>
              <w:rPr>
                <w:rFonts w:ascii="Arial" w:cs="Arial" w:eastAsia="Arial" w:hAnsi="Arial"/>
                <w:sz w:val="18"/>
                <w:szCs w:val="18"/>
                <w:color w:val="auto"/>
              </w:rPr>
              <w:t>$400,000</w:t>
            </w:r>
          </w:p>
        </w:tc>
      </w:tr>
      <w:tr>
        <w:trPr>
          <w:trHeight w:val="279"/>
        </w:trPr>
        <w:tc>
          <w:tcPr>
            <w:tcW w:w="6480" w:type="dxa"/>
            <w:vAlign w:val="bottom"/>
          </w:tcPr>
          <w:p>
            <w:pPr>
              <w:spacing w:after="0"/>
              <w:rPr>
                <w:sz w:val="20"/>
                <w:szCs w:val="20"/>
                <w:color w:val="auto"/>
              </w:rPr>
            </w:pPr>
            <w:r>
              <w:rPr>
                <w:rFonts w:ascii="Arial" w:cs="Arial" w:eastAsia="Arial" w:hAnsi="Arial"/>
                <w:sz w:val="18"/>
                <w:szCs w:val="18"/>
                <w:color w:val="auto"/>
              </w:rPr>
              <w:t>  Mark Scadina</w:t>
            </w: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$400,000</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$400,000</w:t>
            </w:r>
          </w:p>
        </w:tc>
      </w:tr>
      <w:tr>
        <w:trPr>
          <w:trHeight w:val="288"/>
        </w:trPr>
        <w:tc>
          <w:tcPr>
            <w:tcW w:w="6480" w:type="dxa"/>
            <w:vAlign w:val="bottom"/>
            <w:tcBorders>
              <w:bottom w:val="single" w:sz="8" w:color="376DB5"/>
            </w:tcBorders>
            <w:shd w:val="clear" w:color="auto" w:fill="F2F2F2"/>
          </w:tcPr>
          <w:p>
            <w:pPr>
              <w:spacing w:after="0" w:line="288" w:lineRule="exact"/>
              <w:rPr>
                <w:sz w:val="20"/>
                <w:szCs w:val="20"/>
                <w:color w:val="auto"/>
              </w:rPr>
            </w:pPr>
            <w:r>
              <w:rPr>
                <w:rFonts w:ascii="Arial" w:cs="Arial" w:eastAsia="Arial" w:hAnsi="Arial"/>
                <w:sz w:val="18"/>
                <w:szCs w:val="18"/>
                <w:color w:val="auto"/>
              </w:rPr>
              <w:t>  James Wehmann</w:t>
            </w:r>
            <w:r>
              <w:rPr>
                <w:rFonts w:ascii="Arial" w:cs="Arial" w:eastAsia="Arial" w:hAnsi="Arial"/>
                <w:sz w:val="26"/>
                <w:szCs w:val="26"/>
                <w:color w:val="auto"/>
                <w:vertAlign w:val="superscript"/>
              </w:rPr>
              <w:t>(1)</w:t>
            </w:r>
          </w:p>
        </w:tc>
        <w:tc>
          <w:tcPr>
            <w:tcW w:w="1740" w:type="dxa"/>
            <w:vAlign w:val="bottom"/>
            <w:tcBorders>
              <w:bottom w:val="single" w:sz="8" w:color="376DB5"/>
            </w:tcBorders>
            <w:shd w:val="clear" w:color="auto" w:fill="F2F2F2"/>
          </w:tcPr>
          <w:p>
            <w:pPr>
              <w:jc w:val="right"/>
              <w:ind w:right="70"/>
              <w:spacing w:after="0"/>
              <w:rPr>
                <w:sz w:val="20"/>
                <w:szCs w:val="20"/>
                <w:color w:val="auto"/>
              </w:rPr>
            </w:pPr>
            <w:r>
              <w:rPr>
                <w:rFonts w:ascii="Arial" w:cs="Arial" w:eastAsia="Arial" w:hAnsi="Arial"/>
                <w:sz w:val="18"/>
                <w:szCs w:val="18"/>
                <w:color w:val="auto"/>
              </w:rPr>
              <w:t>$500,000</w:t>
            </w:r>
          </w:p>
        </w:tc>
        <w:tc>
          <w:tcPr>
            <w:tcW w:w="1480" w:type="dxa"/>
            <w:vAlign w:val="bottom"/>
            <w:tcBorders>
              <w:bottom w:val="single" w:sz="8" w:color="376DB5"/>
            </w:tcBorders>
            <w:shd w:val="clear" w:color="auto" w:fill="F2F2F2"/>
          </w:tcPr>
          <w:p>
            <w:pPr>
              <w:jc w:val="right"/>
              <w:ind w:right="190"/>
              <w:spacing w:after="0"/>
              <w:rPr>
                <w:sz w:val="20"/>
                <w:szCs w:val="20"/>
                <w:color w:val="auto"/>
              </w:rPr>
            </w:pPr>
            <w:r>
              <w:rPr>
                <w:rFonts w:ascii="Arial" w:cs="Arial" w:eastAsia="Arial" w:hAnsi="Arial"/>
                <w:sz w:val="18"/>
                <w:szCs w:val="18"/>
                <w:color w:val="auto"/>
              </w:rPr>
              <w:t>$500,000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90868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79" w:lineRule="exact"/>
        <w:rPr>
          <w:sz w:val="20"/>
          <w:szCs w:val="20"/>
          <w:color w:val="auto"/>
        </w:rPr>
      </w:pPr>
    </w:p>
    <w:p>
      <w:pPr>
        <w:ind w:left="660" w:hanging="436"/>
        <w:spacing w:after="0"/>
        <w:tabs>
          <w:tab w:leader="none" w:pos="660" w:val="left"/>
        </w:tabs>
        <w:numPr>
          <w:ilvl w:val="0"/>
          <w:numId w:val="42"/>
        </w:numPr>
        <w:rPr>
          <w:rFonts w:ascii="Arial" w:cs="Arial" w:eastAsia="Arial" w:hAnsi="Arial"/>
          <w:sz w:val="27"/>
          <w:szCs w:val="27"/>
          <w:color w:val="auto"/>
          <w:vertAlign w:val="superscript"/>
        </w:rPr>
      </w:pPr>
      <w:r>
        <w:rPr>
          <w:rFonts w:ascii="Arial" w:cs="Arial" w:eastAsia="Arial" w:hAnsi="Arial"/>
          <w:sz w:val="18"/>
          <w:szCs w:val="18"/>
          <w:color w:val="auto"/>
        </w:rPr>
        <w:t>Mr. Wehmann retired from the Company effective September 5, 2025.</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Short-Term Cash Incentives</w:t>
      </w:r>
    </w:p>
    <w:p>
      <w:pPr>
        <w:spacing w:after="0" w:line="104"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For fiscal 2025, our annual incentive awards are paid from a single, centralized pool that supports short-term cash incentive payments to our executive officers under our Executive Incentive Plan (“EIP”) and vice president-level leaders under our Management Incentive Plan (“MIP”) and to other eligible employees under our Broad-Based Incentive Plan (“BBIP”).</w:t>
      </w:r>
    </w:p>
    <w:p>
      <w:pPr>
        <w:spacing w:after="0" w:line="61"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The LDCC determined named executive officers’ cash incentive payments using the framework set forth below, which was generally the same for all other participants in the EIP, MIP, and BBIP in order to provide shared focus on the performance measures that the LDCC believes are most critical to the success of our business.</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45</w:t>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1118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029450" cy="6111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46</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jc w:val="both"/>
        <w:ind w:left="120" w:right="20" w:firstLine="551"/>
        <w:spacing w:after="0" w:line="244" w:lineRule="auto"/>
        <w:rPr>
          <w:sz w:val="20"/>
          <w:szCs w:val="20"/>
          <w:color w:val="auto"/>
        </w:rPr>
      </w:pPr>
      <w:r>
        <w:rPr>
          <w:rFonts w:ascii="Arial" w:cs="Arial" w:eastAsia="Arial" w:hAnsi="Arial"/>
          <w:sz w:val="18"/>
          <w:szCs w:val="18"/>
          <w:color w:val="auto"/>
        </w:rPr>
        <w:t>The participant target percentage for each participant in the EIP is based on the Company’s desire to continue to emphasize long-term incentives and the LDCC’s review of market-competitive short-term compensation levels for executives in comparable roles at the peer group companies. As provided in their respective letter agreements, Mr. Lansing’s participant target percentage is 100% of his annual base salary, and the other named executive officers each have a participant target percentage of 50% of their annual base salary in effect at the end of fiscal 2025.</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Performance Factor</w:t>
      </w:r>
    </w:p>
    <w:p>
      <w:pPr>
        <w:spacing w:after="0" w:line="104"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The funding levels for each performance measure, along with the related Company Performance Factor, for fiscal 2025 were as follows: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4260" w:type="dxa"/>
            <w:vAlign w:val="bottom"/>
            <w:tcBorders>
              <w:bottom w:val="single" w:sz="8" w:color="376DB5"/>
            </w:tcBorders>
          </w:tcPr>
          <w:p>
            <w:pPr>
              <w:spacing w:after="0"/>
              <w:rPr>
                <w:sz w:val="19"/>
                <w:szCs w:val="19"/>
                <w:color w:val="auto"/>
              </w:rPr>
            </w:pPr>
          </w:p>
        </w:tc>
        <w:tc>
          <w:tcPr>
            <w:tcW w:w="1300" w:type="dxa"/>
            <w:vAlign w:val="bottom"/>
            <w:tcBorders>
              <w:bottom w:val="single" w:sz="8" w:color="376DB5"/>
            </w:tcBorders>
          </w:tcPr>
          <w:p>
            <w:pPr>
              <w:spacing w:after="0"/>
              <w:rPr>
                <w:sz w:val="19"/>
                <w:szCs w:val="19"/>
                <w:color w:val="auto"/>
              </w:rPr>
            </w:pPr>
          </w:p>
        </w:tc>
        <w:tc>
          <w:tcPr>
            <w:tcW w:w="1060" w:type="dxa"/>
            <w:vAlign w:val="bottom"/>
            <w:tcBorders>
              <w:bottom w:val="single" w:sz="8" w:color="376DB5"/>
            </w:tcBorders>
          </w:tcPr>
          <w:p>
            <w:pPr>
              <w:spacing w:after="0"/>
              <w:rPr>
                <w:sz w:val="19"/>
                <w:szCs w:val="19"/>
                <w:color w:val="auto"/>
              </w:rPr>
            </w:pPr>
          </w:p>
        </w:tc>
        <w:tc>
          <w:tcPr>
            <w:tcW w:w="1040" w:type="dxa"/>
            <w:vAlign w:val="bottom"/>
            <w:tcBorders>
              <w:bottom w:val="single" w:sz="8" w:color="376DB5"/>
            </w:tcBorders>
          </w:tcPr>
          <w:p>
            <w:pPr>
              <w:spacing w:after="0"/>
              <w:rPr>
                <w:sz w:val="19"/>
                <w:szCs w:val="19"/>
                <w:color w:val="auto"/>
              </w:rPr>
            </w:pPr>
          </w:p>
        </w:tc>
        <w:tc>
          <w:tcPr>
            <w:tcW w:w="1020" w:type="dxa"/>
            <w:vAlign w:val="bottom"/>
            <w:tcBorders>
              <w:bottom w:val="single" w:sz="8" w:color="376DB5"/>
            </w:tcBorders>
          </w:tcPr>
          <w:p>
            <w:pPr>
              <w:spacing w:after="0"/>
              <w:rPr>
                <w:sz w:val="19"/>
                <w:szCs w:val="19"/>
                <w:color w:val="auto"/>
              </w:rPr>
            </w:pPr>
          </w:p>
        </w:tc>
        <w:tc>
          <w:tcPr>
            <w:tcW w:w="1100" w:type="dxa"/>
            <w:vAlign w:val="bottom"/>
            <w:tcBorders>
              <w:bottom w:val="single" w:sz="8" w:color="376DB5"/>
            </w:tcBorders>
          </w:tcPr>
          <w:p>
            <w:pPr>
              <w:spacing w:after="0"/>
              <w:rPr>
                <w:sz w:val="19"/>
                <w:szCs w:val="19"/>
                <w:color w:val="auto"/>
              </w:rPr>
            </w:pPr>
          </w:p>
        </w:tc>
        <w:tc>
          <w:tcPr>
            <w:tcW w:w="1240" w:type="dxa"/>
            <w:vAlign w:val="bottom"/>
            <w:tcBorders>
              <w:bottom w:val="single" w:sz="8" w:color="376DB5"/>
            </w:tcBorders>
          </w:tcPr>
          <w:p>
            <w:pPr>
              <w:jc w:val="center"/>
              <w:ind w:left="50"/>
              <w:spacing w:after="0"/>
              <w:rPr>
                <w:sz w:val="20"/>
                <w:szCs w:val="20"/>
                <w:color w:val="auto"/>
              </w:rPr>
            </w:pPr>
            <w:r>
              <w:rPr>
                <w:rFonts w:ascii="Arial" w:cs="Arial" w:eastAsia="Arial" w:hAnsi="Arial"/>
                <w:sz w:val="18"/>
                <w:szCs w:val="18"/>
                <w:color w:val="376DB5"/>
                <w:w w:val="99"/>
              </w:rPr>
              <w:t>($ in Millions)</w:t>
            </w:r>
          </w:p>
        </w:tc>
      </w:tr>
      <w:tr>
        <w:trPr>
          <w:trHeight w:val="177"/>
        </w:trPr>
        <w:tc>
          <w:tcPr>
            <w:tcW w:w="4260" w:type="dxa"/>
            <w:vAlign w:val="bottom"/>
          </w:tcPr>
          <w:p>
            <w:pPr>
              <w:spacing w:after="0"/>
              <w:rPr>
                <w:sz w:val="15"/>
                <w:szCs w:val="15"/>
                <w:color w:val="auto"/>
              </w:rPr>
            </w:pPr>
          </w:p>
        </w:tc>
        <w:tc>
          <w:tcPr>
            <w:tcW w:w="1300" w:type="dxa"/>
            <w:vAlign w:val="bottom"/>
          </w:tcPr>
          <w:p>
            <w:pPr>
              <w:jc w:val="center"/>
              <w:ind w:left="90"/>
              <w:spacing w:after="0" w:line="177" w:lineRule="exact"/>
              <w:rPr>
                <w:sz w:val="20"/>
                <w:szCs w:val="20"/>
                <w:color w:val="auto"/>
              </w:rPr>
            </w:pPr>
            <w:r>
              <w:rPr>
                <w:rFonts w:ascii="Arial" w:cs="Arial" w:eastAsia="Arial" w:hAnsi="Arial"/>
                <w:sz w:val="18"/>
                <w:szCs w:val="18"/>
                <w:color w:val="376DB5"/>
                <w:w w:val="99"/>
              </w:rPr>
              <w:t>Threshold</w:t>
            </w:r>
          </w:p>
        </w:tc>
        <w:tc>
          <w:tcPr>
            <w:tcW w:w="1060" w:type="dxa"/>
            <w:vAlign w:val="bottom"/>
          </w:tcPr>
          <w:p>
            <w:pPr>
              <w:jc w:val="center"/>
              <w:spacing w:after="0" w:line="177" w:lineRule="exact"/>
              <w:rPr>
                <w:sz w:val="20"/>
                <w:szCs w:val="20"/>
                <w:color w:val="auto"/>
              </w:rPr>
            </w:pPr>
            <w:r>
              <w:rPr>
                <w:rFonts w:ascii="Arial" w:cs="Arial" w:eastAsia="Arial" w:hAnsi="Arial"/>
                <w:sz w:val="18"/>
                <w:szCs w:val="18"/>
                <w:color w:val="376DB5"/>
                <w:w w:val="99"/>
              </w:rPr>
              <w:t>Mid-point</w:t>
            </w:r>
          </w:p>
        </w:tc>
        <w:tc>
          <w:tcPr>
            <w:tcW w:w="1040" w:type="dxa"/>
            <w:vAlign w:val="bottom"/>
          </w:tcPr>
          <w:p>
            <w:pPr>
              <w:jc w:val="center"/>
              <w:spacing w:after="0" w:line="177" w:lineRule="exact"/>
              <w:rPr>
                <w:sz w:val="20"/>
                <w:szCs w:val="20"/>
                <w:color w:val="auto"/>
              </w:rPr>
            </w:pPr>
            <w:r>
              <w:rPr>
                <w:rFonts w:ascii="Arial" w:cs="Arial" w:eastAsia="Arial" w:hAnsi="Arial"/>
                <w:sz w:val="18"/>
                <w:szCs w:val="18"/>
                <w:color w:val="376DB5"/>
                <w:w w:val="96"/>
              </w:rPr>
              <w:t>Target</w:t>
            </w:r>
          </w:p>
        </w:tc>
        <w:tc>
          <w:tcPr>
            <w:tcW w:w="1020" w:type="dxa"/>
            <w:vAlign w:val="bottom"/>
          </w:tcPr>
          <w:p>
            <w:pPr>
              <w:jc w:val="center"/>
              <w:spacing w:after="0" w:line="177" w:lineRule="exact"/>
              <w:rPr>
                <w:sz w:val="20"/>
                <w:szCs w:val="20"/>
                <w:color w:val="auto"/>
              </w:rPr>
            </w:pPr>
            <w:r>
              <w:rPr>
                <w:rFonts w:ascii="Arial" w:cs="Arial" w:eastAsia="Arial" w:hAnsi="Arial"/>
                <w:sz w:val="18"/>
                <w:szCs w:val="18"/>
                <w:color w:val="376DB5"/>
                <w:w w:val="99"/>
              </w:rPr>
              <w:t>Upside</w:t>
            </w:r>
          </w:p>
        </w:tc>
        <w:tc>
          <w:tcPr>
            <w:tcW w:w="1100" w:type="dxa"/>
            <w:vAlign w:val="bottom"/>
          </w:tcPr>
          <w:p>
            <w:pPr>
              <w:jc w:val="center"/>
              <w:spacing w:after="0" w:line="177" w:lineRule="exact"/>
              <w:rPr>
                <w:sz w:val="20"/>
                <w:szCs w:val="20"/>
                <w:color w:val="auto"/>
              </w:rPr>
            </w:pPr>
            <w:r>
              <w:rPr>
                <w:rFonts w:ascii="Arial" w:cs="Arial" w:eastAsia="Arial" w:hAnsi="Arial"/>
                <w:sz w:val="18"/>
                <w:szCs w:val="18"/>
                <w:color w:val="376DB5"/>
                <w:w w:val="99"/>
              </w:rPr>
              <w:t>Maximum</w:t>
            </w:r>
          </w:p>
        </w:tc>
        <w:tc>
          <w:tcPr>
            <w:tcW w:w="1240" w:type="dxa"/>
            <w:vAlign w:val="bottom"/>
          </w:tcPr>
          <w:p>
            <w:pPr>
              <w:spacing w:after="0"/>
              <w:rPr>
                <w:sz w:val="15"/>
                <w:szCs w:val="15"/>
                <w:color w:val="auto"/>
              </w:rPr>
            </w:pPr>
          </w:p>
        </w:tc>
      </w:tr>
      <w:tr>
        <w:trPr>
          <w:trHeight w:val="203"/>
        </w:trPr>
        <w:tc>
          <w:tcPr>
            <w:tcW w:w="4260" w:type="dxa"/>
            <w:vAlign w:val="bottom"/>
          </w:tcPr>
          <w:p>
            <w:pPr>
              <w:ind w:left="80"/>
              <w:spacing w:after="0" w:line="202" w:lineRule="exact"/>
              <w:rPr>
                <w:sz w:val="20"/>
                <w:szCs w:val="20"/>
                <w:color w:val="auto"/>
              </w:rPr>
            </w:pPr>
            <w:r>
              <w:rPr>
                <w:rFonts w:ascii="Arial" w:cs="Arial" w:eastAsia="Arial" w:hAnsi="Arial"/>
                <w:sz w:val="18"/>
                <w:szCs w:val="18"/>
                <w:color w:val="376DB5"/>
              </w:rPr>
              <w:t>Financial Metric</w:t>
            </w:r>
          </w:p>
        </w:tc>
        <w:tc>
          <w:tcPr>
            <w:tcW w:w="1300" w:type="dxa"/>
            <w:vAlign w:val="bottom"/>
          </w:tcPr>
          <w:p>
            <w:pPr>
              <w:jc w:val="center"/>
              <w:ind w:left="70"/>
              <w:spacing w:after="0" w:line="202" w:lineRule="exact"/>
              <w:rPr>
                <w:sz w:val="20"/>
                <w:szCs w:val="20"/>
                <w:color w:val="auto"/>
              </w:rPr>
            </w:pPr>
            <w:r>
              <w:rPr>
                <w:rFonts w:ascii="Arial" w:cs="Arial" w:eastAsia="Arial" w:hAnsi="Arial"/>
                <w:sz w:val="18"/>
                <w:szCs w:val="18"/>
                <w:color w:val="376DB5"/>
              </w:rPr>
              <w:t>Funding</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376DB5"/>
              </w:rPr>
              <w:t>Funding</w:t>
            </w: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376DB5"/>
                <w:w w:val="98"/>
              </w:rPr>
              <w:t>Funding</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376DB5"/>
                <w:w w:val="98"/>
              </w:rPr>
              <w:t>Funding</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376DB5"/>
              </w:rPr>
              <w:t>Funding</w:t>
            </w:r>
          </w:p>
        </w:tc>
        <w:tc>
          <w:tcPr>
            <w:tcW w:w="1240" w:type="dxa"/>
            <w:vAlign w:val="bottom"/>
          </w:tcPr>
          <w:p>
            <w:pPr>
              <w:jc w:val="center"/>
              <w:ind w:left="50"/>
              <w:spacing w:after="0" w:line="202" w:lineRule="exact"/>
              <w:rPr>
                <w:sz w:val="20"/>
                <w:szCs w:val="20"/>
                <w:color w:val="auto"/>
              </w:rPr>
            </w:pPr>
            <w:r>
              <w:rPr>
                <w:rFonts w:ascii="Arial" w:cs="Arial" w:eastAsia="Arial" w:hAnsi="Arial"/>
                <w:sz w:val="18"/>
                <w:szCs w:val="18"/>
                <w:color w:val="376DB5"/>
                <w:w w:val="99"/>
              </w:rPr>
              <w:t>Actual</w:t>
            </w:r>
          </w:p>
        </w:tc>
      </w:tr>
      <w:tr>
        <w:trPr>
          <w:trHeight w:val="235"/>
        </w:trPr>
        <w:tc>
          <w:tcPr>
            <w:tcW w:w="4260" w:type="dxa"/>
            <w:vAlign w:val="bottom"/>
            <w:tcBorders>
              <w:bottom w:val="single" w:sz="8" w:color="376DB5"/>
            </w:tcBorders>
          </w:tcPr>
          <w:p>
            <w:pPr>
              <w:ind w:left="80"/>
              <w:spacing w:after="0"/>
              <w:rPr>
                <w:sz w:val="20"/>
                <w:szCs w:val="20"/>
                <w:color w:val="auto"/>
              </w:rPr>
            </w:pPr>
            <w:r>
              <w:rPr>
                <w:rFonts w:ascii="Arial" w:cs="Arial" w:eastAsia="Arial" w:hAnsi="Arial"/>
                <w:sz w:val="18"/>
                <w:szCs w:val="18"/>
                <w:color w:val="376DB5"/>
              </w:rPr>
              <w:t>(Weighting)</w:t>
            </w:r>
          </w:p>
        </w:tc>
        <w:tc>
          <w:tcPr>
            <w:tcW w:w="1300" w:type="dxa"/>
            <w:vAlign w:val="bottom"/>
            <w:tcBorders>
              <w:bottom w:val="single" w:sz="8" w:color="376DB5"/>
            </w:tcBorders>
          </w:tcPr>
          <w:p>
            <w:pPr>
              <w:jc w:val="center"/>
              <w:ind w:left="70"/>
              <w:spacing w:after="0"/>
              <w:rPr>
                <w:sz w:val="20"/>
                <w:szCs w:val="20"/>
                <w:color w:val="auto"/>
              </w:rPr>
            </w:pPr>
            <w:r>
              <w:rPr>
                <w:rFonts w:ascii="Arial" w:cs="Arial" w:eastAsia="Arial" w:hAnsi="Arial"/>
                <w:sz w:val="18"/>
                <w:szCs w:val="18"/>
                <w:color w:val="376DB5"/>
                <w:w w:val="97"/>
              </w:rPr>
              <w:t>Level</w:t>
            </w:r>
          </w:p>
        </w:tc>
        <w:tc>
          <w:tcPr>
            <w:tcW w:w="1060" w:type="dxa"/>
            <w:vAlign w:val="bottom"/>
            <w:tcBorders>
              <w:bottom w:val="single" w:sz="8" w:color="376DB5"/>
            </w:tcBorders>
          </w:tcPr>
          <w:p>
            <w:pPr>
              <w:jc w:val="center"/>
              <w:spacing w:after="0"/>
              <w:rPr>
                <w:sz w:val="20"/>
                <w:szCs w:val="20"/>
                <w:color w:val="auto"/>
              </w:rPr>
            </w:pPr>
            <w:r>
              <w:rPr>
                <w:rFonts w:ascii="Arial" w:cs="Arial" w:eastAsia="Arial" w:hAnsi="Arial"/>
                <w:sz w:val="18"/>
                <w:szCs w:val="18"/>
                <w:color w:val="376DB5"/>
                <w:w w:val="97"/>
              </w:rPr>
              <w:t>Level</w:t>
            </w:r>
          </w:p>
        </w:tc>
        <w:tc>
          <w:tcPr>
            <w:tcW w:w="1040" w:type="dxa"/>
            <w:vAlign w:val="bottom"/>
            <w:tcBorders>
              <w:bottom w:val="single" w:sz="8" w:color="376DB5"/>
            </w:tcBorders>
          </w:tcPr>
          <w:p>
            <w:pPr>
              <w:jc w:val="center"/>
              <w:spacing w:after="0"/>
              <w:rPr>
                <w:sz w:val="20"/>
                <w:szCs w:val="20"/>
                <w:color w:val="auto"/>
              </w:rPr>
            </w:pPr>
            <w:r>
              <w:rPr>
                <w:rFonts w:ascii="Arial" w:cs="Arial" w:eastAsia="Arial" w:hAnsi="Arial"/>
                <w:sz w:val="18"/>
                <w:szCs w:val="18"/>
                <w:color w:val="376DB5"/>
              </w:rPr>
              <w:t>Level</w:t>
            </w:r>
          </w:p>
        </w:tc>
        <w:tc>
          <w:tcPr>
            <w:tcW w:w="1020" w:type="dxa"/>
            <w:vAlign w:val="bottom"/>
            <w:tcBorders>
              <w:bottom w:val="single" w:sz="8" w:color="376DB5"/>
            </w:tcBorders>
          </w:tcPr>
          <w:p>
            <w:pPr>
              <w:jc w:val="center"/>
              <w:spacing w:after="0"/>
              <w:rPr>
                <w:sz w:val="20"/>
                <w:szCs w:val="20"/>
                <w:color w:val="auto"/>
              </w:rPr>
            </w:pPr>
            <w:r>
              <w:rPr>
                <w:rFonts w:ascii="Arial" w:cs="Arial" w:eastAsia="Arial" w:hAnsi="Arial"/>
                <w:sz w:val="18"/>
                <w:szCs w:val="18"/>
                <w:color w:val="376DB5"/>
              </w:rPr>
              <w:t>Level</w:t>
            </w:r>
          </w:p>
        </w:tc>
        <w:tc>
          <w:tcPr>
            <w:tcW w:w="1100" w:type="dxa"/>
            <w:vAlign w:val="bottom"/>
            <w:tcBorders>
              <w:bottom w:val="single" w:sz="8" w:color="376DB5"/>
            </w:tcBorders>
          </w:tcPr>
          <w:p>
            <w:pPr>
              <w:jc w:val="center"/>
              <w:spacing w:after="0"/>
              <w:rPr>
                <w:sz w:val="20"/>
                <w:szCs w:val="20"/>
                <w:color w:val="auto"/>
              </w:rPr>
            </w:pPr>
            <w:r>
              <w:rPr>
                <w:rFonts w:ascii="Arial" w:cs="Arial" w:eastAsia="Arial" w:hAnsi="Arial"/>
                <w:sz w:val="18"/>
                <w:szCs w:val="18"/>
                <w:color w:val="376DB5"/>
                <w:w w:val="97"/>
              </w:rPr>
              <w:t>Level</w:t>
            </w:r>
          </w:p>
        </w:tc>
        <w:tc>
          <w:tcPr>
            <w:tcW w:w="1240" w:type="dxa"/>
            <w:vAlign w:val="bottom"/>
            <w:tcBorders>
              <w:bottom w:val="single" w:sz="8" w:color="376DB5"/>
            </w:tcBorders>
          </w:tcPr>
          <w:p>
            <w:pPr>
              <w:jc w:val="center"/>
              <w:ind w:left="70"/>
              <w:spacing w:after="0"/>
              <w:rPr>
                <w:sz w:val="20"/>
                <w:szCs w:val="20"/>
                <w:color w:val="auto"/>
              </w:rPr>
            </w:pPr>
            <w:r>
              <w:rPr>
                <w:rFonts w:ascii="Arial" w:cs="Arial" w:eastAsia="Arial" w:hAnsi="Arial"/>
                <w:sz w:val="18"/>
                <w:szCs w:val="18"/>
                <w:color w:val="376DB5"/>
              </w:rPr>
              <w:t>Performance</w:t>
            </w:r>
          </w:p>
        </w:tc>
      </w:tr>
      <w:tr>
        <w:trPr>
          <w:trHeight w:val="308"/>
        </w:trPr>
        <w:tc>
          <w:tcPr>
            <w:tcW w:w="4260" w:type="dxa"/>
            <w:vAlign w:val="bottom"/>
          </w:tcPr>
          <w:p>
            <w:pPr>
              <w:ind w:left="80"/>
              <w:spacing w:after="0"/>
              <w:rPr>
                <w:sz w:val="20"/>
                <w:szCs w:val="20"/>
                <w:color w:val="auto"/>
              </w:rPr>
            </w:pPr>
            <w:r>
              <w:rPr>
                <w:rFonts w:ascii="Arial" w:cs="Arial" w:eastAsia="Arial" w:hAnsi="Arial"/>
                <w:sz w:val="18"/>
                <w:szCs w:val="18"/>
                <w:color w:val="auto"/>
              </w:rPr>
              <w:t>Adjusted Revenue (50%)</w:t>
            </w:r>
          </w:p>
        </w:tc>
        <w:tc>
          <w:tcPr>
            <w:tcW w:w="1300" w:type="dxa"/>
            <w:vAlign w:val="bottom"/>
          </w:tcPr>
          <w:p>
            <w:pPr>
              <w:jc w:val="center"/>
              <w:ind w:left="70"/>
              <w:spacing w:after="0"/>
              <w:rPr>
                <w:sz w:val="20"/>
                <w:szCs w:val="20"/>
                <w:color w:val="auto"/>
              </w:rPr>
            </w:pPr>
            <w:r>
              <w:rPr>
                <w:rFonts w:ascii="Arial" w:cs="Arial" w:eastAsia="Arial" w:hAnsi="Arial"/>
                <w:sz w:val="18"/>
                <w:szCs w:val="18"/>
                <w:color w:val="auto"/>
                <w:w w:val="99"/>
              </w:rPr>
              <w:t>$1,782.4</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$1,915.0</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$1,980.0</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$2,000.0</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$2,023.0</w:t>
            </w:r>
          </w:p>
        </w:tc>
        <w:tc>
          <w:tcPr>
            <w:tcW w:w="1240" w:type="dxa"/>
            <w:vAlign w:val="bottom"/>
          </w:tcPr>
          <w:p>
            <w:pPr>
              <w:jc w:val="center"/>
              <w:ind w:left="50"/>
              <w:spacing w:after="0"/>
              <w:rPr>
                <w:sz w:val="20"/>
                <w:szCs w:val="20"/>
                <w:color w:val="auto"/>
              </w:rPr>
            </w:pPr>
            <w:r>
              <w:rPr>
                <w:rFonts w:ascii="Arial" w:cs="Arial" w:eastAsia="Arial" w:hAnsi="Arial"/>
                <w:sz w:val="18"/>
                <w:szCs w:val="18"/>
                <w:color w:val="auto"/>
                <w:w w:val="99"/>
              </w:rPr>
              <w:t>$1,990.9</w:t>
            </w:r>
          </w:p>
        </w:tc>
      </w:tr>
      <w:tr>
        <w:trPr>
          <w:trHeight w:val="90"/>
        </w:trPr>
        <w:tc>
          <w:tcPr>
            <w:tcW w:w="4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328"/>
        </w:trPr>
        <w:tc>
          <w:tcPr>
            <w:tcW w:w="4260" w:type="dxa"/>
            <w:vAlign w:val="bottom"/>
            <w:shd w:val="clear" w:color="auto" w:fill="F2F2F2"/>
          </w:tcPr>
          <w:p>
            <w:pPr>
              <w:ind w:left="80"/>
              <w:spacing w:after="0"/>
              <w:rPr>
                <w:sz w:val="20"/>
                <w:szCs w:val="20"/>
                <w:color w:val="auto"/>
              </w:rPr>
            </w:pPr>
            <w:r>
              <w:rPr>
                <w:rFonts w:ascii="Arial" w:cs="Arial" w:eastAsia="Arial" w:hAnsi="Arial"/>
                <w:sz w:val="18"/>
                <w:szCs w:val="18"/>
                <w:color w:val="auto"/>
              </w:rPr>
              <w:t>Adjusted EBITDA (50%)</w:t>
            </w:r>
          </w:p>
        </w:tc>
        <w:tc>
          <w:tcPr>
            <w:tcW w:w="1300" w:type="dxa"/>
            <w:vAlign w:val="bottom"/>
            <w:shd w:val="clear" w:color="auto" w:fill="F2F2F2"/>
          </w:tcPr>
          <w:p>
            <w:pPr>
              <w:jc w:val="center"/>
              <w:ind w:left="70"/>
              <w:spacing w:after="0"/>
              <w:rPr>
                <w:sz w:val="20"/>
                <w:szCs w:val="20"/>
                <w:color w:val="auto"/>
              </w:rPr>
            </w:pPr>
            <w:r>
              <w:rPr>
                <w:rFonts w:ascii="Arial" w:cs="Arial" w:eastAsia="Arial" w:hAnsi="Arial"/>
                <w:sz w:val="18"/>
                <w:szCs w:val="18"/>
                <w:color w:val="auto"/>
                <w:w w:val="98"/>
              </w:rPr>
              <w:t>$931.9</w:t>
            </w:r>
          </w:p>
        </w:tc>
        <w:tc>
          <w:tcPr>
            <w:tcW w:w="10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$1,051.0</w:t>
            </w:r>
          </w:p>
        </w:tc>
        <w:tc>
          <w:tcPr>
            <w:tcW w:w="10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$1,089.0</w:t>
            </w:r>
          </w:p>
        </w:tc>
        <w:tc>
          <w:tcPr>
            <w:tcW w:w="10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$1,102.3</w:t>
            </w:r>
          </w:p>
        </w:tc>
        <w:tc>
          <w:tcPr>
            <w:tcW w:w="11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$1,118.5</w:t>
            </w:r>
          </w:p>
        </w:tc>
        <w:tc>
          <w:tcPr>
            <w:tcW w:w="1240" w:type="dxa"/>
            <w:vAlign w:val="bottom"/>
            <w:shd w:val="clear" w:color="auto" w:fill="F2F2F2"/>
          </w:tcPr>
          <w:p>
            <w:pPr>
              <w:jc w:val="center"/>
              <w:ind w:left="50"/>
              <w:spacing w:after="0"/>
              <w:rPr>
                <w:sz w:val="20"/>
                <w:szCs w:val="20"/>
                <w:color w:val="auto"/>
              </w:rPr>
            </w:pPr>
            <w:r>
              <w:rPr>
                <w:rFonts w:ascii="Arial" w:cs="Arial" w:eastAsia="Arial" w:hAnsi="Arial"/>
                <w:sz w:val="18"/>
                <w:szCs w:val="18"/>
                <w:color w:val="auto"/>
                <w:w w:val="99"/>
              </w:rPr>
              <w:t>$1,109.8</w:t>
            </w:r>
          </w:p>
        </w:tc>
      </w:tr>
      <w:tr>
        <w:trPr>
          <w:trHeight w:val="90"/>
        </w:trPr>
        <w:tc>
          <w:tcPr>
            <w:tcW w:w="4260" w:type="dxa"/>
            <w:vAlign w:val="bottom"/>
            <w:shd w:val="clear" w:color="auto" w:fill="F2F2F2"/>
          </w:tcPr>
          <w:p>
            <w:pPr>
              <w:spacing w:after="0"/>
              <w:rPr>
                <w:sz w:val="7"/>
                <w:szCs w:val="7"/>
                <w:color w:val="auto"/>
              </w:rPr>
            </w:pPr>
          </w:p>
        </w:tc>
        <w:tc>
          <w:tcPr>
            <w:tcW w:w="1300" w:type="dxa"/>
            <w:vAlign w:val="bottom"/>
            <w:shd w:val="clear" w:color="auto" w:fill="F2F2F2"/>
          </w:tcPr>
          <w:p>
            <w:pPr>
              <w:spacing w:after="0"/>
              <w:rPr>
                <w:sz w:val="7"/>
                <w:szCs w:val="7"/>
                <w:color w:val="auto"/>
              </w:rPr>
            </w:pPr>
          </w:p>
        </w:tc>
        <w:tc>
          <w:tcPr>
            <w:tcW w:w="1060" w:type="dxa"/>
            <w:vAlign w:val="bottom"/>
            <w:shd w:val="clear" w:color="auto" w:fill="F2F2F2"/>
          </w:tcPr>
          <w:p>
            <w:pPr>
              <w:spacing w:after="0"/>
              <w:rPr>
                <w:sz w:val="7"/>
                <w:szCs w:val="7"/>
                <w:color w:val="auto"/>
              </w:rPr>
            </w:pPr>
          </w:p>
        </w:tc>
        <w:tc>
          <w:tcPr>
            <w:tcW w:w="1040" w:type="dxa"/>
            <w:vAlign w:val="bottom"/>
            <w:shd w:val="clear" w:color="auto" w:fill="F2F2F2"/>
          </w:tcPr>
          <w:p>
            <w:pPr>
              <w:spacing w:after="0"/>
              <w:rPr>
                <w:sz w:val="7"/>
                <w:szCs w:val="7"/>
                <w:color w:val="auto"/>
              </w:rPr>
            </w:pPr>
          </w:p>
        </w:tc>
        <w:tc>
          <w:tcPr>
            <w:tcW w:w="1020" w:type="dxa"/>
            <w:vAlign w:val="bottom"/>
            <w:shd w:val="clear" w:color="auto" w:fill="F2F2F2"/>
          </w:tcPr>
          <w:p>
            <w:pPr>
              <w:spacing w:after="0"/>
              <w:rPr>
                <w:sz w:val="7"/>
                <w:szCs w:val="7"/>
                <w:color w:val="auto"/>
              </w:rPr>
            </w:pPr>
          </w:p>
        </w:tc>
        <w:tc>
          <w:tcPr>
            <w:tcW w:w="1100" w:type="dxa"/>
            <w:vAlign w:val="bottom"/>
            <w:shd w:val="clear" w:color="auto" w:fill="F2F2F2"/>
          </w:tcPr>
          <w:p>
            <w:pPr>
              <w:spacing w:after="0"/>
              <w:rPr>
                <w:sz w:val="7"/>
                <w:szCs w:val="7"/>
                <w:color w:val="auto"/>
              </w:rPr>
            </w:pPr>
          </w:p>
        </w:tc>
        <w:tc>
          <w:tcPr>
            <w:tcW w:w="1240" w:type="dxa"/>
            <w:vAlign w:val="bottom"/>
            <w:shd w:val="clear" w:color="auto" w:fill="F2F2F2"/>
          </w:tcPr>
          <w:p>
            <w:pPr>
              <w:spacing w:after="0"/>
              <w:rPr>
                <w:sz w:val="7"/>
                <w:szCs w:val="7"/>
                <w:color w:val="auto"/>
              </w:rPr>
            </w:pPr>
          </w:p>
        </w:tc>
      </w:tr>
      <w:tr>
        <w:trPr>
          <w:trHeight w:val="336"/>
        </w:trPr>
        <w:tc>
          <w:tcPr>
            <w:tcW w:w="4260" w:type="dxa"/>
            <w:vAlign w:val="bottom"/>
          </w:tcPr>
          <w:p>
            <w:pPr>
              <w:ind w:left="80"/>
              <w:spacing w:after="0"/>
              <w:rPr>
                <w:sz w:val="20"/>
                <w:szCs w:val="20"/>
                <w:color w:val="auto"/>
              </w:rPr>
            </w:pPr>
            <w:r>
              <w:rPr>
                <w:rFonts w:ascii="Arial" w:cs="Arial" w:eastAsia="Arial" w:hAnsi="Arial"/>
                <w:sz w:val="18"/>
                <w:szCs w:val="18"/>
                <w:b w:val="1"/>
                <w:bCs w:val="1"/>
                <w:color w:val="auto"/>
              </w:rPr>
              <w:t>Company Performance Factor</w:t>
            </w:r>
          </w:p>
        </w:tc>
        <w:tc>
          <w:tcPr>
            <w:tcW w:w="1300" w:type="dxa"/>
            <w:vAlign w:val="bottom"/>
          </w:tcPr>
          <w:p>
            <w:pPr>
              <w:jc w:val="center"/>
              <w:ind w:left="90"/>
              <w:spacing w:after="0"/>
              <w:rPr>
                <w:sz w:val="20"/>
                <w:szCs w:val="20"/>
                <w:color w:val="auto"/>
              </w:rPr>
            </w:pPr>
            <w:r>
              <w:rPr>
                <w:rFonts w:ascii="Arial" w:cs="Arial" w:eastAsia="Arial" w:hAnsi="Arial"/>
                <w:sz w:val="18"/>
                <w:szCs w:val="18"/>
                <w:color w:val="auto"/>
                <w:w w:val="99"/>
              </w:rPr>
              <w:t>25%</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1020" w:type="dxa"/>
            <w:vAlign w:val="bottom"/>
          </w:tcPr>
          <w:p>
            <w:pPr>
              <w:jc w:val="center"/>
              <w:spacing w:after="0"/>
              <w:rPr>
                <w:sz w:val="20"/>
                <w:szCs w:val="20"/>
                <w:color w:val="auto"/>
              </w:rPr>
            </w:pPr>
            <w:r>
              <w:rPr>
                <w:rFonts w:ascii="Arial" w:cs="Arial" w:eastAsia="Arial" w:hAnsi="Arial"/>
                <w:sz w:val="18"/>
                <w:szCs w:val="18"/>
                <w:color w:val="auto"/>
                <w:w w:val="98"/>
              </w:rPr>
              <w:t>112.5%</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125%</w:t>
            </w:r>
          </w:p>
        </w:tc>
        <w:tc>
          <w:tcPr>
            <w:tcW w:w="1240" w:type="dxa"/>
            <w:vAlign w:val="bottom"/>
          </w:tcPr>
          <w:p>
            <w:pPr>
              <w:jc w:val="center"/>
              <w:ind w:left="70"/>
              <w:spacing w:after="0"/>
              <w:rPr>
                <w:sz w:val="20"/>
                <w:szCs w:val="20"/>
                <w:color w:val="auto"/>
              </w:rPr>
            </w:pPr>
            <w:r>
              <w:rPr>
                <w:rFonts w:ascii="Arial" w:cs="Arial" w:eastAsia="Arial" w:hAnsi="Arial"/>
                <w:sz w:val="18"/>
                <w:szCs w:val="18"/>
                <w:color w:val="auto"/>
                <w:w w:val="98"/>
              </w:rPr>
              <w:t>113.8%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9951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Participant Performance Factor</w:t>
      </w:r>
    </w:p>
    <w:p>
      <w:pPr>
        <w:spacing w:after="0" w:line="104"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The Participant Performance Factor goals can include Company-wide measures as well as business unit metrics and goals that are highly specific to the functions over which the individual has primary responsibility. Our CEO’s performance goals were established by the LDCC at the beginning of the fiscal year after considering input from each non-employee director, and our CEO’s individual annual performance evaluation was completed by the LDCC.</w:t>
      </w:r>
    </w:p>
    <w:p>
      <w:pPr>
        <w:spacing w:after="0" w:line="66"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Individual performance goals for our executive officers other than our CEO were established by our CEO, and annual performance evaluations for these executive officers were completed by our CEO and discussed with the LDCC. If an executive officer receives the lowest performance rating on a three-point scale (“Improvement Needed”), his or her Participant Performance Factor and resulting cash incentive payment may be as low as zero. Conversely, if an executive officer receives the highest overall performance rating, his or her Participant Performance Factor may be as high as 150%. Distribution guidelines applicable to these performance ratings ensure that participants in the short-term cash incentive plan are not all rated on the high or low end of the scale, but are instead distributed above and below the target levels. The LDCC may exercise discretion to make adjustments within the performance scale.</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47</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The Participant Performance Factor values for our named executive officers for fiscal 2025, other than Mr. Wehmann, along with the key factors considered by the LDCC and our CEO, as applicable, in making these determinations, were as follows. Mr. Wehmann retired from the Company prior to the end of fiscal 2025, and therefore was not eligible for a payout under the EIP for fiscal 2025 performance.</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2320" w:type="dxa"/>
            <w:vAlign w:val="bottom"/>
            <w:tcBorders>
              <w:top w:val="single" w:sz="8" w:color="376DB5"/>
            </w:tcBorders>
          </w:tcPr>
          <w:p>
            <w:pPr>
              <w:spacing w:after="0"/>
              <w:rPr>
                <w:sz w:val="17"/>
                <w:szCs w:val="17"/>
                <w:color w:val="auto"/>
              </w:rPr>
            </w:pPr>
          </w:p>
        </w:tc>
        <w:tc>
          <w:tcPr>
            <w:tcW w:w="1800" w:type="dxa"/>
            <w:vAlign w:val="bottom"/>
            <w:tcBorders>
              <w:top w:val="single" w:sz="8" w:color="376DB5"/>
            </w:tcBorders>
            <w:gridSpan w:val="2"/>
          </w:tcPr>
          <w:p>
            <w:pPr>
              <w:jc w:val="center"/>
              <w:spacing w:after="0" w:line="197" w:lineRule="exact"/>
              <w:rPr>
                <w:sz w:val="20"/>
                <w:szCs w:val="20"/>
                <w:color w:val="auto"/>
              </w:rPr>
            </w:pPr>
            <w:r>
              <w:rPr>
                <w:rFonts w:ascii="Arial" w:cs="Arial" w:eastAsia="Arial" w:hAnsi="Arial"/>
                <w:sz w:val="18"/>
                <w:szCs w:val="18"/>
                <w:color w:val="376DB5"/>
                <w:w w:val="98"/>
              </w:rPr>
              <w:t>Participant</w:t>
            </w:r>
          </w:p>
        </w:tc>
        <w:tc>
          <w:tcPr>
            <w:tcW w:w="6900" w:type="dxa"/>
            <w:vAlign w:val="bottom"/>
            <w:tcBorders>
              <w:top w:val="single" w:sz="8" w:color="376DB5"/>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320" w:type="dxa"/>
            <w:vAlign w:val="bottom"/>
          </w:tcPr>
          <w:p>
            <w:pPr>
              <w:ind w:left="500"/>
              <w:spacing w:after="0" w:line="202" w:lineRule="exact"/>
              <w:rPr>
                <w:sz w:val="20"/>
                <w:szCs w:val="20"/>
                <w:color w:val="auto"/>
              </w:rPr>
            </w:pPr>
            <w:r>
              <w:rPr>
                <w:rFonts w:ascii="Arial" w:cs="Arial" w:eastAsia="Arial" w:hAnsi="Arial"/>
                <w:sz w:val="18"/>
                <w:szCs w:val="18"/>
                <w:color w:val="376DB5"/>
              </w:rPr>
              <w:t>Named Executive</w:t>
            </w:r>
          </w:p>
        </w:tc>
        <w:tc>
          <w:tcPr>
            <w:tcW w:w="1800" w:type="dxa"/>
            <w:vAlign w:val="bottom"/>
            <w:gridSpan w:val="2"/>
          </w:tcPr>
          <w:p>
            <w:pPr>
              <w:jc w:val="center"/>
              <w:spacing w:after="0" w:line="202" w:lineRule="exact"/>
              <w:rPr>
                <w:sz w:val="20"/>
                <w:szCs w:val="20"/>
                <w:color w:val="auto"/>
              </w:rPr>
            </w:pPr>
            <w:r>
              <w:rPr>
                <w:rFonts w:ascii="Arial" w:cs="Arial" w:eastAsia="Arial" w:hAnsi="Arial"/>
                <w:sz w:val="18"/>
                <w:szCs w:val="18"/>
                <w:color w:val="376DB5"/>
              </w:rPr>
              <w:t>Performance</w:t>
            </w:r>
          </w:p>
        </w:tc>
        <w:tc>
          <w:tcPr>
            <w:tcW w:w="6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5"/>
        </w:trPr>
        <w:tc>
          <w:tcPr>
            <w:tcW w:w="2320" w:type="dxa"/>
            <w:vAlign w:val="bottom"/>
            <w:tcBorders>
              <w:bottom w:val="single" w:sz="8" w:color="376DB5"/>
            </w:tcBorders>
          </w:tcPr>
          <w:p>
            <w:pPr>
              <w:ind w:left="940"/>
              <w:spacing w:after="0"/>
              <w:rPr>
                <w:sz w:val="20"/>
                <w:szCs w:val="20"/>
                <w:color w:val="auto"/>
              </w:rPr>
            </w:pPr>
            <w:r>
              <w:rPr>
                <w:rFonts w:ascii="Arial" w:cs="Arial" w:eastAsia="Arial" w:hAnsi="Arial"/>
                <w:sz w:val="18"/>
                <w:szCs w:val="18"/>
                <w:color w:val="376DB5"/>
              </w:rPr>
              <w:t>Officer</w:t>
            </w:r>
          </w:p>
        </w:tc>
        <w:tc>
          <w:tcPr>
            <w:tcW w:w="1260" w:type="dxa"/>
            <w:vAlign w:val="bottom"/>
            <w:tcBorders>
              <w:bottom w:val="single" w:sz="8" w:color="376DB5"/>
            </w:tcBorders>
          </w:tcPr>
          <w:p>
            <w:pPr>
              <w:jc w:val="center"/>
              <w:ind w:left="530"/>
              <w:spacing w:after="0"/>
              <w:rPr>
                <w:sz w:val="20"/>
                <w:szCs w:val="20"/>
                <w:color w:val="auto"/>
              </w:rPr>
            </w:pPr>
            <w:r>
              <w:rPr>
                <w:rFonts w:ascii="Arial" w:cs="Arial" w:eastAsia="Arial" w:hAnsi="Arial"/>
                <w:sz w:val="18"/>
                <w:szCs w:val="18"/>
                <w:color w:val="376DB5"/>
              </w:rPr>
              <w:t>Factor</w:t>
            </w:r>
          </w:p>
        </w:tc>
        <w:tc>
          <w:tcPr>
            <w:tcW w:w="540" w:type="dxa"/>
            <w:vAlign w:val="bottom"/>
            <w:tcBorders>
              <w:bottom w:val="single" w:sz="8" w:color="376DB5"/>
            </w:tcBorders>
          </w:tcPr>
          <w:p>
            <w:pPr>
              <w:spacing w:after="0"/>
              <w:rPr>
                <w:sz w:val="20"/>
                <w:szCs w:val="20"/>
                <w:color w:val="auto"/>
              </w:rPr>
            </w:pPr>
          </w:p>
        </w:tc>
        <w:tc>
          <w:tcPr>
            <w:tcW w:w="6900" w:type="dxa"/>
            <w:vAlign w:val="bottom"/>
            <w:tcBorders>
              <w:bottom w:val="single" w:sz="8" w:color="376DB5"/>
            </w:tcBorders>
          </w:tcPr>
          <w:p>
            <w:pPr>
              <w:ind w:left="2980"/>
              <w:spacing w:after="0"/>
              <w:rPr>
                <w:sz w:val="20"/>
                <w:szCs w:val="20"/>
                <w:color w:val="auto"/>
              </w:rPr>
            </w:pPr>
            <w:r>
              <w:rPr>
                <w:rFonts w:ascii="Arial" w:cs="Arial" w:eastAsia="Arial" w:hAnsi="Arial"/>
                <w:sz w:val="18"/>
                <w:szCs w:val="18"/>
                <w:color w:val="376DB5"/>
              </w:rPr>
              <w:t>Key Factors</w:t>
            </w:r>
          </w:p>
        </w:tc>
        <w:tc>
          <w:tcPr>
            <w:tcW w:w="20" w:type="dxa"/>
            <w:vAlign w:val="bottom"/>
          </w:tcPr>
          <w:p>
            <w:pPr>
              <w:spacing w:after="0"/>
              <w:rPr>
                <w:sz w:val="20"/>
                <w:szCs w:val="20"/>
                <w:color w:val="auto"/>
              </w:rPr>
            </w:pPr>
          </w:p>
        </w:tc>
      </w:tr>
      <w:tr>
        <w:trPr>
          <w:trHeight w:val="220"/>
        </w:trPr>
        <w:tc>
          <w:tcPr>
            <w:tcW w:w="2320" w:type="dxa"/>
            <w:vAlign w:val="bottom"/>
          </w:tcPr>
          <w:p>
            <w:pPr>
              <w:spacing w:after="0"/>
              <w:rPr>
                <w:sz w:val="20"/>
                <w:szCs w:val="20"/>
                <w:color w:val="auto"/>
              </w:rPr>
            </w:pPr>
            <w:r>
              <w:rPr>
                <w:rFonts w:ascii="Arial" w:cs="Arial" w:eastAsia="Arial" w:hAnsi="Arial"/>
                <w:sz w:val="18"/>
                <w:szCs w:val="18"/>
                <w:color w:val="auto"/>
              </w:rPr>
              <w:t>  William Lansing</w:t>
            </w:r>
          </w:p>
        </w:tc>
        <w:tc>
          <w:tcPr>
            <w:tcW w:w="1260" w:type="dxa"/>
            <w:vAlign w:val="bottom"/>
          </w:tcPr>
          <w:p>
            <w:pPr>
              <w:jc w:val="right"/>
              <w:spacing w:after="0"/>
              <w:rPr>
                <w:sz w:val="20"/>
                <w:szCs w:val="20"/>
                <w:color w:val="auto"/>
              </w:rPr>
            </w:pPr>
            <w:r>
              <w:rPr>
                <w:rFonts w:ascii="Arial" w:cs="Arial" w:eastAsia="Arial" w:hAnsi="Arial"/>
                <w:sz w:val="18"/>
                <w:szCs w:val="18"/>
                <w:color w:val="auto"/>
              </w:rPr>
              <w:t>129% </w:t>
            </w:r>
          </w:p>
        </w:tc>
        <w:tc>
          <w:tcPr>
            <w:tcW w:w="540" w:type="dxa"/>
            <w:vAlign w:val="bottom"/>
          </w:tcPr>
          <w:p>
            <w:pPr>
              <w:ind w:left="60"/>
              <w:spacing w:after="0"/>
              <w:rPr>
                <w:sz w:val="20"/>
                <w:szCs w:val="20"/>
                <w:color w:val="auto"/>
              </w:rPr>
            </w:pPr>
            <w:r>
              <w:rPr>
                <w:rFonts w:ascii="Arial" w:cs="Arial" w:eastAsia="Arial" w:hAnsi="Arial"/>
                <w:sz w:val="18"/>
                <w:szCs w:val="18"/>
                <w:color w:val="auto"/>
              </w:rPr>
              <w:t xml:space="preserve">   </w:t>
            </w: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successfully navigated complex regulatory and competitor challenges to our</w:t>
            </w:r>
          </w:p>
        </w:tc>
      </w:tr>
      <w:tr>
        <w:trPr>
          <w:trHeight w:val="203"/>
        </w:trPr>
        <w:tc>
          <w:tcPr>
            <w:tcW w:w="2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920" w:type="dxa"/>
            <w:vAlign w:val="bottom"/>
            <w:gridSpan w:val="2"/>
          </w:tcPr>
          <w:p>
            <w:pPr>
              <w:ind w:left="680"/>
              <w:spacing w:after="0" w:line="202" w:lineRule="exact"/>
              <w:rPr>
                <w:sz w:val="20"/>
                <w:szCs w:val="20"/>
                <w:color w:val="auto"/>
              </w:rPr>
            </w:pPr>
            <w:r>
              <w:rPr>
                <w:rFonts w:ascii="Arial" w:cs="Arial" w:eastAsia="Arial" w:hAnsi="Arial"/>
                <w:sz w:val="18"/>
                <w:szCs w:val="18"/>
                <w:i w:val="1"/>
                <w:iCs w:val="1"/>
                <w:color w:val="auto"/>
              </w:rPr>
              <w:t>mortgage score business by overseeing the building and launch of our new</w:t>
            </w:r>
          </w:p>
        </w:tc>
      </w:tr>
      <w:tr>
        <w:trPr>
          <w:trHeight w:val="237"/>
        </w:trPr>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920" w:type="dxa"/>
            <w:vAlign w:val="bottom"/>
            <w:gridSpan w:val="2"/>
          </w:tcPr>
          <w:p>
            <w:pPr>
              <w:ind w:left="680"/>
              <w:spacing w:after="0"/>
              <w:rPr>
                <w:sz w:val="20"/>
                <w:szCs w:val="20"/>
                <w:color w:val="auto"/>
              </w:rPr>
            </w:pPr>
            <w:r>
              <w:rPr>
                <w:rFonts w:ascii="Arial" w:cs="Arial" w:eastAsia="Arial" w:hAnsi="Arial"/>
                <w:sz w:val="18"/>
                <w:szCs w:val="18"/>
                <w:i w:val="1"/>
                <w:iCs w:val="1"/>
                <w:color w:val="auto"/>
              </w:rPr>
              <w:t>Mortgage Direct program</w:t>
            </w:r>
          </w:p>
        </w:tc>
      </w:tr>
      <w:tr>
        <w:trPr>
          <w:trHeight w:val="290"/>
        </w:trPr>
        <w:tc>
          <w:tcPr>
            <w:tcW w:w="2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expertly managed shareholder communications during a highly dynamic year,</w:t>
            </w:r>
          </w:p>
        </w:tc>
      </w:tr>
      <w:tr>
        <w:trPr>
          <w:trHeight w:val="203"/>
        </w:trPr>
        <w:tc>
          <w:tcPr>
            <w:tcW w:w="2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920" w:type="dxa"/>
            <w:vAlign w:val="bottom"/>
            <w:gridSpan w:val="2"/>
          </w:tcPr>
          <w:p>
            <w:pPr>
              <w:ind w:left="680"/>
              <w:spacing w:after="0" w:line="202" w:lineRule="exact"/>
              <w:rPr>
                <w:sz w:val="20"/>
                <w:szCs w:val="20"/>
                <w:color w:val="auto"/>
              </w:rPr>
            </w:pPr>
            <w:r>
              <w:rPr>
                <w:rFonts w:ascii="Arial" w:cs="Arial" w:eastAsia="Arial" w:hAnsi="Arial"/>
                <w:sz w:val="18"/>
                <w:szCs w:val="18"/>
                <w:i w:val="1"/>
                <w:iCs w:val="1"/>
                <w:color w:val="auto"/>
              </w:rPr>
              <w:t>ensuring a clear understanding of our business, innovation priorities, and</w:t>
            </w:r>
          </w:p>
        </w:tc>
      </w:tr>
      <w:tr>
        <w:trPr>
          <w:trHeight w:val="237"/>
        </w:trPr>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920" w:type="dxa"/>
            <w:vAlign w:val="bottom"/>
            <w:gridSpan w:val="2"/>
          </w:tcPr>
          <w:p>
            <w:pPr>
              <w:ind w:left="680"/>
              <w:spacing w:after="0"/>
              <w:rPr>
                <w:sz w:val="20"/>
                <w:szCs w:val="20"/>
                <w:color w:val="auto"/>
              </w:rPr>
            </w:pPr>
            <w:r>
              <w:rPr>
                <w:rFonts w:ascii="Arial" w:cs="Arial" w:eastAsia="Arial" w:hAnsi="Arial"/>
                <w:sz w:val="18"/>
                <w:szCs w:val="18"/>
                <w:i w:val="1"/>
                <w:iCs w:val="1"/>
                <w:color w:val="auto"/>
              </w:rPr>
              <w:t>growth strategies</w:t>
            </w:r>
          </w:p>
        </w:tc>
      </w:tr>
      <w:tr>
        <w:trPr>
          <w:trHeight w:val="290"/>
        </w:trPr>
        <w:tc>
          <w:tcPr>
            <w:tcW w:w="2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leveraged talent as a strategic differentiator through highly selective hiring,</w:t>
            </w:r>
          </w:p>
        </w:tc>
      </w:tr>
      <w:tr>
        <w:trPr>
          <w:trHeight w:val="203"/>
        </w:trPr>
        <w:tc>
          <w:tcPr>
            <w:tcW w:w="2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920" w:type="dxa"/>
            <w:vAlign w:val="bottom"/>
            <w:gridSpan w:val="2"/>
          </w:tcPr>
          <w:p>
            <w:pPr>
              <w:ind w:left="680"/>
              <w:spacing w:after="0" w:line="202" w:lineRule="exact"/>
              <w:rPr>
                <w:sz w:val="20"/>
                <w:szCs w:val="20"/>
                <w:color w:val="auto"/>
              </w:rPr>
            </w:pPr>
            <w:r>
              <w:rPr>
                <w:rFonts w:ascii="Arial" w:cs="Arial" w:eastAsia="Arial" w:hAnsi="Arial"/>
                <w:sz w:val="18"/>
                <w:szCs w:val="18"/>
                <w:i w:val="1"/>
                <w:iCs w:val="1"/>
                <w:color w:val="auto"/>
              </w:rPr>
              <w:t>strategic goal alignment, workforce engagement and retention initiatives, and</w:t>
            </w:r>
          </w:p>
        </w:tc>
      </w:tr>
      <w:tr>
        <w:trPr>
          <w:trHeight w:val="237"/>
        </w:trPr>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920" w:type="dxa"/>
            <w:vAlign w:val="bottom"/>
            <w:gridSpan w:val="2"/>
          </w:tcPr>
          <w:p>
            <w:pPr>
              <w:ind w:left="680"/>
              <w:spacing w:after="0"/>
              <w:rPr>
                <w:sz w:val="20"/>
                <w:szCs w:val="20"/>
                <w:color w:val="auto"/>
              </w:rPr>
            </w:pPr>
            <w:r>
              <w:rPr>
                <w:rFonts w:ascii="Arial" w:cs="Arial" w:eastAsia="Arial" w:hAnsi="Arial"/>
                <w:sz w:val="18"/>
                <w:szCs w:val="18"/>
                <w:i w:val="1"/>
                <w:iCs w:val="1"/>
                <w:color w:val="auto"/>
              </w:rPr>
              <w:t>continued investment in professional development programs</w:t>
            </w:r>
          </w:p>
        </w:tc>
      </w:tr>
      <w:tr>
        <w:trPr>
          <w:trHeight w:val="118"/>
        </w:trPr>
        <w:tc>
          <w:tcPr>
            <w:tcW w:w="2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920" w:type="dxa"/>
            <w:vAlign w:val="bottom"/>
            <w:gridSpan w:val="2"/>
          </w:tcPr>
          <w:p>
            <w:pPr>
              <w:spacing w:after="0"/>
              <w:rPr>
                <w:sz w:val="10"/>
                <w:szCs w:val="10"/>
                <w:color w:val="auto"/>
              </w:rPr>
            </w:pPr>
          </w:p>
        </w:tc>
      </w:tr>
      <w:tr>
        <w:trPr>
          <w:trHeight w:val="220"/>
        </w:trPr>
        <w:tc>
          <w:tcPr>
            <w:tcW w:w="2320" w:type="dxa"/>
            <w:vAlign w:val="bottom"/>
            <w:tcBorders>
              <w:top w:val="single" w:sz="8" w:color="376DB5"/>
            </w:tcBorders>
            <w:shd w:val="clear" w:color="auto" w:fill="F2F2F2"/>
          </w:tcPr>
          <w:p>
            <w:pPr>
              <w:spacing w:after="0"/>
              <w:rPr>
                <w:sz w:val="20"/>
                <w:szCs w:val="20"/>
                <w:color w:val="auto"/>
              </w:rPr>
            </w:pPr>
            <w:r>
              <w:rPr>
                <w:rFonts w:ascii="Arial" w:cs="Arial" w:eastAsia="Arial" w:hAnsi="Arial"/>
                <w:sz w:val="18"/>
                <w:szCs w:val="18"/>
                <w:color w:val="auto"/>
              </w:rPr>
              <w:t>  Steven Weber</w:t>
            </w:r>
          </w:p>
        </w:tc>
        <w:tc>
          <w:tcPr>
            <w:tcW w:w="1260" w:type="dxa"/>
            <w:vAlign w:val="bottom"/>
            <w:tcBorders>
              <w:top w:val="single" w:sz="8" w:color="376DB5"/>
            </w:tcBorders>
            <w:shd w:val="clear" w:color="auto" w:fill="F2F2F2"/>
          </w:tcPr>
          <w:p>
            <w:pPr>
              <w:jc w:val="right"/>
              <w:spacing w:after="0"/>
              <w:rPr>
                <w:sz w:val="20"/>
                <w:szCs w:val="20"/>
                <w:color w:val="auto"/>
              </w:rPr>
            </w:pPr>
            <w:r>
              <w:rPr>
                <w:rFonts w:ascii="Arial" w:cs="Arial" w:eastAsia="Arial" w:hAnsi="Arial"/>
                <w:sz w:val="18"/>
                <w:szCs w:val="18"/>
                <w:color w:val="auto"/>
              </w:rPr>
              <w:t>110% </w:t>
            </w:r>
          </w:p>
        </w:tc>
        <w:tc>
          <w:tcPr>
            <w:tcW w:w="540" w:type="dxa"/>
            <w:vAlign w:val="bottom"/>
            <w:tcBorders>
              <w:top w:val="single" w:sz="8" w:color="376DB5"/>
            </w:tcBorders>
            <w:shd w:val="clear" w:color="auto" w:fill="F2F2F2"/>
          </w:tcPr>
          <w:p>
            <w:pPr>
              <w:ind w:left="60"/>
              <w:spacing w:after="0"/>
              <w:rPr>
                <w:sz w:val="20"/>
                <w:szCs w:val="20"/>
                <w:color w:val="auto"/>
              </w:rPr>
            </w:pPr>
            <w:r>
              <w:rPr>
                <w:rFonts w:ascii="Arial" w:cs="Arial" w:eastAsia="Arial" w:hAnsi="Arial"/>
                <w:sz w:val="18"/>
                <w:szCs w:val="18"/>
                <w:color w:val="auto"/>
              </w:rPr>
              <w:t xml:space="preserve">   </w:t>
            </w:r>
          </w:p>
        </w:tc>
        <w:tc>
          <w:tcPr>
            <w:tcW w:w="6900" w:type="dxa"/>
            <w:vAlign w:val="bottom"/>
            <w:tcBorders>
              <w:top w:val="single" w:sz="8" w:color="376DB5"/>
            </w:tcBorders>
            <w:shd w:val="clear" w:color="auto" w:fill="F2F2F2"/>
          </w:tcPr>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strong oversight of fiscal year revenue forecasting and expense management</w:t>
            </w:r>
          </w:p>
        </w:tc>
        <w:tc>
          <w:tcPr>
            <w:tcW w:w="20" w:type="dxa"/>
            <w:vAlign w:val="bottom"/>
          </w:tcPr>
          <w:p>
            <w:pPr>
              <w:spacing w:after="0"/>
              <w:rPr>
                <w:sz w:val="19"/>
                <w:szCs w:val="19"/>
                <w:color w:val="auto"/>
              </w:rPr>
            </w:pPr>
          </w:p>
        </w:tc>
      </w:tr>
      <w:tr>
        <w:trPr>
          <w:trHeight w:val="237"/>
        </w:trPr>
        <w:tc>
          <w:tcPr>
            <w:tcW w:w="2320" w:type="dxa"/>
            <w:vAlign w:val="bottom"/>
            <w:shd w:val="clear" w:color="auto" w:fill="F2F2F2"/>
          </w:tcPr>
          <w:p>
            <w:pPr>
              <w:spacing w:after="0"/>
              <w:rPr>
                <w:sz w:val="20"/>
                <w:szCs w:val="20"/>
                <w:color w:val="auto"/>
              </w:rPr>
            </w:pPr>
          </w:p>
        </w:tc>
        <w:tc>
          <w:tcPr>
            <w:tcW w:w="1260" w:type="dxa"/>
            <w:vAlign w:val="bottom"/>
            <w:shd w:val="clear" w:color="auto" w:fill="F2F2F2"/>
          </w:tcPr>
          <w:p>
            <w:pPr>
              <w:spacing w:after="0"/>
              <w:rPr>
                <w:sz w:val="20"/>
                <w:szCs w:val="20"/>
                <w:color w:val="auto"/>
              </w:rPr>
            </w:pPr>
          </w:p>
        </w:tc>
        <w:tc>
          <w:tcPr>
            <w:tcW w:w="540" w:type="dxa"/>
            <w:vAlign w:val="bottom"/>
            <w:shd w:val="clear" w:color="auto" w:fill="F2F2F2"/>
          </w:tcPr>
          <w:p>
            <w:pPr>
              <w:spacing w:after="0"/>
              <w:rPr>
                <w:sz w:val="20"/>
                <w:szCs w:val="20"/>
                <w:color w:val="auto"/>
              </w:rPr>
            </w:pPr>
          </w:p>
        </w:tc>
        <w:tc>
          <w:tcPr>
            <w:tcW w:w="6900" w:type="dxa"/>
            <w:vAlign w:val="bottom"/>
            <w:shd w:val="clear" w:color="auto" w:fill="F2F2F2"/>
          </w:tcPr>
          <w:p>
            <w:pPr>
              <w:ind w:left="680"/>
              <w:spacing w:after="0"/>
              <w:rPr>
                <w:sz w:val="20"/>
                <w:szCs w:val="20"/>
                <w:color w:val="auto"/>
              </w:rPr>
            </w:pPr>
            <w:r>
              <w:rPr>
                <w:rFonts w:ascii="Arial" w:cs="Arial" w:eastAsia="Arial" w:hAnsi="Arial"/>
                <w:sz w:val="18"/>
                <w:szCs w:val="18"/>
                <w:i w:val="1"/>
                <w:iCs w:val="1"/>
                <w:color w:val="auto"/>
              </w:rPr>
              <w:t>efforts enabling strategic investments while ensuring accountability</w:t>
            </w:r>
          </w:p>
        </w:tc>
        <w:tc>
          <w:tcPr>
            <w:tcW w:w="20" w:type="dxa"/>
            <w:vAlign w:val="bottom"/>
          </w:tcPr>
          <w:p>
            <w:pPr>
              <w:spacing w:after="0"/>
              <w:rPr>
                <w:sz w:val="20"/>
                <w:szCs w:val="20"/>
                <w:color w:val="auto"/>
              </w:rPr>
            </w:pPr>
          </w:p>
        </w:tc>
      </w:tr>
      <w:tr>
        <w:trPr>
          <w:trHeight w:val="290"/>
        </w:trPr>
        <w:tc>
          <w:tcPr>
            <w:tcW w:w="2320" w:type="dxa"/>
            <w:vAlign w:val="bottom"/>
            <w:shd w:val="clear" w:color="auto" w:fill="F2F2F2"/>
          </w:tcPr>
          <w:p>
            <w:pPr>
              <w:spacing w:after="0"/>
              <w:rPr>
                <w:sz w:val="24"/>
                <w:szCs w:val="24"/>
                <w:color w:val="auto"/>
              </w:rPr>
            </w:pPr>
          </w:p>
        </w:tc>
        <w:tc>
          <w:tcPr>
            <w:tcW w:w="1260" w:type="dxa"/>
            <w:vAlign w:val="bottom"/>
            <w:shd w:val="clear" w:color="auto" w:fill="F2F2F2"/>
          </w:tcPr>
          <w:p>
            <w:pPr>
              <w:spacing w:after="0"/>
              <w:rPr>
                <w:sz w:val="24"/>
                <w:szCs w:val="24"/>
                <w:color w:val="auto"/>
              </w:rPr>
            </w:pPr>
          </w:p>
        </w:tc>
        <w:tc>
          <w:tcPr>
            <w:tcW w:w="540" w:type="dxa"/>
            <w:vAlign w:val="bottom"/>
            <w:shd w:val="clear" w:color="auto" w:fill="F2F2F2"/>
          </w:tcPr>
          <w:p>
            <w:pPr>
              <w:spacing w:after="0"/>
              <w:rPr>
                <w:sz w:val="24"/>
                <w:szCs w:val="24"/>
                <w:color w:val="auto"/>
              </w:rPr>
            </w:pPr>
          </w:p>
        </w:tc>
        <w:tc>
          <w:tcPr>
            <w:tcW w:w="6900" w:type="dxa"/>
            <w:vAlign w:val="bottom"/>
            <w:shd w:val="clear" w:color="auto" w:fill="F2F2F2"/>
          </w:tcPr>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effectively engaged in shareholder relations efforts ensuring appropriate</w:t>
            </w:r>
          </w:p>
        </w:tc>
        <w:tc>
          <w:tcPr>
            <w:tcW w:w="20" w:type="dxa"/>
            <w:vAlign w:val="bottom"/>
          </w:tcPr>
          <w:p>
            <w:pPr>
              <w:spacing w:after="0"/>
              <w:rPr>
                <w:sz w:val="24"/>
                <w:szCs w:val="24"/>
                <w:color w:val="auto"/>
              </w:rPr>
            </w:pPr>
          </w:p>
        </w:tc>
      </w:tr>
      <w:tr>
        <w:trPr>
          <w:trHeight w:val="237"/>
        </w:trPr>
        <w:tc>
          <w:tcPr>
            <w:tcW w:w="2320" w:type="dxa"/>
            <w:vAlign w:val="bottom"/>
            <w:shd w:val="clear" w:color="auto" w:fill="F2F2F2"/>
          </w:tcPr>
          <w:p>
            <w:pPr>
              <w:spacing w:after="0"/>
              <w:rPr>
                <w:sz w:val="20"/>
                <w:szCs w:val="20"/>
                <w:color w:val="auto"/>
              </w:rPr>
            </w:pPr>
          </w:p>
        </w:tc>
        <w:tc>
          <w:tcPr>
            <w:tcW w:w="1260" w:type="dxa"/>
            <w:vAlign w:val="bottom"/>
            <w:shd w:val="clear" w:color="auto" w:fill="F2F2F2"/>
          </w:tcPr>
          <w:p>
            <w:pPr>
              <w:spacing w:after="0"/>
              <w:rPr>
                <w:sz w:val="20"/>
                <w:szCs w:val="20"/>
                <w:color w:val="auto"/>
              </w:rPr>
            </w:pPr>
          </w:p>
        </w:tc>
        <w:tc>
          <w:tcPr>
            <w:tcW w:w="540" w:type="dxa"/>
            <w:vAlign w:val="bottom"/>
            <w:shd w:val="clear" w:color="auto" w:fill="F2F2F2"/>
          </w:tcPr>
          <w:p>
            <w:pPr>
              <w:spacing w:after="0"/>
              <w:rPr>
                <w:sz w:val="20"/>
                <w:szCs w:val="20"/>
                <w:color w:val="auto"/>
              </w:rPr>
            </w:pPr>
          </w:p>
        </w:tc>
        <w:tc>
          <w:tcPr>
            <w:tcW w:w="6900" w:type="dxa"/>
            <w:vAlign w:val="bottom"/>
            <w:shd w:val="clear" w:color="auto" w:fill="F2F2F2"/>
          </w:tcPr>
          <w:p>
            <w:pPr>
              <w:ind w:left="680"/>
              <w:spacing w:after="0"/>
              <w:rPr>
                <w:sz w:val="20"/>
                <w:szCs w:val="20"/>
                <w:color w:val="auto"/>
              </w:rPr>
            </w:pPr>
            <w:r>
              <w:rPr>
                <w:rFonts w:ascii="Arial" w:cs="Arial" w:eastAsia="Arial" w:hAnsi="Arial"/>
                <w:sz w:val="18"/>
                <w:szCs w:val="18"/>
                <w:i w:val="1"/>
                <w:iCs w:val="1"/>
                <w:color w:val="auto"/>
              </w:rPr>
              <w:t>transparency and attracting new investors to our value proposition</w:t>
            </w:r>
          </w:p>
        </w:tc>
        <w:tc>
          <w:tcPr>
            <w:tcW w:w="20" w:type="dxa"/>
            <w:vAlign w:val="bottom"/>
          </w:tcPr>
          <w:p>
            <w:pPr>
              <w:spacing w:after="0"/>
              <w:rPr>
                <w:sz w:val="20"/>
                <w:szCs w:val="20"/>
                <w:color w:val="auto"/>
              </w:rPr>
            </w:pPr>
          </w:p>
        </w:tc>
      </w:tr>
      <w:tr>
        <w:trPr>
          <w:trHeight w:val="290"/>
        </w:trPr>
        <w:tc>
          <w:tcPr>
            <w:tcW w:w="2320" w:type="dxa"/>
            <w:vAlign w:val="bottom"/>
            <w:shd w:val="clear" w:color="auto" w:fill="F2F2F2"/>
          </w:tcPr>
          <w:p>
            <w:pPr>
              <w:spacing w:after="0"/>
              <w:rPr>
                <w:sz w:val="24"/>
                <w:szCs w:val="24"/>
                <w:color w:val="auto"/>
              </w:rPr>
            </w:pPr>
          </w:p>
        </w:tc>
        <w:tc>
          <w:tcPr>
            <w:tcW w:w="1260" w:type="dxa"/>
            <w:vAlign w:val="bottom"/>
            <w:shd w:val="clear" w:color="auto" w:fill="F2F2F2"/>
          </w:tcPr>
          <w:p>
            <w:pPr>
              <w:spacing w:after="0"/>
              <w:rPr>
                <w:sz w:val="24"/>
                <w:szCs w:val="24"/>
                <w:color w:val="auto"/>
              </w:rPr>
            </w:pPr>
          </w:p>
        </w:tc>
        <w:tc>
          <w:tcPr>
            <w:tcW w:w="540" w:type="dxa"/>
            <w:vAlign w:val="bottom"/>
            <w:shd w:val="clear" w:color="auto" w:fill="F2F2F2"/>
          </w:tcPr>
          <w:p>
            <w:pPr>
              <w:spacing w:after="0"/>
              <w:rPr>
                <w:sz w:val="24"/>
                <w:szCs w:val="24"/>
                <w:color w:val="auto"/>
              </w:rPr>
            </w:pPr>
          </w:p>
        </w:tc>
        <w:tc>
          <w:tcPr>
            <w:tcW w:w="6900" w:type="dxa"/>
            <w:vAlign w:val="bottom"/>
            <w:shd w:val="clear" w:color="auto" w:fill="F2F2F2"/>
          </w:tcPr>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strong focus on regulatory and compliance priorities allowing maximum focus</w:t>
            </w:r>
          </w:p>
        </w:tc>
        <w:tc>
          <w:tcPr>
            <w:tcW w:w="20" w:type="dxa"/>
            <w:vAlign w:val="bottom"/>
          </w:tcPr>
          <w:p>
            <w:pPr>
              <w:spacing w:after="0"/>
              <w:rPr>
                <w:sz w:val="24"/>
                <w:szCs w:val="24"/>
                <w:color w:val="auto"/>
              </w:rPr>
            </w:pPr>
          </w:p>
        </w:tc>
      </w:tr>
      <w:tr>
        <w:trPr>
          <w:trHeight w:val="237"/>
        </w:trPr>
        <w:tc>
          <w:tcPr>
            <w:tcW w:w="2320" w:type="dxa"/>
            <w:vAlign w:val="bottom"/>
            <w:shd w:val="clear" w:color="auto" w:fill="F2F2F2"/>
          </w:tcPr>
          <w:p>
            <w:pPr>
              <w:spacing w:after="0"/>
              <w:rPr>
                <w:sz w:val="20"/>
                <w:szCs w:val="20"/>
                <w:color w:val="auto"/>
              </w:rPr>
            </w:pPr>
          </w:p>
        </w:tc>
        <w:tc>
          <w:tcPr>
            <w:tcW w:w="1260" w:type="dxa"/>
            <w:vAlign w:val="bottom"/>
            <w:shd w:val="clear" w:color="auto" w:fill="F2F2F2"/>
          </w:tcPr>
          <w:p>
            <w:pPr>
              <w:spacing w:after="0"/>
              <w:rPr>
                <w:sz w:val="20"/>
                <w:szCs w:val="20"/>
                <w:color w:val="auto"/>
              </w:rPr>
            </w:pPr>
          </w:p>
        </w:tc>
        <w:tc>
          <w:tcPr>
            <w:tcW w:w="540" w:type="dxa"/>
            <w:vAlign w:val="bottom"/>
            <w:shd w:val="clear" w:color="auto" w:fill="F2F2F2"/>
          </w:tcPr>
          <w:p>
            <w:pPr>
              <w:spacing w:after="0"/>
              <w:rPr>
                <w:sz w:val="20"/>
                <w:szCs w:val="20"/>
                <w:color w:val="auto"/>
              </w:rPr>
            </w:pPr>
          </w:p>
        </w:tc>
        <w:tc>
          <w:tcPr>
            <w:tcW w:w="6900" w:type="dxa"/>
            <w:vAlign w:val="bottom"/>
            <w:shd w:val="clear" w:color="auto" w:fill="F2F2F2"/>
          </w:tcPr>
          <w:p>
            <w:pPr>
              <w:ind w:left="680"/>
              <w:spacing w:after="0"/>
              <w:rPr>
                <w:sz w:val="20"/>
                <w:szCs w:val="20"/>
                <w:color w:val="auto"/>
              </w:rPr>
            </w:pPr>
            <w:r>
              <w:rPr>
                <w:rFonts w:ascii="Arial" w:cs="Arial" w:eastAsia="Arial" w:hAnsi="Arial"/>
                <w:sz w:val="18"/>
                <w:szCs w:val="18"/>
                <w:i w:val="1"/>
                <w:iCs w:val="1"/>
                <w:color w:val="auto"/>
              </w:rPr>
              <w:t>of organizational resources on valued-added business outcomes</w:t>
            </w:r>
          </w:p>
        </w:tc>
        <w:tc>
          <w:tcPr>
            <w:tcW w:w="20" w:type="dxa"/>
            <w:vAlign w:val="bottom"/>
          </w:tcPr>
          <w:p>
            <w:pPr>
              <w:spacing w:after="0"/>
              <w:rPr>
                <w:sz w:val="20"/>
                <w:szCs w:val="20"/>
                <w:color w:val="auto"/>
              </w:rPr>
            </w:pPr>
          </w:p>
        </w:tc>
      </w:tr>
      <w:tr>
        <w:trPr>
          <w:trHeight w:val="118"/>
        </w:trPr>
        <w:tc>
          <w:tcPr>
            <w:tcW w:w="2320" w:type="dxa"/>
            <w:vAlign w:val="bottom"/>
            <w:tcBorders>
              <w:bottom w:val="single" w:sz="8" w:color="376DB5"/>
            </w:tcBorders>
            <w:shd w:val="clear" w:color="auto" w:fill="F2F2F2"/>
          </w:tcPr>
          <w:p>
            <w:pPr>
              <w:spacing w:after="0"/>
              <w:rPr>
                <w:sz w:val="10"/>
                <w:szCs w:val="10"/>
                <w:color w:val="auto"/>
              </w:rPr>
            </w:pPr>
          </w:p>
        </w:tc>
        <w:tc>
          <w:tcPr>
            <w:tcW w:w="1260" w:type="dxa"/>
            <w:vAlign w:val="bottom"/>
            <w:tcBorders>
              <w:bottom w:val="single" w:sz="8" w:color="376DB5"/>
            </w:tcBorders>
            <w:shd w:val="clear" w:color="auto" w:fill="F2F2F2"/>
          </w:tcPr>
          <w:p>
            <w:pPr>
              <w:spacing w:after="0"/>
              <w:rPr>
                <w:sz w:val="10"/>
                <w:szCs w:val="10"/>
                <w:color w:val="auto"/>
              </w:rPr>
            </w:pPr>
          </w:p>
        </w:tc>
        <w:tc>
          <w:tcPr>
            <w:tcW w:w="540" w:type="dxa"/>
            <w:vAlign w:val="bottom"/>
            <w:tcBorders>
              <w:bottom w:val="single" w:sz="8" w:color="376DB5"/>
            </w:tcBorders>
            <w:shd w:val="clear" w:color="auto" w:fill="F2F2F2"/>
          </w:tcPr>
          <w:p>
            <w:pPr>
              <w:spacing w:after="0"/>
              <w:rPr>
                <w:sz w:val="10"/>
                <w:szCs w:val="10"/>
                <w:color w:val="auto"/>
              </w:rPr>
            </w:pPr>
          </w:p>
        </w:tc>
        <w:tc>
          <w:tcPr>
            <w:tcW w:w="6900" w:type="dxa"/>
            <w:vAlign w:val="bottom"/>
            <w:tcBorders>
              <w:bottom w:val="single" w:sz="8" w:color="376DB5"/>
            </w:tcBorders>
            <w:shd w:val="clear" w:color="auto" w:fill="F2F2F2"/>
          </w:tcPr>
          <w:p>
            <w:pPr>
              <w:spacing w:after="0"/>
              <w:rPr>
                <w:sz w:val="10"/>
                <w:szCs w:val="10"/>
                <w:color w:val="auto"/>
              </w:rPr>
            </w:pPr>
          </w:p>
        </w:tc>
        <w:tc>
          <w:tcPr>
            <w:tcW w:w="20" w:type="dxa"/>
            <w:vAlign w:val="bottom"/>
          </w:tcPr>
          <w:p>
            <w:pPr>
              <w:spacing w:after="0"/>
              <w:rPr>
                <w:sz w:val="10"/>
                <w:szCs w:val="10"/>
                <w:color w:val="auto"/>
              </w:rPr>
            </w:pPr>
          </w:p>
        </w:tc>
      </w:tr>
      <w:tr>
        <w:trPr>
          <w:trHeight w:val="220"/>
        </w:trPr>
        <w:tc>
          <w:tcPr>
            <w:tcW w:w="2320" w:type="dxa"/>
            <w:vAlign w:val="bottom"/>
          </w:tcPr>
          <w:p>
            <w:pPr>
              <w:spacing w:after="0"/>
              <w:rPr>
                <w:sz w:val="20"/>
                <w:szCs w:val="20"/>
                <w:color w:val="auto"/>
              </w:rPr>
            </w:pPr>
            <w:r>
              <w:rPr>
                <w:rFonts w:ascii="Arial" w:cs="Arial" w:eastAsia="Arial" w:hAnsi="Arial"/>
                <w:sz w:val="18"/>
                <w:szCs w:val="18"/>
                <w:color w:val="auto"/>
              </w:rPr>
              <w:t>  Nikhil Behl</w:t>
            </w:r>
          </w:p>
        </w:tc>
        <w:tc>
          <w:tcPr>
            <w:tcW w:w="1260" w:type="dxa"/>
            <w:vAlign w:val="bottom"/>
          </w:tcPr>
          <w:p>
            <w:pPr>
              <w:jc w:val="right"/>
              <w:spacing w:after="0"/>
              <w:rPr>
                <w:sz w:val="20"/>
                <w:szCs w:val="20"/>
                <w:color w:val="auto"/>
              </w:rPr>
            </w:pPr>
            <w:r>
              <w:rPr>
                <w:rFonts w:ascii="Arial" w:cs="Arial" w:eastAsia="Arial" w:hAnsi="Arial"/>
                <w:sz w:val="18"/>
                <w:szCs w:val="18"/>
                <w:color w:val="auto"/>
              </w:rPr>
              <w:t>123% </w:t>
            </w:r>
          </w:p>
        </w:tc>
        <w:tc>
          <w:tcPr>
            <w:tcW w:w="540" w:type="dxa"/>
            <w:vAlign w:val="bottom"/>
          </w:tcPr>
          <w:p>
            <w:pPr>
              <w:ind w:left="60"/>
              <w:spacing w:after="0"/>
              <w:rPr>
                <w:sz w:val="20"/>
                <w:szCs w:val="20"/>
                <w:color w:val="auto"/>
              </w:rPr>
            </w:pPr>
            <w:r>
              <w:rPr>
                <w:rFonts w:ascii="Arial" w:cs="Arial" w:eastAsia="Arial" w:hAnsi="Arial"/>
                <w:sz w:val="18"/>
                <w:szCs w:val="18"/>
                <w:color w:val="auto"/>
              </w:rPr>
              <w:t xml:space="preserve">   </w:t>
            </w: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achieved 17% YoY growth in FICO Platform revenue while up-leveling sales</w:t>
            </w:r>
          </w:p>
        </w:tc>
      </w:tr>
      <w:tr>
        <w:trPr>
          <w:trHeight w:val="203"/>
        </w:trPr>
        <w:tc>
          <w:tcPr>
            <w:tcW w:w="2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920" w:type="dxa"/>
            <w:vAlign w:val="bottom"/>
            <w:gridSpan w:val="2"/>
          </w:tcPr>
          <w:p>
            <w:pPr>
              <w:ind w:left="680"/>
              <w:spacing w:after="0" w:line="202" w:lineRule="exact"/>
              <w:rPr>
                <w:sz w:val="20"/>
                <w:szCs w:val="20"/>
                <w:color w:val="auto"/>
              </w:rPr>
            </w:pPr>
            <w:r>
              <w:rPr>
                <w:rFonts w:ascii="Arial" w:cs="Arial" w:eastAsia="Arial" w:hAnsi="Arial"/>
                <w:sz w:val="18"/>
                <w:szCs w:val="18"/>
                <w:i w:val="1"/>
                <w:iCs w:val="1"/>
                <w:color w:val="auto"/>
              </w:rPr>
              <w:t>leadership talent and adopting best practices sales methodologies to drive</w:t>
            </w:r>
          </w:p>
        </w:tc>
      </w:tr>
      <w:tr>
        <w:trPr>
          <w:trHeight w:val="237"/>
        </w:trPr>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920" w:type="dxa"/>
            <w:vAlign w:val="bottom"/>
            <w:gridSpan w:val="2"/>
          </w:tcPr>
          <w:p>
            <w:pPr>
              <w:ind w:left="680"/>
              <w:spacing w:after="0"/>
              <w:rPr>
                <w:sz w:val="20"/>
                <w:szCs w:val="20"/>
                <w:color w:val="auto"/>
              </w:rPr>
            </w:pPr>
            <w:r>
              <w:rPr>
                <w:rFonts w:ascii="Arial" w:cs="Arial" w:eastAsia="Arial" w:hAnsi="Arial"/>
                <w:sz w:val="18"/>
                <w:szCs w:val="18"/>
                <w:i w:val="1"/>
                <w:iCs w:val="1"/>
                <w:color w:val="auto"/>
              </w:rPr>
              <w:t>future growth</w:t>
            </w:r>
          </w:p>
        </w:tc>
      </w:tr>
      <w:tr>
        <w:trPr>
          <w:trHeight w:val="290"/>
        </w:trPr>
        <w:tc>
          <w:tcPr>
            <w:tcW w:w="2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drove continued innovation surrounding our FICO Platform including rollout of</w:t>
            </w:r>
          </w:p>
        </w:tc>
      </w:tr>
      <w:tr>
        <w:trPr>
          <w:trHeight w:val="203"/>
        </w:trPr>
        <w:tc>
          <w:tcPr>
            <w:tcW w:w="2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920" w:type="dxa"/>
            <w:vAlign w:val="bottom"/>
            <w:gridSpan w:val="2"/>
          </w:tcPr>
          <w:p>
            <w:pPr>
              <w:ind w:left="680"/>
              <w:spacing w:after="0" w:line="202" w:lineRule="exact"/>
              <w:rPr>
                <w:sz w:val="20"/>
                <w:szCs w:val="20"/>
                <w:color w:val="auto"/>
              </w:rPr>
            </w:pPr>
            <w:r>
              <w:rPr>
                <w:rFonts w:ascii="Arial" w:cs="Arial" w:eastAsia="Arial" w:hAnsi="Arial"/>
                <w:sz w:val="18"/>
                <w:szCs w:val="18"/>
                <w:i w:val="1"/>
                <w:iCs w:val="1"/>
                <w:color w:val="auto"/>
              </w:rPr>
              <w:t>our new focused foundation model for financial services (FICO FFM) which</w:t>
            </w:r>
          </w:p>
        </w:tc>
      </w:tr>
      <w:tr>
        <w:trPr>
          <w:trHeight w:val="203"/>
        </w:trPr>
        <w:tc>
          <w:tcPr>
            <w:tcW w:w="2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920" w:type="dxa"/>
            <w:vAlign w:val="bottom"/>
            <w:gridSpan w:val="2"/>
          </w:tcPr>
          <w:p>
            <w:pPr>
              <w:ind w:left="680"/>
              <w:spacing w:after="0" w:line="202" w:lineRule="exact"/>
              <w:rPr>
                <w:sz w:val="20"/>
                <w:szCs w:val="20"/>
                <w:color w:val="auto"/>
              </w:rPr>
            </w:pPr>
            <w:r>
              <w:rPr>
                <w:rFonts w:ascii="Arial" w:cs="Arial" w:eastAsia="Arial" w:hAnsi="Arial"/>
                <w:sz w:val="18"/>
                <w:szCs w:val="18"/>
                <w:i w:val="1"/>
                <w:iCs w:val="1"/>
                <w:color w:val="auto"/>
              </w:rPr>
              <w:t>enables clients to use small language models built for specific business</w:t>
            </w:r>
          </w:p>
        </w:tc>
      </w:tr>
      <w:tr>
        <w:trPr>
          <w:trHeight w:val="203"/>
        </w:trPr>
        <w:tc>
          <w:tcPr>
            <w:tcW w:w="2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920" w:type="dxa"/>
            <w:vAlign w:val="bottom"/>
            <w:gridSpan w:val="2"/>
          </w:tcPr>
          <w:p>
            <w:pPr>
              <w:ind w:left="680"/>
              <w:spacing w:after="0" w:line="202" w:lineRule="exact"/>
              <w:rPr>
                <w:sz w:val="20"/>
                <w:szCs w:val="20"/>
                <w:color w:val="auto"/>
              </w:rPr>
            </w:pPr>
            <w:r>
              <w:rPr>
                <w:rFonts w:ascii="Arial" w:cs="Arial" w:eastAsia="Arial" w:hAnsi="Arial"/>
                <w:sz w:val="18"/>
                <w:szCs w:val="18"/>
                <w:i w:val="1"/>
                <w:iCs w:val="1"/>
                <w:color w:val="auto"/>
              </w:rPr>
              <w:t>problems,  significantly  helping  to  mitigate  hallucinations  while  providing</w:t>
            </w:r>
          </w:p>
        </w:tc>
      </w:tr>
      <w:tr>
        <w:trPr>
          <w:trHeight w:val="237"/>
        </w:trPr>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920" w:type="dxa"/>
            <w:vAlign w:val="bottom"/>
            <w:gridSpan w:val="2"/>
          </w:tcPr>
          <w:p>
            <w:pPr>
              <w:ind w:left="680"/>
              <w:spacing w:after="0"/>
              <w:rPr>
                <w:sz w:val="20"/>
                <w:szCs w:val="20"/>
                <w:color w:val="auto"/>
              </w:rPr>
            </w:pPr>
            <w:r>
              <w:rPr>
                <w:rFonts w:ascii="Arial" w:cs="Arial" w:eastAsia="Arial" w:hAnsi="Arial"/>
                <w:sz w:val="18"/>
                <w:szCs w:val="18"/>
                <w:i w:val="1"/>
                <w:iCs w:val="1"/>
                <w:color w:val="auto"/>
              </w:rPr>
              <w:t>improved transparency, auditability and adaptability</w:t>
            </w:r>
          </w:p>
        </w:tc>
      </w:tr>
      <w:tr>
        <w:trPr>
          <w:trHeight w:val="290"/>
        </w:trPr>
        <w:tc>
          <w:tcPr>
            <w:tcW w:w="2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reengineered  software  operating  investments  to  fund  expanding  sales</w:t>
            </w:r>
          </w:p>
        </w:tc>
      </w:tr>
      <w:tr>
        <w:trPr>
          <w:trHeight w:val="237"/>
        </w:trPr>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920" w:type="dxa"/>
            <w:vAlign w:val="bottom"/>
            <w:gridSpan w:val="2"/>
          </w:tcPr>
          <w:p>
            <w:pPr>
              <w:ind w:left="680"/>
              <w:spacing w:after="0"/>
              <w:rPr>
                <w:sz w:val="20"/>
                <w:szCs w:val="20"/>
                <w:color w:val="auto"/>
              </w:rPr>
            </w:pPr>
            <w:r>
              <w:rPr>
                <w:rFonts w:ascii="Arial" w:cs="Arial" w:eastAsia="Arial" w:hAnsi="Arial"/>
                <w:sz w:val="18"/>
                <w:szCs w:val="18"/>
                <w:i w:val="1"/>
                <w:iCs w:val="1"/>
                <w:color w:val="auto"/>
              </w:rPr>
              <w:t>capacity to meet increasing market demand for our solutions</w:t>
            </w:r>
          </w:p>
        </w:tc>
      </w:tr>
      <w:tr>
        <w:trPr>
          <w:trHeight w:val="118"/>
        </w:trPr>
        <w:tc>
          <w:tcPr>
            <w:tcW w:w="2320" w:type="dxa"/>
            <w:vAlign w:val="bottom"/>
            <w:tcBorders>
              <w:bottom w:val="single" w:sz="8" w:color="376DB5"/>
            </w:tcBorders>
          </w:tcPr>
          <w:p>
            <w:pPr>
              <w:spacing w:after="0"/>
              <w:rPr>
                <w:sz w:val="10"/>
                <w:szCs w:val="10"/>
                <w:color w:val="auto"/>
              </w:rPr>
            </w:pPr>
          </w:p>
        </w:tc>
        <w:tc>
          <w:tcPr>
            <w:tcW w:w="1260" w:type="dxa"/>
            <w:vAlign w:val="bottom"/>
            <w:tcBorders>
              <w:bottom w:val="single" w:sz="8" w:color="376DB5"/>
            </w:tcBorders>
          </w:tcPr>
          <w:p>
            <w:pPr>
              <w:spacing w:after="0"/>
              <w:rPr>
                <w:sz w:val="10"/>
                <w:szCs w:val="10"/>
                <w:color w:val="auto"/>
              </w:rPr>
            </w:pPr>
          </w:p>
        </w:tc>
        <w:tc>
          <w:tcPr>
            <w:tcW w:w="540" w:type="dxa"/>
            <w:vAlign w:val="bottom"/>
            <w:tcBorders>
              <w:bottom w:val="single" w:sz="8" w:color="376DB5"/>
            </w:tcBorders>
          </w:tcPr>
          <w:p>
            <w:pPr>
              <w:spacing w:after="0"/>
              <w:rPr>
                <w:sz w:val="10"/>
                <w:szCs w:val="10"/>
                <w:color w:val="auto"/>
              </w:rPr>
            </w:pPr>
          </w:p>
        </w:tc>
        <w:tc>
          <w:tcPr>
            <w:tcW w:w="6900" w:type="dxa"/>
            <w:vAlign w:val="bottom"/>
            <w:tcBorders>
              <w:bottom w:val="single" w:sz="8" w:color="376DB5"/>
            </w:tcBorders>
          </w:tcPr>
          <w:p>
            <w:pPr>
              <w:spacing w:after="0"/>
              <w:rPr>
                <w:sz w:val="10"/>
                <w:szCs w:val="10"/>
                <w:color w:val="auto"/>
              </w:rPr>
            </w:pPr>
          </w:p>
        </w:tc>
        <w:tc>
          <w:tcPr>
            <w:tcW w:w="20" w:type="dxa"/>
            <w:vAlign w:val="bottom"/>
          </w:tcPr>
          <w:p>
            <w:pPr>
              <w:spacing w:after="0"/>
              <w:rPr>
                <w:sz w:val="10"/>
                <w:szCs w:val="10"/>
                <w:color w:val="auto"/>
              </w:rPr>
            </w:pPr>
          </w:p>
        </w:tc>
      </w:tr>
      <w:tr>
        <w:trPr>
          <w:trHeight w:val="196"/>
        </w:trPr>
        <w:tc>
          <w:tcPr>
            <w:tcW w:w="2320" w:type="dxa"/>
            <w:vAlign w:val="bottom"/>
            <w:shd w:val="clear" w:color="auto" w:fill="F2F2F2"/>
          </w:tcPr>
          <w:p>
            <w:pPr>
              <w:spacing w:after="0" w:line="196" w:lineRule="exact"/>
              <w:rPr>
                <w:sz w:val="20"/>
                <w:szCs w:val="20"/>
                <w:color w:val="auto"/>
              </w:rPr>
            </w:pPr>
            <w:r>
              <w:rPr>
                <w:rFonts w:ascii="Arial" w:cs="Arial" w:eastAsia="Arial" w:hAnsi="Arial"/>
                <w:sz w:val="18"/>
                <w:szCs w:val="18"/>
                <w:color w:val="auto"/>
              </w:rPr>
              <w:t>  Richard Deal</w:t>
            </w:r>
          </w:p>
        </w:tc>
        <w:tc>
          <w:tcPr>
            <w:tcW w:w="1260" w:type="dxa"/>
            <w:vAlign w:val="bottom"/>
            <w:shd w:val="clear" w:color="auto" w:fill="F2F2F2"/>
          </w:tcPr>
          <w:p>
            <w:pPr>
              <w:jc w:val="right"/>
              <w:spacing w:after="0" w:line="196" w:lineRule="exact"/>
              <w:rPr>
                <w:sz w:val="20"/>
                <w:szCs w:val="20"/>
                <w:color w:val="auto"/>
              </w:rPr>
            </w:pPr>
            <w:r>
              <w:rPr>
                <w:rFonts w:ascii="Arial" w:cs="Arial" w:eastAsia="Arial" w:hAnsi="Arial"/>
                <w:sz w:val="18"/>
                <w:szCs w:val="18"/>
                <w:color w:val="auto"/>
              </w:rPr>
              <w:t>110% </w:t>
            </w:r>
          </w:p>
        </w:tc>
        <w:tc>
          <w:tcPr>
            <w:tcW w:w="540" w:type="dxa"/>
            <w:vAlign w:val="bottom"/>
            <w:shd w:val="clear" w:color="auto" w:fill="F2F2F2"/>
          </w:tcPr>
          <w:p>
            <w:pPr>
              <w:ind w:left="60"/>
              <w:spacing w:after="0" w:line="196" w:lineRule="exact"/>
              <w:rPr>
                <w:sz w:val="20"/>
                <w:szCs w:val="20"/>
                <w:color w:val="auto"/>
              </w:rPr>
            </w:pPr>
            <w:r>
              <w:rPr>
                <w:rFonts w:ascii="Arial" w:cs="Arial" w:eastAsia="Arial" w:hAnsi="Arial"/>
                <w:sz w:val="18"/>
                <w:szCs w:val="18"/>
                <w:color w:val="auto"/>
              </w:rPr>
              <w:t xml:space="preserve">   </w:t>
            </w:r>
          </w:p>
        </w:tc>
        <w:tc>
          <w:tcPr>
            <w:tcW w:w="6900" w:type="dxa"/>
            <w:vAlign w:val="bottom"/>
            <w:shd w:val="clear" w:color="auto" w:fill="F2F2F2"/>
          </w:tcPr>
          <w:p>
            <w:pPr>
              <w:ind w:left="340"/>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effectively executed our “people first” strategy leading to continued strong</w:t>
            </w:r>
          </w:p>
        </w:tc>
        <w:tc>
          <w:tcPr>
            <w:tcW w:w="20" w:type="dxa"/>
            <w:vAlign w:val="bottom"/>
          </w:tcPr>
          <w:p>
            <w:pPr>
              <w:spacing w:after="0"/>
              <w:rPr>
                <w:sz w:val="17"/>
                <w:szCs w:val="17"/>
                <w:color w:val="auto"/>
              </w:rPr>
            </w:pPr>
          </w:p>
        </w:tc>
      </w:tr>
      <w:tr>
        <w:trPr>
          <w:trHeight w:val="186"/>
        </w:trPr>
        <w:tc>
          <w:tcPr>
            <w:tcW w:w="232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540" w:type="dxa"/>
            <w:vAlign w:val="bottom"/>
            <w:shd w:val="clear" w:color="auto" w:fill="F2F2F2"/>
          </w:tcPr>
          <w:p>
            <w:pPr>
              <w:spacing w:after="0"/>
              <w:rPr>
                <w:sz w:val="16"/>
                <w:szCs w:val="16"/>
                <w:color w:val="auto"/>
              </w:rPr>
            </w:pPr>
          </w:p>
        </w:tc>
        <w:tc>
          <w:tcPr>
            <w:tcW w:w="6900" w:type="dxa"/>
            <w:vAlign w:val="bottom"/>
            <w:shd w:val="clear" w:color="auto" w:fill="F2F2F2"/>
          </w:tcPr>
          <w:p>
            <w:pPr>
              <w:ind w:left="680"/>
              <w:spacing w:after="0" w:line="186" w:lineRule="exact"/>
              <w:rPr>
                <w:sz w:val="20"/>
                <w:szCs w:val="20"/>
                <w:color w:val="auto"/>
              </w:rPr>
            </w:pPr>
            <w:r>
              <w:rPr>
                <w:rFonts w:ascii="Arial" w:cs="Arial" w:eastAsia="Arial" w:hAnsi="Arial"/>
                <w:sz w:val="18"/>
                <w:szCs w:val="18"/>
                <w:i w:val="1"/>
                <w:iCs w:val="1"/>
                <w:color w:val="auto"/>
              </w:rPr>
              <w:t>workforce  engagement,  healthy  talent  pipelines,  and  historically  low</w:t>
            </w:r>
          </w:p>
        </w:tc>
        <w:tc>
          <w:tcPr>
            <w:tcW w:w="20" w:type="dxa"/>
            <w:vAlign w:val="bottom"/>
          </w:tcPr>
          <w:p>
            <w:pPr>
              <w:spacing w:after="0"/>
              <w:rPr>
                <w:sz w:val="16"/>
                <w:szCs w:val="16"/>
                <w:color w:val="auto"/>
              </w:rPr>
            </w:pPr>
          </w:p>
        </w:tc>
      </w:tr>
      <w:tr>
        <w:trPr>
          <w:trHeight w:val="237"/>
        </w:trPr>
        <w:tc>
          <w:tcPr>
            <w:tcW w:w="2320" w:type="dxa"/>
            <w:vAlign w:val="bottom"/>
            <w:shd w:val="clear" w:color="auto" w:fill="F2F2F2"/>
          </w:tcPr>
          <w:p>
            <w:pPr>
              <w:spacing w:after="0"/>
              <w:rPr>
                <w:sz w:val="20"/>
                <w:szCs w:val="20"/>
                <w:color w:val="auto"/>
              </w:rPr>
            </w:pPr>
          </w:p>
        </w:tc>
        <w:tc>
          <w:tcPr>
            <w:tcW w:w="1260" w:type="dxa"/>
            <w:vAlign w:val="bottom"/>
            <w:shd w:val="clear" w:color="auto" w:fill="F2F2F2"/>
          </w:tcPr>
          <w:p>
            <w:pPr>
              <w:spacing w:after="0"/>
              <w:rPr>
                <w:sz w:val="20"/>
                <w:szCs w:val="20"/>
                <w:color w:val="auto"/>
              </w:rPr>
            </w:pPr>
          </w:p>
        </w:tc>
        <w:tc>
          <w:tcPr>
            <w:tcW w:w="540" w:type="dxa"/>
            <w:vAlign w:val="bottom"/>
            <w:shd w:val="clear" w:color="auto" w:fill="F2F2F2"/>
          </w:tcPr>
          <w:p>
            <w:pPr>
              <w:spacing w:after="0"/>
              <w:rPr>
                <w:sz w:val="20"/>
                <w:szCs w:val="20"/>
                <w:color w:val="auto"/>
              </w:rPr>
            </w:pPr>
          </w:p>
        </w:tc>
        <w:tc>
          <w:tcPr>
            <w:tcW w:w="6900" w:type="dxa"/>
            <w:vAlign w:val="bottom"/>
            <w:shd w:val="clear" w:color="auto" w:fill="F2F2F2"/>
          </w:tcPr>
          <w:p>
            <w:pPr>
              <w:ind w:left="680"/>
              <w:spacing w:after="0"/>
              <w:rPr>
                <w:sz w:val="20"/>
                <w:szCs w:val="20"/>
                <w:color w:val="auto"/>
              </w:rPr>
            </w:pPr>
            <w:r>
              <w:rPr>
                <w:rFonts w:ascii="Arial" w:cs="Arial" w:eastAsia="Arial" w:hAnsi="Arial"/>
                <w:sz w:val="18"/>
                <w:szCs w:val="18"/>
                <w:i w:val="1"/>
                <w:iCs w:val="1"/>
                <w:color w:val="auto"/>
              </w:rPr>
              <w:t>unplanned attrition</w:t>
            </w:r>
          </w:p>
        </w:tc>
        <w:tc>
          <w:tcPr>
            <w:tcW w:w="20" w:type="dxa"/>
            <w:vAlign w:val="bottom"/>
          </w:tcPr>
          <w:p>
            <w:pPr>
              <w:spacing w:after="0"/>
              <w:rPr>
                <w:sz w:val="20"/>
                <w:szCs w:val="20"/>
                <w:color w:val="auto"/>
              </w:rPr>
            </w:pPr>
          </w:p>
        </w:tc>
      </w:tr>
      <w:tr>
        <w:trPr>
          <w:trHeight w:val="290"/>
        </w:trPr>
        <w:tc>
          <w:tcPr>
            <w:tcW w:w="2320" w:type="dxa"/>
            <w:vAlign w:val="bottom"/>
            <w:shd w:val="clear" w:color="auto" w:fill="F2F2F2"/>
          </w:tcPr>
          <w:p>
            <w:pPr>
              <w:spacing w:after="0"/>
              <w:rPr>
                <w:sz w:val="24"/>
                <w:szCs w:val="24"/>
                <w:color w:val="auto"/>
              </w:rPr>
            </w:pPr>
          </w:p>
        </w:tc>
        <w:tc>
          <w:tcPr>
            <w:tcW w:w="1260" w:type="dxa"/>
            <w:vAlign w:val="bottom"/>
            <w:shd w:val="clear" w:color="auto" w:fill="F2F2F2"/>
          </w:tcPr>
          <w:p>
            <w:pPr>
              <w:spacing w:after="0"/>
              <w:rPr>
                <w:sz w:val="24"/>
                <w:szCs w:val="24"/>
                <w:color w:val="auto"/>
              </w:rPr>
            </w:pPr>
          </w:p>
        </w:tc>
        <w:tc>
          <w:tcPr>
            <w:tcW w:w="540" w:type="dxa"/>
            <w:vAlign w:val="bottom"/>
            <w:shd w:val="clear" w:color="auto" w:fill="F2F2F2"/>
          </w:tcPr>
          <w:p>
            <w:pPr>
              <w:spacing w:after="0"/>
              <w:rPr>
                <w:sz w:val="24"/>
                <w:szCs w:val="24"/>
                <w:color w:val="auto"/>
              </w:rPr>
            </w:pPr>
          </w:p>
        </w:tc>
        <w:tc>
          <w:tcPr>
            <w:tcW w:w="6900" w:type="dxa"/>
            <w:vAlign w:val="bottom"/>
            <w:shd w:val="clear" w:color="auto" w:fill="F2F2F2"/>
          </w:tcPr>
          <w:p>
            <w:pPr>
              <w:ind w:left="340"/>
              <w:spacing w:after="0"/>
              <w:rPr>
                <w:sz w:val="20"/>
                <w:szCs w:val="20"/>
                <w:color w:val="auto"/>
              </w:rPr>
            </w:pPr>
            <w:r>
              <w:rPr>
                <w:rFonts w:ascii="Arial" w:cs="Arial" w:eastAsia="Arial" w:hAnsi="Arial"/>
                <w:sz w:val="18"/>
                <w:szCs w:val="18"/>
                <w:i w:val="1"/>
                <w:iCs w:val="1"/>
                <w:color w:val="auto"/>
              </w:rPr>
              <w:t>•   focused planning and execution of recurring talent management programs</w:t>
            </w:r>
          </w:p>
        </w:tc>
        <w:tc>
          <w:tcPr>
            <w:tcW w:w="20" w:type="dxa"/>
            <w:vAlign w:val="bottom"/>
          </w:tcPr>
          <w:p>
            <w:pPr>
              <w:spacing w:after="0"/>
              <w:rPr>
                <w:sz w:val="24"/>
                <w:szCs w:val="24"/>
                <w:color w:val="auto"/>
              </w:rPr>
            </w:pPr>
          </w:p>
        </w:tc>
      </w:tr>
      <w:tr>
        <w:trPr>
          <w:trHeight w:val="203"/>
        </w:trPr>
        <w:tc>
          <w:tcPr>
            <w:tcW w:w="2320" w:type="dxa"/>
            <w:vAlign w:val="bottom"/>
            <w:shd w:val="clear" w:color="auto" w:fill="F2F2F2"/>
          </w:tcPr>
          <w:p>
            <w:pPr>
              <w:spacing w:after="0"/>
              <w:rPr>
                <w:sz w:val="17"/>
                <w:szCs w:val="17"/>
                <w:color w:val="auto"/>
              </w:rPr>
            </w:pPr>
          </w:p>
        </w:tc>
        <w:tc>
          <w:tcPr>
            <w:tcW w:w="1260" w:type="dxa"/>
            <w:vAlign w:val="bottom"/>
            <w:shd w:val="clear" w:color="auto" w:fill="F2F2F2"/>
          </w:tcPr>
          <w:p>
            <w:pPr>
              <w:spacing w:after="0"/>
              <w:rPr>
                <w:sz w:val="17"/>
                <w:szCs w:val="17"/>
                <w:color w:val="auto"/>
              </w:rPr>
            </w:pPr>
          </w:p>
        </w:tc>
        <w:tc>
          <w:tcPr>
            <w:tcW w:w="540" w:type="dxa"/>
            <w:vAlign w:val="bottom"/>
            <w:shd w:val="clear" w:color="auto" w:fill="F2F2F2"/>
          </w:tcPr>
          <w:p>
            <w:pPr>
              <w:spacing w:after="0"/>
              <w:rPr>
                <w:sz w:val="17"/>
                <w:szCs w:val="17"/>
                <w:color w:val="auto"/>
              </w:rPr>
            </w:pPr>
          </w:p>
        </w:tc>
        <w:tc>
          <w:tcPr>
            <w:tcW w:w="6900" w:type="dxa"/>
            <w:vAlign w:val="bottom"/>
            <w:shd w:val="clear" w:color="auto" w:fill="F2F2F2"/>
          </w:tcPr>
          <w:p>
            <w:pPr>
              <w:ind w:left="680"/>
              <w:spacing w:after="0" w:line="202" w:lineRule="exact"/>
              <w:rPr>
                <w:sz w:val="20"/>
                <w:szCs w:val="20"/>
                <w:color w:val="auto"/>
              </w:rPr>
            </w:pPr>
            <w:r>
              <w:rPr>
                <w:rFonts w:ascii="Arial" w:cs="Arial" w:eastAsia="Arial" w:hAnsi="Arial"/>
                <w:sz w:val="18"/>
                <w:szCs w:val="18"/>
                <w:i w:val="1"/>
                <w:iCs w:val="1"/>
                <w:color w:val="auto"/>
              </w:rPr>
              <w:t>ensuring strong linkage between organizational and individual performance</w:t>
            </w:r>
          </w:p>
        </w:tc>
        <w:tc>
          <w:tcPr>
            <w:tcW w:w="20" w:type="dxa"/>
            <w:vAlign w:val="bottom"/>
          </w:tcPr>
          <w:p>
            <w:pPr>
              <w:spacing w:after="0"/>
              <w:rPr>
                <w:sz w:val="17"/>
                <w:szCs w:val="17"/>
                <w:color w:val="auto"/>
              </w:rPr>
            </w:pPr>
          </w:p>
        </w:tc>
      </w:tr>
      <w:tr>
        <w:trPr>
          <w:trHeight w:val="237"/>
        </w:trPr>
        <w:tc>
          <w:tcPr>
            <w:tcW w:w="2320" w:type="dxa"/>
            <w:vAlign w:val="bottom"/>
            <w:shd w:val="clear" w:color="auto" w:fill="F2F2F2"/>
          </w:tcPr>
          <w:p>
            <w:pPr>
              <w:spacing w:after="0"/>
              <w:rPr>
                <w:sz w:val="20"/>
                <w:szCs w:val="20"/>
                <w:color w:val="auto"/>
              </w:rPr>
            </w:pPr>
          </w:p>
        </w:tc>
        <w:tc>
          <w:tcPr>
            <w:tcW w:w="1260" w:type="dxa"/>
            <w:vAlign w:val="bottom"/>
            <w:shd w:val="clear" w:color="auto" w:fill="F2F2F2"/>
          </w:tcPr>
          <w:p>
            <w:pPr>
              <w:spacing w:after="0"/>
              <w:rPr>
                <w:sz w:val="20"/>
                <w:szCs w:val="20"/>
                <w:color w:val="auto"/>
              </w:rPr>
            </w:pPr>
          </w:p>
        </w:tc>
        <w:tc>
          <w:tcPr>
            <w:tcW w:w="540" w:type="dxa"/>
            <w:vAlign w:val="bottom"/>
            <w:shd w:val="clear" w:color="auto" w:fill="F2F2F2"/>
          </w:tcPr>
          <w:p>
            <w:pPr>
              <w:spacing w:after="0"/>
              <w:rPr>
                <w:sz w:val="20"/>
                <w:szCs w:val="20"/>
                <w:color w:val="auto"/>
              </w:rPr>
            </w:pPr>
          </w:p>
        </w:tc>
        <w:tc>
          <w:tcPr>
            <w:tcW w:w="6900" w:type="dxa"/>
            <w:vAlign w:val="bottom"/>
            <w:shd w:val="clear" w:color="auto" w:fill="F2F2F2"/>
          </w:tcPr>
          <w:p>
            <w:pPr>
              <w:ind w:left="680"/>
              <w:spacing w:after="0"/>
              <w:rPr>
                <w:sz w:val="20"/>
                <w:szCs w:val="20"/>
                <w:color w:val="auto"/>
              </w:rPr>
            </w:pPr>
            <w:r>
              <w:rPr>
                <w:rFonts w:ascii="Arial" w:cs="Arial" w:eastAsia="Arial" w:hAnsi="Arial"/>
                <w:sz w:val="18"/>
                <w:szCs w:val="18"/>
                <w:i w:val="1"/>
                <w:iCs w:val="1"/>
                <w:color w:val="auto"/>
              </w:rPr>
              <w:t>with reward systems</w:t>
            </w:r>
          </w:p>
        </w:tc>
        <w:tc>
          <w:tcPr>
            <w:tcW w:w="20" w:type="dxa"/>
            <w:vAlign w:val="bottom"/>
          </w:tcPr>
          <w:p>
            <w:pPr>
              <w:spacing w:after="0"/>
              <w:rPr>
                <w:sz w:val="20"/>
                <w:szCs w:val="20"/>
                <w:color w:val="auto"/>
              </w:rPr>
            </w:pPr>
          </w:p>
        </w:tc>
      </w:tr>
      <w:tr>
        <w:trPr>
          <w:trHeight w:val="290"/>
        </w:trPr>
        <w:tc>
          <w:tcPr>
            <w:tcW w:w="2320" w:type="dxa"/>
            <w:vAlign w:val="bottom"/>
            <w:shd w:val="clear" w:color="auto" w:fill="F2F2F2"/>
          </w:tcPr>
          <w:p>
            <w:pPr>
              <w:spacing w:after="0"/>
              <w:rPr>
                <w:sz w:val="24"/>
                <w:szCs w:val="24"/>
                <w:color w:val="auto"/>
              </w:rPr>
            </w:pPr>
          </w:p>
        </w:tc>
        <w:tc>
          <w:tcPr>
            <w:tcW w:w="1260" w:type="dxa"/>
            <w:vAlign w:val="bottom"/>
            <w:shd w:val="clear" w:color="auto" w:fill="F2F2F2"/>
          </w:tcPr>
          <w:p>
            <w:pPr>
              <w:spacing w:after="0"/>
              <w:rPr>
                <w:sz w:val="24"/>
                <w:szCs w:val="24"/>
                <w:color w:val="auto"/>
              </w:rPr>
            </w:pPr>
          </w:p>
        </w:tc>
        <w:tc>
          <w:tcPr>
            <w:tcW w:w="540" w:type="dxa"/>
            <w:vAlign w:val="bottom"/>
            <w:shd w:val="clear" w:color="auto" w:fill="F2F2F2"/>
          </w:tcPr>
          <w:p>
            <w:pPr>
              <w:spacing w:after="0"/>
              <w:rPr>
                <w:sz w:val="24"/>
                <w:szCs w:val="24"/>
                <w:color w:val="auto"/>
              </w:rPr>
            </w:pPr>
          </w:p>
        </w:tc>
        <w:tc>
          <w:tcPr>
            <w:tcW w:w="6900" w:type="dxa"/>
            <w:vAlign w:val="bottom"/>
            <w:shd w:val="clear" w:color="auto" w:fill="F2F2F2"/>
          </w:tcPr>
          <w:p>
            <w:pPr>
              <w:ind w:left="340"/>
              <w:spacing w:after="0"/>
              <w:rPr>
                <w:sz w:val="20"/>
                <w:szCs w:val="20"/>
                <w:color w:val="auto"/>
              </w:rPr>
            </w:pPr>
            <w:r>
              <w:rPr>
                <w:rFonts w:ascii="Arial" w:cs="Arial" w:eastAsia="Arial" w:hAnsi="Arial"/>
                <w:sz w:val="18"/>
                <w:szCs w:val="18"/>
                <w:i w:val="1"/>
                <w:iCs w:val="1"/>
                <w:color w:val="auto"/>
              </w:rPr>
              <w:t>•   oversaw the successful launch of a new AI Coaching system, leveraging a</w:t>
            </w:r>
          </w:p>
        </w:tc>
        <w:tc>
          <w:tcPr>
            <w:tcW w:w="20" w:type="dxa"/>
            <w:vAlign w:val="bottom"/>
          </w:tcPr>
          <w:p>
            <w:pPr>
              <w:spacing w:after="0"/>
              <w:rPr>
                <w:sz w:val="24"/>
                <w:szCs w:val="24"/>
                <w:color w:val="auto"/>
              </w:rPr>
            </w:pPr>
          </w:p>
        </w:tc>
      </w:tr>
      <w:tr>
        <w:trPr>
          <w:trHeight w:val="203"/>
        </w:trPr>
        <w:tc>
          <w:tcPr>
            <w:tcW w:w="2320" w:type="dxa"/>
            <w:vAlign w:val="bottom"/>
            <w:shd w:val="clear" w:color="auto" w:fill="F2F2F2"/>
          </w:tcPr>
          <w:p>
            <w:pPr>
              <w:spacing w:after="0"/>
              <w:rPr>
                <w:sz w:val="17"/>
                <w:szCs w:val="17"/>
                <w:color w:val="auto"/>
              </w:rPr>
            </w:pPr>
          </w:p>
        </w:tc>
        <w:tc>
          <w:tcPr>
            <w:tcW w:w="1260" w:type="dxa"/>
            <w:vAlign w:val="bottom"/>
            <w:shd w:val="clear" w:color="auto" w:fill="F2F2F2"/>
          </w:tcPr>
          <w:p>
            <w:pPr>
              <w:spacing w:after="0"/>
              <w:rPr>
                <w:sz w:val="17"/>
                <w:szCs w:val="17"/>
                <w:color w:val="auto"/>
              </w:rPr>
            </w:pPr>
          </w:p>
        </w:tc>
        <w:tc>
          <w:tcPr>
            <w:tcW w:w="540" w:type="dxa"/>
            <w:vAlign w:val="bottom"/>
            <w:shd w:val="clear" w:color="auto" w:fill="F2F2F2"/>
          </w:tcPr>
          <w:p>
            <w:pPr>
              <w:spacing w:after="0"/>
              <w:rPr>
                <w:sz w:val="17"/>
                <w:szCs w:val="17"/>
                <w:color w:val="auto"/>
              </w:rPr>
            </w:pPr>
          </w:p>
        </w:tc>
        <w:tc>
          <w:tcPr>
            <w:tcW w:w="6900" w:type="dxa"/>
            <w:vAlign w:val="bottom"/>
            <w:shd w:val="clear" w:color="auto" w:fill="F2F2F2"/>
          </w:tcPr>
          <w:p>
            <w:pPr>
              <w:ind w:left="680"/>
              <w:spacing w:after="0" w:line="202" w:lineRule="exact"/>
              <w:rPr>
                <w:sz w:val="20"/>
                <w:szCs w:val="20"/>
                <w:color w:val="auto"/>
              </w:rPr>
            </w:pPr>
            <w:r>
              <w:rPr>
                <w:rFonts w:ascii="Arial" w:cs="Arial" w:eastAsia="Arial" w:hAnsi="Arial"/>
                <w:sz w:val="18"/>
                <w:szCs w:val="18"/>
                <w:i w:val="1"/>
                <w:iCs w:val="1"/>
                <w:color w:val="auto"/>
              </w:rPr>
              <w:t>focused LLM, expanding workforce access to management and leadership</w:t>
            </w:r>
          </w:p>
        </w:tc>
        <w:tc>
          <w:tcPr>
            <w:tcW w:w="20" w:type="dxa"/>
            <w:vAlign w:val="bottom"/>
          </w:tcPr>
          <w:p>
            <w:pPr>
              <w:spacing w:after="0"/>
              <w:rPr>
                <w:sz w:val="17"/>
                <w:szCs w:val="17"/>
                <w:color w:val="auto"/>
              </w:rPr>
            </w:pPr>
          </w:p>
        </w:tc>
      </w:tr>
      <w:tr>
        <w:trPr>
          <w:trHeight w:val="237"/>
        </w:trPr>
        <w:tc>
          <w:tcPr>
            <w:tcW w:w="2320" w:type="dxa"/>
            <w:vAlign w:val="bottom"/>
            <w:shd w:val="clear" w:color="auto" w:fill="F2F2F2"/>
          </w:tcPr>
          <w:p>
            <w:pPr>
              <w:spacing w:after="0"/>
              <w:rPr>
                <w:sz w:val="20"/>
                <w:szCs w:val="20"/>
                <w:color w:val="auto"/>
              </w:rPr>
            </w:pPr>
          </w:p>
        </w:tc>
        <w:tc>
          <w:tcPr>
            <w:tcW w:w="1260" w:type="dxa"/>
            <w:vAlign w:val="bottom"/>
            <w:shd w:val="clear" w:color="auto" w:fill="F2F2F2"/>
          </w:tcPr>
          <w:p>
            <w:pPr>
              <w:spacing w:after="0"/>
              <w:rPr>
                <w:sz w:val="20"/>
                <w:szCs w:val="20"/>
                <w:color w:val="auto"/>
              </w:rPr>
            </w:pPr>
          </w:p>
        </w:tc>
        <w:tc>
          <w:tcPr>
            <w:tcW w:w="540" w:type="dxa"/>
            <w:vAlign w:val="bottom"/>
            <w:shd w:val="clear" w:color="auto" w:fill="F2F2F2"/>
          </w:tcPr>
          <w:p>
            <w:pPr>
              <w:spacing w:after="0"/>
              <w:rPr>
                <w:sz w:val="20"/>
                <w:szCs w:val="20"/>
                <w:color w:val="auto"/>
              </w:rPr>
            </w:pPr>
          </w:p>
        </w:tc>
        <w:tc>
          <w:tcPr>
            <w:tcW w:w="6900" w:type="dxa"/>
            <w:vAlign w:val="bottom"/>
            <w:shd w:val="clear" w:color="auto" w:fill="F2F2F2"/>
          </w:tcPr>
          <w:p>
            <w:pPr>
              <w:ind w:left="680"/>
              <w:spacing w:after="0"/>
              <w:rPr>
                <w:sz w:val="20"/>
                <w:szCs w:val="20"/>
                <w:color w:val="auto"/>
              </w:rPr>
            </w:pPr>
            <w:r>
              <w:rPr>
                <w:rFonts w:ascii="Arial" w:cs="Arial" w:eastAsia="Arial" w:hAnsi="Arial"/>
                <w:sz w:val="18"/>
                <w:szCs w:val="18"/>
                <w:i w:val="1"/>
                <w:iCs w:val="1"/>
                <w:color w:val="auto"/>
              </w:rPr>
              <w:t>best practices while strengthening the leverage of HR business consultants</w:t>
            </w:r>
          </w:p>
        </w:tc>
        <w:tc>
          <w:tcPr>
            <w:tcW w:w="20" w:type="dxa"/>
            <w:vAlign w:val="bottom"/>
          </w:tcPr>
          <w:p>
            <w:pPr>
              <w:spacing w:after="0"/>
              <w:rPr>
                <w:sz w:val="20"/>
                <w:szCs w:val="20"/>
                <w:color w:val="auto"/>
              </w:rPr>
            </w:pPr>
          </w:p>
        </w:tc>
      </w:tr>
      <w:tr>
        <w:trPr>
          <w:trHeight w:val="118"/>
        </w:trPr>
        <w:tc>
          <w:tcPr>
            <w:tcW w:w="2320" w:type="dxa"/>
            <w:vAlign w:val="bottom"/>
            <w:tcBorders>
              <w:bottom w:val="single" w:sz="8" w:color="376DB5"/>
            </w:tcBorders>
            <w:shd w:val="clear" w:color="auto" w:fill="F2F2F2"/>
          </w:tcPr>
          <w:p>
            <w:pPr>
              <w:spacing w:after="0"/>
              <w:rPr>
                <w:sz w:val="10"/>
                <w:szCs w:val="10"/>
                <w:color w:val="auto"/>
              </w:rPr>
            </w:pPr>
          </w:p>
        </w:tc>
        <w:tc>
          <w:tcPr>
            <w:tcW w:w="1260" w:type="dxa"/>
            <w:vAlign w:val="bottom"/>
            <w:tcBorders>
              <w:bottom w:val="single" w:sz="8" w:color="376DB5"/>
            </w:tcBorders>
            <w:shd w:val="clear" w:color="auto" w:fill="F2F2F2"/>
          </w:tcPr>
          <w:p>
            <w:pPr>
              <w:spacing w:after="0"/>
              <w:rPr>
                <w:sz w:val="10"/>
                <w:szCs w:val="10"/>
                <w:color w:val="auto"/>
              </w:rPr>
            </w:pPr>
          </w:p>
        </w:tc>
        <w:tc>
          <w:tcPr>
            <w:tcW w:w="540" w:type="dxa"/>
            <w:vAlign w:val="bottom"/>
            <w:tcBorders>
              <w:bottom w:val="single" w:sz="8" w:color="376DB5"/>
            </w:tcBorders>
            <w:shd w:val="clear" w:color="auto" w:fill="F2F2F2"/>
          </w:tcPr>
          <w:p>
            <w:pPr>
              <w:spacing w:after="0"/>
              <w:rPr>
                <w:sz w:val="10"/>
                <w:szCs w:val="10"/>
                <w:color w:val="auto"/>
              </w:rPr>
            </w:pPr>
          </w:p>
        </w:tc>
        <w:tc>
          <w:tcPr>
            <w:tcW w:w="6900" w:type="dxa"/>
            <w:vAlign w:val="bottom"/>
            <w:tcBorders>
              <w:bottom w:val="single" w:sz="8" w:color="376DB5"/>
            </w:tcBorders>
            <w:shd w:val="clear" w:color="auto" w:fill="F2F2F2"/>
          </w:tcPr>
          <w:p>
            <w:pPr>
              <w:spacing w:after="0"/>
              <w:rPr>
                <w:sz w:val="10"/>
                <w:szCs w:val="10"/>
                <w:color w:val="auto"/>
              </w:rPr>
            </w:pPr>
          </w:p>
        </w:tc>
        <w:tc>
          <w:tcPr>
            <w:tcW w:w="20" w:type="dxa"/>
            <w:vAlign w:val="bottom"/>
          </w:tcPr>
          <w:p>
            <w:pPr>
              <w:spacing w:after="0"/>
              <w:rPr>
                <w:sz w:val="10"/>
                <w:szCs w:val="10"/>
                <w:color w:val="auto"/>
              </w:rPr>
            </w:pPr>
          </w:p>
        </w:tc>
      </w:tr>
      <w:tr>
        <w:trPr>
          <w:trHeight w:val="260"/>
        </w:trPr>
        <w:tc>
          <w:tcPr>
            <w:tcW w:w="2320" w:type="dxa"/>
            <w:vAlign w:val="bottom"/>
          </w:tcPr>
          <w:p>
            <w:pPr>
              <w:spacing w:after="0"/>
              <w:rPr>
                <w:sz w:val="20"/>
                <w:szCs w:val="20"/>
                <w:color w:val="auto"/>
              </w:rPr>
            </w:pPr>
            <w:r>
              <w:rPr>
                <w:rFonts w:ascii="Arial" w:cs="Arial" w:eastAsia="Arial" w:hAnsi="Arial"/>
                <w:sz w:val="18"/>
                <w:szCs w:val="18"/>
                <w:color w:val="auto"/>
              </w:rPr>
              <w:t>  Mark Scadina</w:t>
            </w:r>
          </w:p>
        </w:tc>
        <w:tc>
          <w:tcPr>
            <w:tcW w:w="1260" w:type="dxa"/>
            <w:vAlign w:val="bottom"/>
          </w:tcPr>
          <w:p>
            <w:pPr>
              <w:jc w:val="right"/>
              <w:spacing w:after="0"/>
              <w:rPr>
                <w:sz w:val="20"/>
                <w:szCs w:val="20"/>
                <w:color w:val="auto"/>
              </w:rPr>
            </w:pPr>
            <w:r>
              <w:rPr>
                <w:rFonts w:ascii="Arial" w:cs="Arial" w:eastAsia="Arial" w:hAnsi="Arial"/>
                <w:sz w:val="18"/>
                <w:szCs w:val="18"/>
                <w:color w:val="auto"/>
              </w:rPr>
              <w:t>121% </w:t>
            </w:r>
          </w:p>
        </w:tc>
        <w:tc>
          <w:tcPr>
            <w:tcW w:w="540" w:type="dxa"/>
            <w:vAlign w:val="bottom"/>
          </w:tcPr>
          <w:p>
            <w:pPr>
              <w:ind w:left="60"/>
              <w:spacing w:after="0"/>
              <w:rPr>
                <w:sz w:val="20"/>
                <w:szCs w:val="20"/>
                <w:color w:val="auto"/>
              </w:rPr>
            </w:pPr>
            <w:r>
              <w:rPr>
                <w:rFonts w:ascii="Arial" w:cs="Arial" w:eastAsia="Arial" w:hAnsi="Arial"/>
                <w:sz w:val="18"/>
                <w:szCs w:val="18"/>
                <w:color w:val="auto"/>
              </w:rPr>
              <w:t xml:space="preserve">   </w:t>
            </w: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provided expert legal and strategic counsel across a range of business growth</w:t>
            </w:r>
          </w:p>
        </w:tc>
      </w:tr>
      <w:tr>
        <w:trPr>
          <w:trHeight w:val="203"/>
        </w:trPr>
        <w:tc>
          <w:tcPr>
            <w:tcW w:w="2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920" w:type="dxa"/>
            <w:vAlign w:val="bottom"/>
            <w:gridSpan w:val="2"/>
          </w:tcPr>
          <w:p>
            <w:pPr>
              <w:ind w:left="680"/>
              <w:spacing w:after="0" w:line="202" w:lineRule="exact"/>
              <w:rPr>
                <w:sz w:val="20"/>
                <w:szCs w:val="20"/>
                <w:color w:val="auto"/>
              </w:rPr>
            </w:pPr>
            <w:r>
              <w:rPr>
                <w:rFonts w:ascii="Arial" w:cs="Arial" w:eastAsia="Arial" w:hAnsi="Arial"/>
                <w:sz w:val="18"/>
                <w:szCs w:val="18"/>
                <w:i w:val="1"/>
                <w:iCs w:val="1"/>
                <w:color w:val="auto"/>
              </w:rPr>
              <w:t>and investment decisions, particularly involving our Mortgage Score Direct</w:t>
            </w:r>
          </w:p>
        </w:tc>
      </w:tr>
      <w:tr>
        <w:trPr>
          <w:trHeight w:val="237"/>
        </w:trPr>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920" w:type="dxa"/>
            <w:vAlign w:val="bottom"/>
            <w:gridSpan w:val="2"/>
          </w:tcPr>
          <w:p>
            <w:pPr>
              <w:ind w:left="680"/>
              <w:spacing w:after="0"/>
              <w:rPr>
                <w:sz w:val="20"/>
                <w:szCs w:val="20"/>
                <w:color w:val="auto"/>
              </w:rPr>
            </w:pPr>
            <w:r>
              <w:rPr>
                <w:rFonts w:ascii="Arial" w:cs="Arial" w:eastAsia="Arial" w:hAnsi="Arial"/>
                <w:sz w:val="18"/>
                <w:szCs w:val="18"/>
                <w:i w:val="1"/>
                <w:iCs w:val="1"/>
                <w:color w:val="auto"/>
              </w:rPr>
              <w:t>strategy</w:t>
            </w:r>
          </w:p>
        </w:tc>
      </w:tr>
    </w:tbl>
    <w:p>
      <w:pPr>
        <w:spacing w:after="0" w:line="85" w:lineRule="exact"/>
        <w:rPr>
          <w:sz w:val="20"/>
          <w:szCs w:val="20"/>
          <w:color w:val="auto"/>
        </w:rPr>
      </w:pPr>
    </w:p>
    <w:p>
      <w:pPr>
        <w:ind w:left="4920" w:right="20" w:hanging="339"/>
        <w:spacing w:after="0" w:line="269" w:lineRule="auto"/>
        <w:tabs>
          <w:tab w:leader="none" w:pos="4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oversaw effective collaboration with our go-to-market organization, helping to drive business growth while ensuring effective contracting structures</w:t>
      </w:r>
    </w:p>
    <w:p>
      <w:pPr>
        <w:spacing w:after="0" w:line="63" w:lineRule="exact"/>
        <w:rPr>
          <w:sz w:val="20"/>
          <w:szCs w:val="20"/>
          <w:color w:val="auto"/>
        </w:rPr>
      </w:pPr>
    </w:p>
    <w:p>
      <w:pPr>
        <w:ind w:left="4920" w:right="20" w:hanging="339"/>
        <w:spacing w:after="0" w:line="269" w:lineRule="auto"/>
        <w:tabs>
          <w:tab w:leader="none" w:pos="4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provided outstanding counsel to the Board and executive officers, enabling strategic decisions while mitigating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48</w:t>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228"/>
        </w:trPr>
        <w:tc>
          <w:tcPr>
            <w:tcW w:w="1420" w:type="dxa"/>
            <w:vAlign w:val="bottom"/>
            <w:shd w:val="clear" w:color="auto" w:fill="F2F2F2"/>
          </w:tcPr>
          <w:p>
            <w:pPr>
              <w:spacing w:after="0"/>
              <w:rPr>
                <w:sz w:val="19"/>
                <w:szCs w:val="19"/>
                <w:color w:val="auto"/>
              </w:rPr>
            </w:pPr>
          </w:p>
        </w:tc>
        <w:tc>
          <w:tcPr>
            <w:tcW w:w="1000" w:type="dxa"/>
            <w:vAlign w:val="bottom"/>
            <w:shd w:val="clear" w:color="auto" w:fill="F2F2F2"/>
          </w:tcPr>
          <w:p>
            <w:pPr>
              <w:spacing w:after="0"/>
              <w:rPr>
                <w:sz w:val="19"/>
                <w:szCs w:val="19"/>
                <w:color w:val="auto"/>
              </w:rPr>
            </w:pPr>
          </w:p>
        </w:tc>
        <w:tc>
          <w:tcPr>
            <w:tcW w:w="1460" w:type="dxa"/>
            <w:vAlign w:val="bottom"/>
            <w:shd w:val="clear" w:color="auto" w:fill="F2F2F2"/>
          </w:tcPr>
          <w:p>
            <w:pPr>
              <w:spacing w:after="0"/>
              <w:rPr>
                <w:sz w:val="19"/>
                <w:szCs w:val="19"/>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9"/>
                <w:szCs w:val="19"/>
                <w:color w:val="auto"/>
              </w:rPr>
            </w:pPr>
          </w:p>
        </w:tc>
        <w:tc>
          <w:tcPr>
            <w:tcW w:w="1360" w:type="dxa"/>
            <w:vAlign w:val="bottom"/>
            <w:shd w:val="clear" w:color="auto" w:fill="F2F2F2"/>
          </w:tcPr>
          <w:p>
            <w:pPr>
              <w:spacing w:after="0"/>
              <w:rPr>
                <w:sz w:val="19"/>
                <w:szCs w:val="19"/>
                <w:color w:val="auto"/>
              </w:rPr>
            </w:pPr>
          </w:p>
        </w:tc>
        <w:tc>
          <w:tcPr>
            <w:tcW w:w="1200" w:type="dxa"/>
            <w:vAlign w:val="bottom"/>
            <w:shd w:val="clear" w:color="auto" w:fill="F2F2F2"/>
          </w:tcPr>
          <w:p>
            <w:pPr>
              <w:spacing w:after="0"/>
              <w:rPr>
                <w:sz w:val="19"/>
                <w:szCs w:val="19"/>
                <w:color w:val="auto"/>
              </w:rPr>
            </w:pPr>
          </w:p>
        </w:tc>
        <w:tc>
          <w:tcPr>
            <w:tcW w:w="1480" w:type="dxa"/>
            <w:vAlign w:val="bottom"/>
            <w:shd w:val="clear" w:color="auto" w:fill="F2F2F2"/>
          </w:tcPr>
          <w:p>
            <w:pPr>
              <w:spacing w:after="0"/>
              <w:rPr>
                <w:sz w:val="19"/>
                <w:szCs w:val="19"/>
                <w:color w:val="auto"/>
              </w:rPr>
            </w:pPr>
          </w:p>
        </w:tc>
      </w:tr>
      <w:tr>
        <w:trPr>
          <w:trHeight w:val="376"/>
        </w:trPr>
        <w:tc>
          <w:tcPr>
            <w:tcW w:w="1420" w:type="dxa"/>
            <w:vAlign w:val="bottom"/>
            <w:tcBorders>
              <w:top w:val="single" w:sz="8" w:color="F2F2F2"/>
            </w:tcBorders>
          </w:tcPr>
          <w:p>
            <w:pPr>
              <w:spacing w:after="0"/>
              <w:rPr>
                <w:sz w:val="20"/>
                <w:szCs w:val="20"/>
                <w:color w:val="auto"/>
              </w:rPr>
            </w:pPr>
            <w:r>
              <w:rPr>
                <w:rFonts w:ascii="Arial" w:cs="Arial" w:eastAsia="Arial" w:hAnsi="Arial"/>
                <w:sz w:val="18"/>
                <w:szCs w:val="18"/>
                <w:b w:val="1"/>
                <w:bCs w:val="1"/>
                <w:color w:val="auto"/>
              </w:rPr>
              <w:t>2025 Payouts</w:t>
            </w:r>
          </w:p>
        </w:tc>
        <w:tc>
          <w:tcPr>
            <w:tcW w:w="1000" w:type="dxa"/>
            <w:vAlign w:val="bottom"/>
            <w:tcBorders>
              <w:top w:val="single" w:sz="8" w:color="F2F2F2"/>
            </w:tcBorders>
          </w:tcPr>
          <w:p>
            <w:pPr>
              <w:spacing w:after="0"/>
              <w:rPr>
                <w:sz w:val="24"/>
                <w:szCs w:val="24"/>
                <w:color w:val="auto"/>
              </w:rPr>
            </w:pPr>
          </w:p>
        </w:tc>
        <w:tc>
          <w:tcPr>
            <w:tcW w:w="1460" w:type="dxa"/>
            <w:vAlign w:val="bottom"/>
            <w:tcBorders>
              <w:top w:val="single" w:sz="8" w:color="F2F2F2"/>
            </w:tcBorders>
          </w:tcPr>
          <w:p>
            <w:pPr>
              <w:spacing w:after="0"/>
              <w:rPr>
                <w:sz w:val="24"/>
                <w:szCs w:val="24"/>
                <w:color w:val="auto"/>
              </w:rPr>
            </w:pPr>
          </w:p>
        </w:tc>
        <w:tc>
          <w:tcPr>
            <w:tcW w:w="820" w:type="dxa"/>
            <w:vAlign w:val="bottom"/>
            <w:tcBorders>
              <w:top w:val="single" w:sz="8" w:color="376DB5"/>
            </w:tcBorders>
          </w:tcPr>
          <w:p>
            <w:pPr>
              <w:spacing w:after="0"/>
              <w:rPr>
                <w:sz w:val="24"/>
                <w:szCs w:val="24"/>
                <w:color w:val="auto"/>
              </w:rPr>
            </w:pPr>
          </w:p>
        </w:tc>
        <w:tc>
          <w:tcPr>
            <w:tcW w:w="620" w:type="dxa"/>
            <w:vAlign w:val="bottom"/>
            <w:tcBorders>
              <w:top w:val="single" w:sz="8" w:color="F2F2F2"/>
            </w:tcBorders>
          </w:tcPr>
          <w:p>
            <w:pPr>
              <w:spacing w:after="0"/>
              <w:rPr>
                <w:sz w:val="24"/>
                <w:szCs w:val="24"/>
                <w:color w:val="auto"/>
              </w:rPr>
            </w:pPr>
          </w:p>
        </w:tc>
        <w:tc>
          <w:tcPr>
            <w:tcW w:w="1660" w:type="dxa"/>
            <w:vAlign w:val="bottom"/>
            <w:tcBorders>
              <w:top w:val="single" w:sz="8" w:color="F2F2F2"/>
            </w:tcBorders>
          </w:tcPr>
          <w:p>
            <w:pPr>
              <w:spacing w:after="0"/>
              <w:rPr>
                <w:sz w:val="24"/>
                <w:szCs w:val="24"/>
                <w:color w:val="auto"/>
              </w:rPr>
            </w:pPr>
          </w:p>
        </w:tc>
        <w:tc>
          <w:tcPr>
            <w:tcW w:w="1360" w:type="dxa"/>
            <w:vAlign w:val="bottom"/>
            <w:tcBorders>
              <w:top w:val="single" w:sz="8" w:color="F2F2F2"/>
            </w:tcBorders>
          </w:tcPr>
          <w:p>
            <w:pPr>
              <w:spacing w:after="0"/>
              <w:rPr>
                <w:sz w:val="24"/>
                <w:szCs w:val="24"/>
                <w:color w:val="auto"/>
              </w:rPr>
            </w:pPr>
          </w:p>
        </w:tc>
        <w:tc>
          <w:tcPr>
            <w:tcW w:w="1200" w:type="dxa"/>
            <w:vAlign w:val="bottom"/>
            <w:tcBorders>
              <w:top w:val="single" w:sz="8" w:color="F2F2F2"/>
            </w:tcBorders>
          </w:tcPr>
          <w:p>
            <w:pPr>
              <w:spacing w:after="0"/>
              <w:rPr>
                <w:sz w:val="24"/>
                <w:szCs w:val="24"/>
                <w:color w:val="auto"/>
              </w:rPr>
            </w:pPr>
          </w:p>
        </w:tc>
        <w:tc>
          <w:tcPr>
            <w:tcW w:w="1480" w:type="dxa"/>
            <w:vAlign w:val="bottom"/>
            <w:tcBorders>
              <w:top w:val="single" w:sz="8" w:color="F2F2F2"/>
            </w:tcBorders>
          </w:tcPr>
          <w:p>
            <w:pPr>
              <w:spacing w:after="0"/>
              <w:rPr>
                <w:sz w:val="24"/>
                <w:szCs w:val="24"/>
                <w:color w:val="auto"/>
              </w:rPr>
            </w:pPr>
          </w:p>
        </w:tc>
      </w:tr>
    </w:tbl>
    <w:p>
      <w:pPr>
        <w:spacing w:after="0" w:line="172"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The combined effect of these inputs led to the following payments for the named executive officer participants under the EIP for fiscal 2025 performance, shown along with the target payment levels:</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1760" w:type="dxa"/>
            <w:vAlign w:val="bottom"/>
            <w:tcBorders>
              <w:top w:val="single" w:sz="8" w:color="376DB5"/>
            </w:tcBorders>
          </w:tcPr>
          <w:p>
            <w:pPr>
              <w:spacing w:after="0"/>
              <w:rPr>
                <w:sz w:val="17"/>
                <w:szCs w:val="17"/>
                <w:color w:val="auto"/>
              </w:rPr>
            </w:pPr>
          </w:p>
        </w:tc>
        <w:tc>
          <w:tcPr>
            <w:tcW w:w="1500" w:type="dxa"/>
            <w:vAlign w:val="bottom"/>
            <w:tcBorders>
              <w:top w:val="single" w:sz="8" w:color="376DB5"/>
            </w:tcBorders>
          </w:tcPr>
          <w:p>
            <w:pPr>
              <w:spacing w:after="0"/>
              <w:rPr>
                <w:sz w:val="17"/>
                <w:szCs w:val="17"/>
                <w:color w:val="auto"/>
              </w:rPr>
            </w:pPr>
          </w:p>
        </w:tc>
        <w:tc>
          <w:tcPr>
            <w:tcW w:w="2400" w:type="dxa"/>
            <w:vAlign w:val="bottom"/>
            <w:tcBorders>
              <w:top w:val="single" w:sz="8" w:color="376DB5"/>
            </w:tcBorders>
          </w:tcPr>
          <w:p>
            <w:pPr>
              <w:spacing w:after="0"/>
              <w:rPr>
                <w:sz w:val="17"/>
                <w:szCs w:val="17"/>
                <w:color w:val="auto"/>
              </w:rPr>
            </w:pPr>
          </w:p>
        </w:tc>
        <w:tc>
          <w:tcPr>
            <w:tcW w:w="1960" w:type="dxa"/>
            <w:vAlign w:val="bottom"/>
            <w:tcBorders>
              <w:top w:val="single" w:sz="8" w:color="376DB5"/>
            </w:tcBorders>
          </w:tcPr>
          <w:p>
            <w:pPr>
              <w:jc w:val="center"/>
              <w:spacing w:after="0" w:line="197" w:lineRule="exact"/>
              <w:rPr>
                <w:sz w:val="20"/>
                <w:szCs w:val="20"/>
                <w:color w:val="auto"/>
              </w:rPr>
            </w:pPr>
            <w:r>
              <w:rPr>
                <w:rFonts w:ascii="Arial" w:cs="Arial" w:eastAsia="Arial" w:hAnsi="Arial"/>
                <w:sz w:val="18"/>
                <w:szCs w:val="18"/>
                <w:color w:val="376DB5"/>
                <w:w w:val="99"/>
              </w:rPr>
              <w:t>Amount Attributable</w:t>
            </w:r>
          </w:p>
        </w:tc>
        <w:tc>
          <w:tcPr>
            <w:tcW w:w="1920" w:type="dxa"/>
            <w:vAlign w:val="bottom"/>
            <w:tcBorders>
              <w:top w:val="single" w:sz="8" w:color="376DB5"/>
            </w:tcBorders>
          </w:tcPr>
          <w:p>
            <w:pPr>
              <w:spacing w:after="0"/>
              <w:rPr>
                <w:sz w:val="17"/>
                <w:szCs w:val="17"/>
                <w:color w:val="auto"/>
              </w:rPr>
            </w:pPr>
          </w:p>
        </w:tc>
        <w:tc>
          <w:tcPr>
            <w:tcW w:w="1480" w:type="dxa"/>
            <w:vAlign w:val="bottom"/>
            <w:tcBorders>
              <w:top w:val="single" w:sz="8" w:color="376DB5"/>
            </w:tcBorders>
          </w:tcPr>
          <w:p>
            <w:pPr>
              <w:spacing w:after="0"/>
              <w:rPr>
                <w:sz w:val="17"/>
                <w:szCs w:val="17"/>
                <w:color w:val="auto"/>
              </w:rPr>
            </w:pPr>
          </w:p>
        </w:tc>
      </w:tr>
      <w:tr>
        <w:trPr>
          <w:trHeight w:val="203"/>
        </w:trPr>
        <w:tc>
          <w:tcPr>
            <w:tcW w:w="1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960" w:type="dxa"/>
            <w:vAlign w:val="bottom"/>
          </w:tcPr>
          <w:p>
            <w:pPr>
              <w:jc w:val="center"/>
              <w:spacing w:after="0" w:line="202" w:lineRule="exact"/>
              <w:rPr>
                <w:sz w:val="20"/>
                <w:szCs w:val="20"/>
                <w:color w:val="auto"/>
              </w:rPr>
            </w:pPr>
            <w:r>
              <w:rPr>
                <w:rFonts w:ascii="Arial" w:cs="Arial" w:eastAsia="Arial" w:hAnsi="Arial"/>
                <w:sz w:val="18"/>
                <w:szCs w:val="18"/>
                <w:color w:val="376DB5"/>
              </w:rPr>
              <w:t>to Company</w:t>
            </w:r>
          </w:p>
        </w:tc>
        <w:tc>
          <w:tcPr>
            <w:tcW w:w="19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1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0" w:type="dxa"/>
            <w:vAlign w:val="bottom"/>
          </w:tcPr>
          <w:p>
            <w:pPr>
              <w:jc w:val="right"/>
              <w:ind w:right="150"/>
              <w:spacing w:after="0" w:line="202" w:lineRule="exact"/>
              <w:rPr>
                <w:sz w:val="20"/>
                <w:szCs w:val="20"/>
                <w:color w:val="auto"/>
              </w:rPr>
            </w:pPr>
            <w:r>
              <w:rPr>
                <w:rFonts w:ascii="Arial" w:cs="Arial" w:eastAsia="Arial" w:hAnsi="Arial"/>
                <w:sz w:val="18"/>
                <w:szCs w:val="18"/>
                <w:color w:val="376DB5"/>
              </w:rPr>
              <w:t>Target Payout</w:t>
            </w:r>
          </w:p>
        </w:tc>
        <w:tc>
          <w:tcPr>
            <w:tcW w:w="1960" w:type="dxa"/>
            <w:vAlign w:val="bottom"/>
          </w:tcPr>
          <w:p>
            <w:pPr>
              <w:jc w:val="center"/>
              <w:spacing w:after="0" w:line="202" w:lineRule="exact"/>
              <w:rPr>
                <w:sz w:val="20"/>
                <w:szCs w:val="20"/>
                <w:color w:val="auto"/>
              </w:rPr>
            </w:pPr>
            <w:r>
              <w:rPr>
                <w:rFonts w:ascii="Arial" w:cs="Arial" w:eastAsia="Arial" w:hAnsi="Arial"/>
                <w:sz w:val="18"/>
                <w:szCs w:val="18"/>
                <w:color w:val="376DB5"/>
                <w:w w:val="99"/>
              </w:rPr>
              <w:t>Performance Factor</w:t>
            </w:r>
          </w:p>
        </w:tc>
        <w:tc>
          <w:tcPr>
            <w:tcW w:w="1920" w:type="dxa"/>
            <w:vAlign w:val="bottom"/>
          </w:tcPr>
          <w:p>
            <w:pPr>
              <w:jc w:val="right"/>
              <w:ind w:right="450"/>
              <w:spacing w:after="0" w:line="202" w:lineRule="exact"/>
              <w:rPr>
                <w:sz w:val="20"/>
                <w:szCs w:val="20"/>
                <w:color w:val="auto"/>
              </w:rPr>
            </w:pPr>
            <w:r>
              <w:rPr>
                <w:rFonts w:ascii="Arial" w:cs="Arial" w:eastAsia="Arial" w:hAnsi="Arial"/>
                <w:sz w:val="18"/>
                <w:szCs w:val="18"/>
                <w:color w:val="376DB5"/>
              </w:rPr>
              <w:t>Participant</w:t>
            </w: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376DB5"/>
              </w:rPr>
              <w:t>Actual Payout</w:t>
            </w:r>
          </w:p>
        </w:tc>
      </w:tr>
      <w:tr>
        <w:trPr>
          <w:trHeight w:val="235"/>
        </w:trPr>
        <w:tc>
          <w:tcPr>
            <w:tcW w:w="3260" w:type="dxa"/>
            <w:vAlign w:val="bottom"/>
            <w:tcBorders>
              <w:bottom w:val="single" w:sz="8" w:color="376DB5"/>
            </w:tcBorders>
            <w:gridSpan w:val="2"/>
          </w:tcPr>
          <w:p>
            <w:pPr>
              <w:spacing w:after="0" w:line="235" w:lineRule="exact"/>
              <w:rPr>
                <w:sz w:val="20"/>
                <w:szCs w:val="20"/>
                <w:color w:val="auto"/>
              </w:rPr>
            </w:pPr>
            <w:r>
              <w:rPr>
                <w:rFonts w:ascii="Arial" w:cs="Arial" w:eastAsia="Arial" w:hAnsi="Arial"/>
                <w:sz w:val="18"/>
                <w:szCs w:val="18"/>
                <w:color w:val="376DB5"/>
              </w:rPr>
              <w:t>  Named Executive Officer</w:t>
            </w:r>
            <w:r>
              <w:rPr>
                <w:rFonts w:ascii="Arial" w:cs="Arial" w:eastAsia="Arial" w:hAnsi="Arial"/>
                <w:sz w:val="26"/>
                <w:szCs w:val="26"/>
                <w:color w:val="376DB5"/>
                <w:vertAlign w:val="superscript"/>
              </w:rPr>
              <w:t>(1)</w:t>
            </w:r>
          </w:p>
        </w:tc>
        <w:tc>
          <w:tcPr>
            <w:tcW w:w="2400" w:type="dxa"/>
            <w:vAlign w:val="bottom"/>
            <w:tcBorders>
              <w:bottom w:val="single" w:sz="8" w:color="376DB5"/>
            </w:tcBorders>
          </w:tcPr>
          <w:p>
            <w:pPr>
              <w:jc w:val="right"/>
              <w:ind w:right="130"/>
              <w:spacing w:after="0"/>
              <w:rPr>
                <w:sz w:val="20"/>
                <w:szCs w:val="20"/>
                <w:color w:val="auto"/>
              </w:rPr>
            </w:pPr>
            <w:r>
              <w:rPr>
                <w:rFonts w:ascii="Arial" w:cs="Arial" w:eastAsia="Arial" w:hAnsi="Arial"/>
                <w:sz w:val="18"/>
                <w:szCs w:val="18"/>
                <w:color w:val="376DB5"/>
              </w:rPr>
              <w:t>for Fiscal 2025</w:t>
            </w:r>
          </w:p>
        </w:tc>
        <w:tc>
          <w:tcPr>
            <w:tcW w:w="1960" w:type="dxa"/>
            <w:vAlign w:val="bottom"/>
            <w:tcBorders>
              <w:bottom w:val="single" w:sz="8" w:color="376DB5"/>
            </w:tcBorders>
          </w:tcPr>
          <w:p>
            <w:pPr>
              <w:jc w:val="center"/>
              <w:spacing w:after="0"/>
              <w:rPr>
                <w:sz w:val="20"/>
                <w:szCs w:val="20"/>
                <w:color w:val="auto"/>
              </w:rPr>
            </w:pPr>
            <w:r>
              <w:rPr>
                <w:rFonts w:ascii="Arial" w:cs="Arial" w:eastAsia="Arial" w:hAnsi="Arial"/>
                <w:sz w:val="18"/>
                <w:szCs w:val="18"/>
                <w:color w:val="376DB5"/>
                <w:w w:val="95"/>
              </w:rPr>
              <w:t>(113.8%)</w:t>
            </w:r>
          </w:p>
        </w:tc>
        <w:tc>
          <w:tcPr>
            <w:tcW w:w="1920" w:type="dxa"/>
            <w:vAlign w:val="bottom"/>
            <w:tcBorders>
              <w:bottom w:val="single" w:sz="8" w:color="376DB5"/>
            </w:tcBorders>
          </w:tcPr>
          <w:p>
            <w:pPr>
              <w:jc w:val="right"/>
              <w:ind w:right="90"/>
              <w:spacing w:after="0"/>
              <w:rPr>
                <w:sz w:val="20"/>
                <w:szCs w:val="20"/>
                <w:color w:val="auto"/>
              </w:rPr>
            </w:pPr>
            <w:r>
              <w:rPr>
                <w:rFonts w:ascii="Arial" w:cs="Arial" w:eastAsia="Arial" w:hAnsi="Arial"/>
                <w:sz w:val="18"/>
                <w:szCs w:val="18"/>
                <w:color w:val="376DB5"/>
              </w:rPr>
              <w:t>Performance Factor</w:t>
            </w:r>
          </w:p>
        </w:tc>
        <w:tc>
          <w:tcPr>
            <w:tcW w:w="1480" w:type="dxa"/>
            <w:vAlign w:val="bottom"/>
            <w:tcBorders>
              <w:bottom w:val="single" w:sz="8" w:color="376DB5"/>
            </w:tcBorders>
          </w:tcPr>
          <w:p>
            <w:pPr>
              <w:jc w:val="center"/>
              <w:ind w:left="10"/>
              <w:spacing w:after="0"/>
              <w:rPr>
                <w:sz w:val="20"/>
                <w:szCs w:val="20"/>
                <w:color w:val="auto"/>
              </w:rPr>
            </w:pPr>
            <w:r>
              <w:rPr>
                <w:rFonts w:ascii="Arial" w:cs="Arial" w:eastAsia="Arial" w:hAnsi="Arial"/>
                <w:sz w:val="18"/>
                <w:szCs w:val="18"/>
                <w:color w:val="376DB5"/>
                <w:w w:val="99"/>
              </w:rPr>
              <w:t>for Fiscal 2025</w:t>
            </w:r>
          </w:p>
        </w:tc>
      </w:tr>
      <w:tr>
        <w:trPr>
          <w:trHeight w:val="234"/>
        </w:trPr>
        <w:tc>
          <w:tcPr>
            <w:tcW w:w="3260" w:type="dxa"/>
            <w:vAlign w:val="bottom"/>
            <w:gridSpan w:val="2"/>
          </w:tcPr>
          <w:p>
            <w:pPr>
              <w:spacing w:after="0"/>
              <w:rPr>
                <w:sz w:val="20"/>
                <w:szCs w:val="20"/>
                <w:color w:val="auto"/>
              </w:rPr>
            </w:pPr>
            <w:r>
              <w:rPr>
                <w:rFonts w:ascii="Arial" w:cs="Arial" w:eastAsia="Arial" w:hAnsi="Arial"/>
                <w:sz w:val="18"/>
                <w:szCs w:val="18"/>
                <w:color w:val="auto"/>
              </w:rPr>
              <w:t>  William Lansing</w:t>
            </w:r>
          </w:p>
        </w:tc>
        <w:tc>
          <w:tcPr>
            <w:tcW w:w="2400" w:type="dxa"/>
            <w:vAlign w:val="bottom"/>
          </w:tcPr>
          <w:p>
            <w:pPr>
              <w:jc w:val="right"/>
              <w:ind w:right="70"/>
              <w:spacing w:after="0"/>
              <w:rPr>
                <w:sz w:val="20"/>
                <w:szCs w:val="20"/>
                <w:color w:val="auto"/>
              </w:rPr>
            </w:pPr>
            <w:r>
              <w:rPr>
                <w:rFonts w:ascii="Arial" w:cs="Arial" w:eastAsia="Arial" w:hAnsi="Arial"/>
                <w:sz w:val="18"/>
                <w:szCs w:val="18"/>
                <w:color w:val="auto"/>
              </w:rPr>
              <w:t>     $750,000   </w:t>
            </w: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 xml:space="preserve">         $ 853,200     </w:t>
            </w:r>
          </w:p>
        </w:tc>
        <w:tc>
          <w:tcPr>
            <w:tcW w:w="1920" w:type="dxa"/>
            <w:vAlign w:val="bottom"/>
          </w:tcPr>
          <w:p>
            <w:pPr>
              <w:jc w:val="right"/>
              <w:ind w:right="210"/>
              <w:spacing w:after="0"/>
              <w:rPr>
                <w:sz w:val="20"/>
                <w:szCs w:val="20"/>
                <w:color w:val="auto"/>
              </w:rPr>
            </w:pPr>
            <w:r>
              <w:rPr>
                <w:rFonts w:ascii="Arial" w:cs="Arial" w:eastAsia="Arial" w:hAnsi="Arial"/>
                <w:sz w:val="18"/>
                <w:szCs w:val="18"/>
                <w:color w:val="auto"/>
              </w:rPr>
              <w:t>129% </w:t>
            </w:r>
          </w:p>
        </w:tc>
        <w:tc>
          <w:tcPr>
            <w:tcW w:w="1480" w:type="dxa"/>
            <w:vAlign w:val="bottom"/>
          </w:tcPr>
          <w:p>
            <w:pPr>
              <w:jc w:val="center"/>
              <w:ind w:left="90"/>
              <w:spacing w:after="0"/>
              <w:rPr>
                <w:sz w:val="20"/>
                <w:szCs w:val="20"/>
                <w:color w:val="auto"/>
              </w:rPr>
            </w:pPr>
            <w:r>
              <w:rPr>
                <w:rFonts w:ascii="Arial" w:cs="Arial" w:eastAsia="Arial" w:hAnsi="Arial"/>
                <w:sz w:val="18"/>
                <w:szCs w:val="18"/>
                <w:color w:val="auto"/>
                <w:w w:val="99"/>
              </w:rPr>
              <w:t>$1,100,000</w:t>
            </w:r>
          </w:p>
        </w:tc>
      </w:tr>
      <w:tr>
        <w:trPr>
          <w:trHeight w:val="245"/>
        </w:trPr>
        <w:tc>
          <w:tcPr>
            <w:tcW w:w="3260" w:type="dxa"/>
            <w:vAlign w:val="bottom"/>
            <w:gridSpan w:val="2"/>
            <w:shd w:val="clear" w:color="auto" w:fill="F2F2F2"/>
          </w:tcPr>
          <w:p>
            <w:pPr>
              <w:spacing w:after="0"/>
              <w:rPr>
                <w:sz w:val="20"/>
                <w:szCs w:val="20"/>
                <w:color w:val="auto"/>
              </w:rPr>
            </w:pPr>
            <w:r>
              <w:rPr>
                <w:rFonts w:ascii="Arial" w:cs="Arial" w:eastAsia="Arial" w:hAnsi="Arial"/>
                <w:sz w:val="18"/>
                <w:szCs w:val="18"/>
                <w:color w:val="auto"/>
              </w:rPr>
              <w:t>  Steven Weber</w:t>
            </w:r>
          </w:p>
        </w:tc>
        <w:tc>
          <w:tcPr>
            <w:tcW w:w="240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$200,000   </w:t>
            </w:r>
          </w:p>
        </w:tc>
        <w:tc>
          <w:tcPr>
            <w:tcW w:w="196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 xml:space="preserve">$ 227,500     </w:t>
            </w:r>
          </w:p>
        </w:tc>
        <w:tc>
          <w:tcPr>
            <w:tcW w:w="1920" w:type="dxa"/>
            <w:vAlign w:val="bottom"/>
            <w:shd w:val="clear" w:color="auto" w:fill="F2F2F2"/>
          </w:tcPr>
          <w:p>
            <w:pPr>
              <w:jc w:val="right"/>
              <w:ind w:right="210"/>
              <w:spacing w:after="0"/>
              <w:rPr>
                <w:sz w:val="20"/>
                <w:szCs w:val="20"/>
                <w:color w:val="auto"/>
              </w:rPr>
            </w:pPr>
            <w:r>
              <w:rPr>
                <w:rFonts w:ascii="Arial" w:cs="Arial" w:eastAsia="Arial" w:hAnsi="Arial"/>
                <w:sz w:val="18"/>
                <w:szCs w:val="18"/>
                <w:color w:val="auto"/>
              </w:rPr>
              <w:t>110% </w:t>
            </w:r>
          </w:p>
        </w:tc>
        <w:tc>
          <w:tcPr>
            <w:tcW w:w="1480" w:type="dxa"/>
            <w:vAlign w:val="bottom"/>
            <w:shd w:val="clear" w:color="auto" w:fill="F2F2F2"/>
          </w:tcPr>
          <w:p>
            <w:pPr>
              <w:jc w:val="center"/>
              <w:ind w:left="90"/>
              <w:spacing w:after="0"/>
              <w:rPr>
                <w:sz w:val="20"/>
                <w:szCs w:val="20"/>
                <w:color w:val="auto"/>
              </w:rPr>
            </w:pPr>
            <w:r>
              <w:rPr>
                <w:rFonts w:ascii="Arial" w:cs="Arial" w:eastAsia="Arial" w:hAnsi="Arial"/>
                <w:sz w:val="18"/>
                <w:szCs w:val="18"/>
                <w:color w:val="auto"/>
                <w:w w:val="98"/>
              </w:rPr>
              <w:t>$250,000</w:t>
            </w:r>
          </w:p>
        </w:tc>
      </w:tr>
      <w:tr>
        <w:trPr>
          <w:trHeight w:val="241"/>
        </w:trPr>
        <w:tc>
          <w:tcPr>
            <w:tcW w:w="3260" w:type="dxa"/>
            <w:vAlign w:val="bottom"/>
            <w:gridSpan w:val="2"/>
          </w:tcPr>
          <w:p>
            <w:pPr>
              <w:spacing w:after="0"/>
              <w:rPr>
                <w:sz w:val="20"/>
                <w:szCs w:val="20"/>
                <w:color w:val="auto"/>
              </w:rPr>
            </w:pPr>
            <w:r>
              <w:rPr>
                <w:rFonts w:ascii="Arial" w:cs="Arial" w:eastAsia="Arial" w:hAnsi="Arial"/>
                <w:sz w:val="18"/>
                <w:szCs w:val="18"/>
                <w:color w:val="auto"/>
              </w:rPr>
              <w:t>  Nikhil Behl</w:t>
            </w:r>
          </w:p>
        </w:tc>
        <w:tc>
          <w:tcPr>
            <w:tcW w:w="2400" w:type="dxa"/>
            <w:vAlign w:val="bottom"/>
          </w:tcPr>
          <w:p>
            <w:pPr>
              <w:jc w:val="right"/>
              <w:ind w:right="70"/>
              <w:spacing w:after="0"/>
              <w:rPr>
                <w:sz w:val="20"/>
                <w:szCs w:val="20"/>
                <w:color w:val="auto"/>
              </w:rPr>
            </w:pPr>
            <w:r>
              <w:rPr>
                <w:rFonts w:ascii="Arial" w:cs="Arial" w:eastAsia="Arial" w:hAnsi="Arial"/>
                <w:sz w:val="18"/>
                <w:szCs w:val="18"/>
                <w:color w:val="auto"/>
              </w:rPr>
              <w:t>$250,000   </w:t>
            </w: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 xml:space="preserve">$ 284,400     </w:t>
            </w:r>
          </w:p>
        </w:tc>
        <w:tc>
          <w:tcPr>
            <w:tcW w:w="1920" w:type="dxa"/>
            <w:vAlign w:val="bottom"/>
          </w:tcPr>
          <w:p>
            <w:pPr>
              <w:jc w:val="right"/>
              <w:ind w:right="210"/>
              <w:spacing w:after="0"/>
              <w:rPr>
                <w:sz w:val="20"/>
                <w:szCs w:val="20"/>
                <w:color w:val="auto"/>
              </w:rPr>
            </w:pPr>
            <w:r>
              <w:rPr>
                <w:rFonts w:ascii="Arial" w:cs="Arial" w:eastAsia="Arial" w:hAnsi="Arial"/>
                <w:sz w:val="18"/>
                <w:szCs w:val="18"/>
                <w:color w:val="auto"/>
              </w:rPr>
              <w:t>123% </w:t>
            </w:r>
          </w:p>
        </w:tc>
        <w:tc>
          <w:tcPr>
            <w:tcW w:w="1480" w:type="dxa"/>
            <w:vAlign w:val="bottom"/>
          </w:tcPr>
          <w:p>
            <w:pPr>
              <w:jc w:val="center"/>
              <w:ind w:left="90"/>
              <w:spacing w:after="0"/>
              <w:rPr>
                <w:sz w:val="20"/>
                <w:szCs w:val="20"/>
                <w:color w:val="auto"/>
              </w:rPr>
            </w:pPr>
            <w:r>
              <w:rPr>
                <w:rFonts w:ascii="Arial" w:cs="Arial" w:eastAsia="Arial" w:hAnsi="Arial"/>
                <w:sz w:val="18"/>
                <w:szCs w:val="18"/>
                <w:color w:val="auto"/>
                <w:w w:val="98"/>
              </w:rPr>
              <w:t>$350,000</w:t>
            </w:r>
          </w:p>
        </w:tc>
      </w:tr>
      <w:tr>
        <w:trPr>
          <w:trHeight w:val="245"/>
        </w:trPr>
        <w:tc>
          <w:tcPr>
            <w:tcW w:w="3260" w:type="dxa"/>
            <w:vAlign w:val="bottom"/>
            <w:gridSpan w:val="2"/>
            <w:shd w:val="clear" w:color="auto" w:fill="F2F2F2"/>
          </w:tcPr>
          <w:p>
            <w:pPr>
              <w:spacing w:after="0"/>
              <w:rPr>
                <w:sz w:val="20"/>
                <w:szCs w:val="20"/>
                <w:color w:val="auto"/>
              </w:rPr>
            </w:pPr>
            <w:r>
              <w:rPr>
                <w:rFonts w:ascii="Arial" w:cs="Arial" w:eastAsia="Arial" w:hAnsi="Arial"/>
                <w:sz w:val="18"/>
                <w:szCs w:val="18"/>
                <w:color w:val="auto"/>
              </w:rPr>
              <w:t>  Richard Deal</w:t>
            </w:r>
          </w:p>
        </w:tc>
        <w:tc>
          <w:tcPr>
            <w:tcW w:w="240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$200,000   </w:t>
            </w:r>
          </w:p>
        </w:tc>
        <w:tc>
          <w:tcPr>
            <w:tcW w:w="196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 xml:space="preserve">$ 227,500     </w:t>
            </w:r>
          </w:p>
        </w:tc>
        <w:tc>
          <w:tcPr>
            <w:tcW w:w="1920" w:type="dxa"/>
            <w:vAlign w:val="bottom"/>
            <w:shd w:val="clear" w:color="auto" w:fill="F2F2F2"/>
          </w:tcPr>
          <w:p>
            <w:pPr>
              <w:jc w:val="right"/>
              <w:ind w:right="210"/>
              <w:spacing w:after="0"/>
              <w:rPr>
                <w:sz w:val="20"/>
                <w:szCs w:val="20"/>
                <w:color w:val="auto"/>
              </w:rPr>
            </w:pPr>
            <w:r>
              <w:rPr>
                <w:rFonts w:ascii="Arial" w:cs="Arial" w:eastAsia="Arial" w:hAnsi="Arial"/>
                <w:sz w:val="18"/>
                <w:szCs w:val="18"/>
                <w:color w:val="auto"/>
              </w:rPr>
              <w:t>110% </w:t>
            </w:r>
          </w:p>
        </w:tc>
        <w:tc>
          <w:tcPr>
            <w:tcW w:w="1480" w:type="dxa"/>
            <w:vAlign w:val="bottom"/>
            <w:shd w:val="clear" w:color="auto" w:fill="F2F2F2"/>
          </w:tcPr>
          <w:p>
            <w:pPr>
              <w:jc w:val="center"/>
              <w:ind w:left="90"/>
              <w:spacing w:after="0"/>
              <w:rPr>
                <w:sz w:val="20"/>
                <w:szCs w:val="20"/>
                <w:color w:val="auto"/>
              </w:rPr>
            </w:pPr>
            <w:r>
              <w:rPr>
                <w:rFonts w:ascii="Arial" w:cs="Arial" w:eastAsia="Arial" w:hAnsi="Arial"/>
                <w:sz w:val="18"/>
                <w:szCs w:val="18"/>
                <w:color w:val="auto"/>
                <w:w w:val="98"/>
              </w:rPr>
              <w:t>$250,000</w:t>
            </w:r>
          </w:p>
        </w:tc>
      </w:tr>
      <w:tr>
        <w:trPr>
          <w:trHeight w:val="241"/>
        </w:trPr>
        <w:tc>
          <w:tcPr>
            <w:tcW w:w="3260" w:type="dxa"/>
            <w:vAlign w:val="bottom"/>
            <w:tcBorders>
              <w:bottom w:val="single" w:sz="8" w:color="376DB5"/>
            </w:tcBorders>
            <w:gridSpan w:val="2"/>
          </w:tcPr>
          <w:p>
            <w:pPr>
              <w:spacing w:after="0"/>
              <w:rPr>
                <w:sz w:val="20"/>
                <w:szCs w:val="20"/>
                <w:color w:val="auto"/>
              </w:rPr>
            </w:pPr>
            <w:r>
              <w:rPr>
                <w:rFonts w:ascii="Arial" w:cs="Arial" w:eastAsia="Arial" w:hAnsi="Arial"/>
                <w:sz w:val="18"/>
                <w:szCs w:val="18"/>
                <w:color w:val="auto"/>
              </w:rPr>
              <w:t>  Mark Scadina</w:t>
            </w:r>
          </w:p>
        </w:tc>
        <w:tc>
          <w:tcPr>
            <w:tcW w:w="2400" w:type="dxa"/>
            <w:vAlign w:val="bottom"/>
            <w:tcBorders>
              <w:bottom w:val="single" w:sz="8" w:color="376DB5"/>
            </w:tcBorders>
          </w:tcPr>
          <w:p>
            <w:pPr>
              <w:jc w:val="right"/>
              <w:ind w:right="70"/>
              <w:spacing w:after="0"/>
              <w:rPr>
                <w:sz w:val="20"/>
                <w:szCs w:val="20"/>
                <w:color w:val="auto"/>
              </w:rPr>
            </w:pPr>
            <w:r>
              <w:rPr>
                <w:rFonts w:ascii="Arial" w:cs="Arial" w:eastAsia="Arial" w:hAnsi="Arial"/>
                <w:sz w:val="18"/>
                <w:szCs w:val="18"/>
                <w:color w:val="auto"/>
              </w:rPr>
              <w:t>$200,000   </w:t>
            </w:r>
          </w:p>
        </w:tc>
        <w:tc>
          <w:tcPr>
            <w:tcW w:w="1960" w:type="dxa"/>
            <w:vAlign w:val="bottom"/>
            <w:tcBorders>
              <w:bottom w:val="single" w:sz="8" w:color="376DB5"/>
            </w:tcBorders>
          </w:tcPr>
          <w:p>
            <w:pPr>
              <w:jc w:val="right"/>
              <w:ind w:right="70"/>
              <w:spacing w:after="0"/>
              <w:rPr>
                <w:sz w:val="20"/>
                <w:szCs w:val="20"/>
                <w:color w:val="auto"/>
              </w:rPr>
            </w:pPr>
            <w:r>
              <w:rPr>
                <w:rFonts w:ascii="Arial" w:cs="Arial" w:eastAsia="Arial" w:hAnsi="Arial"/>
                <w:sz w:val="18"/>
                <w:szCs w:val="18"/>
                <w:color w:val="auto"/>
              </w:rPr>
              <w:t xml:space="preserve">$ 227,500     </w:t>
            </w:r>
          </w:p>
        </w:tc>
        <w:tc>
          <w:tcPr>
            <w:tcW w:w="1920" w:type="dxa"/>
            <w:vAlign w:val="bottom"/>
            <w:tcBorders>
              <w:bottom w:val="single" w:sz="8" w:color="376DB5"/>
            </w:tcBorders>
          </w:tcPr>
          <w:p>
            <w:pPr>
              <w:jc w:val="right"/>
              <w:ind w:right="210"/>
              <w:spacing w:after="0"/>
              <w:rPr>
                <w:sz w:val="20"/>
                <w:szCs w:val="20"/>
                <w:color w:val="auto"/>
              </w:rPr>
            </w:pPr>
            <w:r>
              <w:rPr>
                <w:rFonts w:ascii="Arial" w:cs="Arial" w:eastAsia="Arial" w:hAnsi="Arial"/>
                <w:sz w:val="18"/>
                <w:szCs w:val="18"/>
                <w:color w:val="auto"/>
              </w:rPr>
              <w:t>121% </w:t>
            </w:r>
          </w:p>
        </w:tc>
        <w:tc>
          <w:tcPr>
            <w:tcW w:w="1480" w:type="dxa"/>
            <w:vAlign w:val="bottom"/>
            <w:tcBorders>
              <w:bottom w:val="single" w:sz="8" w:color="376DB5"/>
            </w:tcBorders>
          </w:tcPr>
          <w:p>
            <w:pPr>
              <w:jc w:val="center"/>
              <w:ind w:left="90"/>
              <w:spacing w:after="0"/>
              <w:rPr>
                <w:sz w:val="20"/>
                <w:szCs w:val="20"/>
                <w:color w:val="auto"/>
              </w:rPr>
            </w:pPr>
            <w:r>
              <w:rPr>
                <w:rFonts w:ascii="Arial" w:cs="Arial" w:eastAsia="Arial" w:hAnsi="Arial"/>
                <w:sz w:val="18"/>
                <w:szCs w:val="18"/>
                <w:color w:val="auto"/>
                <w:w w:val="98"/>
              </w:rPr>
              <w:t>$275,000</w:t>
            </w:r>
          </w:p>
        </w:tc>
      </w:tr>
      <w:tr>
        <w:trPr>
          <w:trHeight w:val="131"/>
        </w:trPr>
        <w:tc>
          <w:tcPr>
            <w:tcW w:w="1760" w:type="dxa"/>
            <w:vAlign w:val="bottom"/>
            <w:tcBorders>
              <w:bottom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80" w:type="dxa"/>
            <w:vAlign w:val="bottom"/>
          </w:tcPr>
          <w:p>
            <w:pPr>
              <w:spacing w:after="0"/>
              <w:rPr>
                <w:sz w:val="11"/>
                <w:szCs w:val="11"/>
                <w:color w:val="auto"/>
              </w:rPr>
            </w:pPr>
          </w:p>
        </w:tc>
      </w:tr>
    </w:tbl>
    <w:p>
      <w:pPr>
        <w:spacing w:after="0" w:line="59" w:lineRule="exact"/>
        <w:rPr>
          <w:sz w:val="20"/>
          <w:szCs w:val="20"/>
          <w:color w:val="auto"/>
        </w:rPr>
      </w:pPr>
    </w:p>
    <w:p>
      <w:pPr>
        <w:ind w:left="280" w:hanging="164"/>
        <w:spacing w:after="0"/>
        <w:tabs>
          <w:tab w:leader="none" w:pos="280" w:val="left"/>
        </w:tabs>
        <w:numPr>
          <w:ilvl w:val="0"/>
          <w:numId w:val="43"/>
        </w:numPr>
        <w:rPr>
          <w:rFonts w:ascii="Arial" w:cs="Arial" w:eastAsia="Arial" w:hAnsi="Arial"/>
          <w:sz w:val="20"/>
          <w:szCs w:val="20"/>
          <w:color w:val="auto"/>
          <w:vertAlign w:val="superscript"/>
        </w:rPr>
      </w:pPr>
      <w:r>
        <w:rPr>
          <w:rFonts w:ascii="Arial" w:cs="Arial" w:eastAsia="Arial" w:hAnsi="Arial"/>
          <w:sz w:val="14"/>
          <w:szCs w:val="14"/>
          <w:color w:val="auto"/>
        </w:rPr>
        <w:t>Mr. Wehmann retired from the Company prior to the end of fiscal 2025, and therefore was not eligible for a payout under the EIP for fiscal 2025 performance.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Long-Term Equity Incentives in Fiscal 2025</w:t>
      </w:r>
    </w:p>
    <w:p>
      <w:pPr>
        <w:spacing w:after="0" w:line="212"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Long-term equity incentive awards drive achievement of the Company’s financial targets while linking compensation to the market value of its common stock. The LDCC emphasizes long-term equity incentives in our executive compensation program to help ensure strong alignment with our stockholders over time.</w:t>
      </w:r>
    </w:p>
    <w:p>
      <w:pPr>
        <w:spacing w:after="0" w:line="169"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To strongly align the interests of our executive officers and stockholders, we place two-thirds of the annual long-term incentive value on performance-based vehicles in the form of PSUs and MSUs, considerably higher than the 52% average for our peer group. The target value of each type of equity award granted as part of the fiscal 2025 annual long-term incentive award to our named executive officers is as follows: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1760" w:type="dxa"/>
            <w:vAlign w:val="bottom"/>
            <w:tcBorders>
              <w:top w:val="single" w:sz="8" w:color="376DB5"/>
            </w:tcBorders>
          </w:tcPr>
          <w:p>
            <w:pPr>
              <w:spacing w:after="0"/>
              <w:rPr>
                <w:sz w:val="17"/>
                <w:szCs w:val="17"/>
                <w:color w:val="auto"/>
              </w:rPr>
            </w:pPr>
          </w:p>
        </w:tc>
        <w:tc>
          <w:tcPr>
            <w:tcW w:w="1260" w:type="dxa"/>
            <w:vAlign w:val="bottom"/>
            <w:tcBorders>
              <w:top w:val="single" w:sz="8" w:color="376DB5"/>
            </w:tcBorders>
          </w:tcPr>
          <w:p>
            <w:pPr>
              <w:spacing w:after="0"/>
              <w:rPr>
                <w:sz w:val="17"/>
                <w:szCs w:val="17"/>
                <w:color w:val="auto"/>
              </w:rPr>
            </w:pPr>
          </w:p>
        </w:tc>
        <w:tc>
          <w:tcPr>
            <w:tcW w:w="2320" w:type="dxa"/>
            <w:vAlign w:val="bottom"/>
            <w:tcBorders>
              <w:top w:val="single" w:sz="8" w:color="376DB5"/>
            </w:tcBorders>
          </w:tcPr>
          <w:p>
            <w:pPr>
              <w:ind w:left="940"/>
              <w:spacing w:after="0" w:line="197" w:lineRule="exact"/>
              <w:rPr>
                <w:sz w:val="20"/>
                <w:szCs w:val="20"/>
                <w:color w:val="auto"/>
              </w:rPr>
            </w:pPr>
            <w:r>
              <w:rPr>
                <w:rFonts w:ascii="Arial" w:cs="Arial" w:eastAsia="Arial" w:hAnsi="Arial"/>
                <w:sz w:val="18"/>
                <w:szCs w:val="18"/>
                <w:color w:val="376DB5"/>
              </w:rPr>
              <w:t>Annual PSUs</w:t>
            </w:r>
          </w:p>
        </w:tc>
        <w:tc>
          <w:tcPr>
            <w:tcW w:w="2420" w:type="dxa"/>
            <w:vAlign w:val="bottom"/>
            <w:tcBorders>
              <w:top w:val="single" w:sz="8" w:color="376DB5"/>
            </w:tcBorders>
          </w:tcPr>
          <w:p>
            <w:pPr>
              <w:ind w:left="180"/>
              <w:spacing w:after="0" w:line="197" w:lineRule="exact"/>
              <w:rPr>
                <w:sz w:val="20"/>
                <w:szCs w:val="20"/>
                <w:color w:val="auto"/>
              </w:rPr>
            </w:pPr>
            <w:r>
              <w:rPr>
                <w:rFonts w:ascii="Arial" w:cs="Arial" w:eastAsia="Arial" w:hAnsi="Arial"/>
                <w:sz w:val="18"/>
                <w:szCs w:val="18"/>
                <w:color w:val="376DB5"/>
              </w:rPr>
              <w:t>Annual MSUs</w:t>
            </w:r>
          </w:p>
        </w:tc>
        <w:tc>
          <w:tcPr>
            <w:tcW w:w="1860" w:type="dxa"/>
            <w:vAlign w:val="bottom"/>
            <w:tcBorders>
              <w:top w:val="single" w:sz="8" w:color="376DB5"/>
            </w:tcBorders>
          </w:tcPr>
          <w:p>
            <w:pPr>
              <w:ind w:left="440"/>
              <w:spacing w:after="0" w:line="197" w:lineRule="exact"/>
              <w:rPr>
                <w:sz w:val="20"/>
                <w:szCs w:val="20"/>
                <w:color w:val="auto"/>
              </w:rPr>
            </w:pPr>
            <w:r>
              <w:rPr>
                <w:rFonts w:ascii="Arial" w:cs="Arial" w:eastAsia="Arial" w:hAnsi="Arial"/>
                <w:sz w:val="18"/>
                <w:szCs w:val="18"/>
                <w:color w:val="376DB5"/>
              </w:rPr>
              <w:t>Annual RSUs</w:t>
            </w:r>
          </w:p>
        </w:tc>
        <w:tc>
          <w:tcPr>
            <w:tcW w:w="1400" w:type="dxa"/>
            <w:vAlign w:val="bottom"/>
            <w:tcBorders>
              <w:top w:val="single" w:sz="8" w:color="376DB5"/>
            </w:tcBorders>
          </w:tcPr>
          <w:p>
            <w:pPr>
              <w:spacing w:after="0"/>
              <w:rPr>
                <w:sz w:val="17"/>
                <w:szCs w:val="17"/>
                <w:color w:val="auto"/>
              </w:rPr>
            </w:pPr>
          </w:p>
        </w:tc>
      </w:tr>
      <w:tr>
        <w:trPr>
          <w:trHeight w:val="235"/>
        </w:trPr>
        <w:tc>
          <w:tcPr>
            <w:tcW w:w="3020" w:type="dxa"/>
            <w:vAlign w:val="bottom"/>
            <w:tcBorders>
              <w:bottom w:val="single" w:sz="8" w:color="376DB5"/>
            </w:tcBorders>
            <w:gridSpan w:val="2"/>
          </w:tcPr>
          <w:p>
            <w:pPr>
              <w:spacing w:after="0"/>
              <w:rPr>
                <w:sz w:val="20"/>
                <w:szCs w:val="20"/>
                <w:color w:val="auto"/>
              </w:rPr>
            </w:pPr>
            <w:r>
              <w:rPr>
                <w:rFonts w:ascii="Arial" w:cs="Arial" w:eastAsia="Arial" w:hAnsi="Arial"/>
                <w:sz w:val="18"/>
                <w:szCs w:val="18"/>
                <w:color w:val="376DB5"/>
              </w:rPr>
              <w:t>  Named Executive Officer</w:t>
            </w:r>
          </w:p>
        </w:tc>
        <w:tc>
          <w:tcPr>
            <w:tcW w:w="2320" w:type="dxa"/>
            <w:vAlign w:val="bottom"/>
            <w:tcBorders>
              <w:bottom w:val="single" w:sz="8" w:color="376DB5"/>
            </w:tcBorders>
          </w:tcPr>
          <w:p>
            <w:pPr>
              <w:ind w:left="940"/>
              <w:spacing w:after="0"/>
              <w:rPr>
                <w:sz w:val="20"/>
                <w:szCs w:val="20"/>
                <w:color w:val="auto"/>
              </w:rPr>
            </w:pPr>
            <w:r>
              <w:rPr>
                <w:rFonts w:ascii="Arial" w:cs="Arial" w:eastAsia="Arial" w:hAnsi="Arial"/>
                <w:sz w:val="18"/>
                <w:szCs w:val="18"/>
                <w:color w:val="376DB5"/>
              </w:rPr>
              <w:t>       33%</w:t>
            </w:r>
          </w:p>
        </w:tc>
        <w:tc>
          <w:tcPr>
            <w:tcW w:w="2420" w:type="dxa"/>
            <w:vAlign w:val="bottom"/>
            <w:tcBorders>
              <w:bottom w:val="single" w:sz="8" w:color="376DB5"/>
            </w:tcBorders>
          </w:tcPr>
          <w:p>
            <w:pPr>
              <w:ind w:left="180"/>
              <w:spacing w:after="0"/>
              <w:rPr>
                <w:sz w:val="20"/>
                <w:szCs w:val="20"/>
                <w:color w:val="auto"/>
              </w:rPr>
            </w:pPr>
            <w:r>
              <w:rPr>
                <w:rFonts w:ascii="Arial" w:cs="Arial" w:eastAsia="Arial" w:hAnsi="Arial"/>
                <w:sz w:val="18"/>
                <w:szCs w:val="18"/>
                <w:color w:val="376DB5"/>
              </w:rPr>
              <w:t>       33%</w:t>
            </w:r>
          </w:p>
        </w:tc>
        <w:tc>
          <w:tcPr>
            <w:tcW w:w="1860" w:type="dxa"/>
            <w:vAlign w:val="bottom"/>
            <w:tcBorders>
              <w:bottom w:val="single" w:sz="8" w:color="376DB5"/>
            </w:tcBorders>
          </w:tcPr>
          <w:p>
            <w:pPr>
              <w:ind w:left="440"/>
              <w:spacing w:after="0"/>
              <w:rPr>
                <w:sz w:val="20"/>
                <w:szCs w:val="20"/>
                <w:color w:val="auto"/>
              </w:rPr>
            </w:pPr>
            <w:r>
              <w:rPr>
                <w:rFonts w:ascii="Arial" w:cs="Arial" w:eastAsia="Arial" w:hAnsi="Arial"/>
                <w:sz w:val="18"/>
                <w:szCs w:val="18"/>
                <w:color w:val="376DB5"/>
              </w:rPr>
              <w:t>       33%</w:t>
            </w:r>
          </w:p>
        </w:tc>
        <w:tc>
          <w:tcPr>
            <w:tcW w:w="1400" w:type="dxa"/>
            <w:vAlign w:val="bottom"/>
            <w:tcBorders>
              <w:bottom w:val="single" w:sz="8" w:color="376DB5"/>
            </w:tcBorders>
          </w:tcPr>
          <w:p>
            <w:pPr>
              <w:ind w:left="500"/>
              <w:spacing w:after="0" w:line="235" w:lineRule="exact"/>
              <w:rPr>
                <w:sz w:val="20"/>
                <w:szCs w:val="20"/>
                <w:color w:val="auto"/>
              </w:rPr>
            </w:pPr>
            <w:r>
              <w:rPr>
                <w:rFonts w:ascii="Arial" w:cs="Arial" w:eastAsia="Arial" w:hAnsi="Arial"/>
                <w:sz w:val="18"/>
                <w:szCs w:val="18"/>
                <w:color w:val="376DB5"/>
              </w:rPr>
              <w:t>Total</w:t>
            </w:r>
            <w:r>
              <w:rPr>
                <w:rFonts w:ascii="Arial" w:cs="Arial" w:eastAsia="Arial" w:hAnsi="Arial"/>
                <w:sz w:val="26"/>
                <w:szCs w:val="26"/>
                <w:color w:val="376DB5"/>
                <w:vertAlign w:val="superscript"/>
              </w:rPr>
              <w:t>(1)</w:t>
            </w:r>
          </w:p>
        </w:tc>
      </w:tr>
      <w:tr>
        <w:trPr>
          <w:trHeight w:val="234"/>
        </w:trPr>
        <w:tc>
          <w:tcPr>
            <w:tcW w:w="3020" w:type="dxa"/>
            <w:vAlign w:val="bottom"/>
            <w:gridSpan w:val="2"/>
          </w:tcPr>
          <w:p>
            <w:pPr>
              <w:spacing w:after="0"/>
              <w:rPr>
                <w:sz w:val="20"/>
                <w:szCs w:val="20"/>
                <w:color w:val="auto"/>
              </w:rPr>
            </w:pPr>
            <w:r>
              <w:rPr>
                <w:rFonts w:ascii="Arial" w:cs="Arial" w:eastAsia="Arial" w:hAnsi="Arial"/>
                <w:sz w:val="18"/>
                <w:szCs w:val="18"/>
                <w:color w:val="auto"/>
              </w:rPr>
              <w:t>  William Lansing</w:t>
            </w:r>
          </w:p>
        </w:tc>
        <w:tc>
          <w:tcPr>
            <w:tcW w:w="2320" w:type="dxa"/>
            <w:vAlign w:val="bottom"/>
          </w:tcPr>
          <w:p>
            <w:pPr>
              <w:jc w:val="right"/>
              <w:ind w:right="70"/>
              <w:spacing w:after="0"/>
              <w:rPr>
                <w:sz w:val="20"/>
                <w:szCs w:val="20"/>
                <w:color w:val="auto"/>
              </w:rPr>
            </w:pPr>
            <w:r>
              <w:rPr>
                <w:rFonts w:ascii="Arial" w:cs="Arial" w:eastAsia="Arial" w:hAnsi="Arial"/>
                <w:sz w:val="18"/>
                <w:szCs w:val="18"/>
                <w:color w:val="auto"/>
              </w:rPr>
              <w:t>   $10,000,000</w:t>
            </w:r>
          </w:p>
        </w:tc>
        <w:tc>
          <w:tcPr>
            <w:tcW w:w="2420" w:type="dxa"/>
            <w:vAlign w:val="bottom"/>
          </w:tcPr>
          <w:p>
            <w:pPr>
              <w:jc w:val="right"/>
              <w:ind w:right="370"/>
              <w:spacing w:after="0"/>
              <w:rPr>
                <w:sz w:val="20"/>
                <w:szCs w:val="20"/>
                <w:color w:val="auto"/>
              </w:rPr>
            </w:pPr>
            <w:r>
              <w:rPr>
                <w:rFonts w:ascii="Arial" w:cs="Arial" w:eastAsia="Arial" w:hAnsi="Arial"/>
                <w:sz w:val="18"/>
                <w:szCs w:val="18"/>
                <w:color w:val="auto"/>
              </w:rPr>
              <w:t>   $10,000,000</w:t>
            </w:r>
          </w:p>
        </w:tc>
        <w:tc>
          <w:tcPr>
            <w:tcW w:w="1860" w:type="dxa"/>
            <w:vAlign w:val="bottom"/>
          </w:tcPr>
          <w:p>
            <w:pPr>
              <w:jc w:val="right"/>
              <w:ind w:right="110"/>
              <w:spacing w:after="0"/>
              <w:rPr>
                <w:sz w:val="20"/>
                <w:szCs w:val="20"/>
                <w:color w:val="auto"/>
              </w:rPr>
            </w:pPr>
            <w:r>
              <w:rPr>
                <w:rFonts w:ascii="Arial" w:cs="Arial" w:eastAsia="Arial" w:hAnsi="Arial"/>
                <w:sz w:val="18"/>
                <w:szCs w:val="18"/>
                <w:color w:val="auto"/>
              </w:rPr>
              <w:t>   $10,000,000</w:t>
            </w:r>
          </w:p>
        </w:tc>
        <w:tc>
          <w:tcPr>
            <w:tcW w:w="1400" w:type="dxa"/>
            <w:vAlign w:val="bottom"/>
          </w:tcPr>
          <w:p>
            <w:pPr>
              <w:ind w:left="200"/>
              <w:spacing w:after="0"/>
              <w:rPr>
                <w:sz w:val="20"/>
                <w:szCs w:val="20"/>
                <w:color w:val="auto"/>
              </w:rPr>
            </w:pPr>
            <w:r>
              <w:rPr>
                <w:rFonts w:ascii="Arial" w:cs="Arial" w:eastAsia="Arial" w:hAnsi="Arial"/>
                <w:sz w:val="18"/>
                <w:szCs w:val="18"/>
                <w:color w:val="auto"/>
                <w:w w:val="99"/>
              </w:rPr>
              <w:t>   $30,000,000</w:t>
            </w:r>
          </w:p>
        </w:tc>
      </w:tr>
      <w:tr>
        <w:trPr>
          <w:trHeight w:val="245"/>
        </w:trPr>
        <w:tc>
          <w:tcPr>
            <w:tcW w:w="3020" w:type="dxa"/>
            <w:vAlign w:val="bottom"/>
            <w:gridSpan w:val="2"/>
            <w:shd w:val="clear" w:color="auto" w:fill="F2F2F2"/>
          </w:tcPr>
          <w:p>
            <w:pPr>
              <w:spacing w:after="0"/>
              <w:rPr>
                <w:sz w:val="20"/>
                <w:szCs w:val="20"/>
                <w:color w:val="auto"/>
              </w:rPr>
            </w:pPr>
            <w:r>
              <w:rPr>
                <w:rFonts w:ascii="Arial" w:cs="Arial" w:eastAsia="Arial" w:hAnsi="Arial"/>
                <w:sz w:val="18"/>
                <w:szCs w:val="18"/>
                <w:color w:val="auto"/>
              </w:rPr>
              <w:t>  Steven Weber</w:t>
            </w:r>
          </w:p>
        </w:tc>
        <w:tc>
          <w:tcPr>
            <w:tcW w:w="232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  $1,833,333</w:t>
            </w:r>
          </w:p>
        </w:tc>
        <w:tc>
          <w:tcPr>
            <w:tcW w:w="2420" w:type="dxa"/>
            <w:vAlign w:val="bottom"/>
            <w:shd w:val="clear" w:color="auto" w:fill="F2F2F2"/>
          </w:tcPr>
          <w:p>
            <w:pPr>
              <w:jc w:val="right"/>
              <w:ind w:right="370"/>
              <w:spacing w:after="0"/>
              <w:rPr>
                <w:sz w:val="20"/>
                <w:szCs w:val="20"/>
                <w:color w:val="auto"/>
              </w:rPr>
            </w:pPr>
            <w:r>
              <w:rPr>
                <w:rFonts w:ascii="Arial" w:cs="Arial" w:eastAsia="Arial" w:hAnsi="Arial"/>
                <w:sz w:val="18"/>
                <w:szCs w:val="18"/>
                <w:color w:val="auto"/>
              </w:rPr>
              <w:t>  $1,833,333</w:t>
            </w:r>
          </w:p>
        </w:tc>
        <w:tc>
          <w:tcPr>
            <w:tcW w:w="1860" w:type="dxa"/>
            <w:vAlign w:val="bottom"/>
            <w:shd w:val="clear" w:color="auto" w:fill="F2F2F2"/>
          </w:tcPr>
          <w:p>
            <w:pPr>
              <w:jc w:val="right"/>
              <w:ind w:right="110"/>
              <w:spacing w:after="0"/>
              <w:rPr>
                <w:sz w:val="20"/>
                <w:szCs w:val="20"/>
                <w:color w:val="auto"/>
              </w:rPr>
            </w:pPr>
            <w:r>
              <w:rPr>
                <w:rFonts w:ascii="Arial" w:cs="Arial" w:eastAsia="Arial" w:hAnsi="Arial"/>
                <w:sz w:val="18"/>
                <w:szCs w:val="18"/>
                <w:color w:val="auto"/>
              </w:rPr>
              <w:t>  $1,833,333</w:t>
            </w:r>
          </w:p>
        </w:tc>
        <w:tc>
          <w:tcPr>
            <w:tcW w:w="1400" w:type="dxa"/>
            <w:vAlign w:val="bottom"/>
            <w:shd w:val="clear" w:color="auto" w:fill="F2F2F2"/>
          </w:tcPr>
          <w:p>
            <w:pPr>
              <w:ind w:left="300"/>
              <w:spacing w:after="0"/>
              <w:rPr>
                <w:sz w:val="20"/>
                <w:szCs w:val="20"/>
                <w:color w:val="auto"/>
              </w:rPr>
            </w:pPr>
            <w:r>
              <w:rPr>
                <w:rFonts w:ascii="Arial" w:cs="Arial" w:eastAsia="Arial" w:hAnsi="Arial"/>
                <w:sz w:val="18"/>
                <w:szCs w:val="18"/>
                <w:color w:val="auto"/>
              </w:rPr>
              <w:t>  $5,500,000</w:t>
            </w:r>
          </w:p>
        </w:tc>
      </w:tr>
      <w:tr>
        <w:trPr>
          <w:trHeight w:val="241"/>
        </w:trPr>
        <w:tc>
          <w:tcPr>
            <w:tcW w:w="3020" w:type="dxa"/>
            <w:vAlign w:val="bottom"/>
            <w:gridSpan w:val="2"/>
          </w:tcPr>
          <w:p>
            <w:pPr>
              <w:spacing w:after="0"/>
              <w:rPr>
                <w:sz w:val="20"/>
                <w:szCs w:val="20"/>
                <w:color w:val="auto"/>
              </w:rPr>
            </w:pPr>
            <w:r>
              <w:rPr>
                <w:rFonts w:ascii="Arial" w:cs="Arial" w:eastAsia="Arial" w:hAnsi="Arial"/>
                <w:sz w:val="18"/>
                <w:szCs w:val="18"/>
                <w:color w:val="auto"/>
              </w:rPr>
              <w:t>  Nikhil Behl</w:t>
            </w:r>
          </w:p>
        </w:tc>
        <w:tc>
          <w:tcPr>
            <w:tcW w:w="2320" w:type="dxa"/>
            <w:vAlign w:val="bottom"/>
          </w:tcPr>
          <w:p>
            <w:pPr>
              <w:jc w:val="right"/>
              <w:ind w:right="70"/>
              <w:spacing w:after="0"/>
              <w:rPr>
                <w:sz w:val="20"/>
                <w:szCs w:val="20"/>
                <w:color w:val="auto"/>
              </w:rPr>
            </w:pPr>
            <w:r>
              <w:rPr>
                <w:rFonts w:ascii="Arial" w:cs="Arial" w:eastAsia="Arial" w:hAnsi="Arial"/>
                <w:sz w:val="18"/>
                <w:szCs w:val="18"/>
                <w:color w:val="auto"/>
              </w:rPr>
              <w:t>  $2,000,000</w:t>
            </w:r>
          </w:p>
        </w:tc>
        <w:tc>
          <w:tcPr>
            <w:tcW w:w="2420" w:type="dxa"/>
            <w:vAlign w:val="bottom"/>
          </w:tcPr>
          <w:p>
            <w:pPr>
              <w:jc w:val="right"/>
              <w:ind w:right="370"/>
              <w:spacing w:after="0"/>
              <w:rPr>
                <w:sz w:val="20"/>
                <w:szCs w:val="20"/>
                <w:color w:val="auto"/>
              </w:rPr>
            </w:pPr>
            <w:r>
              <w:rPr>
                <w:rFonts w:ascii="Arial" w:cs="Arial" w:eastAsia="Arial" w:hAnsi="Arial"/>
                <w:sz w:val="18"/>
                <w:szCs w:val="18"/>
                <w:color w:val="auto"/>
              </w:rPr>
              <w:t>  $2,000,000</w:t>
            </w:r>
          </w:p>
        </w:tc>
        <w:tc>
          <w:tcPr>
            <w:tcW w:w="1860" w:type="dxa"/>
            <w:vAlign w:val="bottom"/>
          </w:tcPr>
          <w:p>
            <w:pPr>
              <w:jc w:val="right"/>
              <w:ind w:right="110"/>
              <w:spacing w:after="0"/>
              <w:rPr>
                <w:sz w:val="20"/>
                <w:szCs w:val="20"/>
                <w:color w:val="auto"/>
              </w:rPr>
            </w:pPr>
            <w:r>
              <w:rPr>
                <w:rFonts w:ascii="Arial" w:cs="Arial" w:eastAsia="Arial" w:hAnsi="Arial"/>
                <w:sz w:val="18"/>
                <w:szCs w:val="18"/>
                <w:color w:val="auto"/>
              </w:rPr>
              <w:t>  $2,000,000</w:t>
            </w:r>
          </w:p>
        </w:tc>
        <w:tc>
          <w:tcPr>
            <w:tcW w:w="1400" w:type="dxa"/>
            <w:vAlign w:val="bottom"/>
          </w:tcPr>
          <w:p>
            <w:pPr>
              <w:ind w:left="300"/>
              <w:spacing w:after="0"/>
              <w:rPr>
                <w:sz w:val="20"/>
                <w:szCs w:val="20"/>
                <w:color w:val="auto"/>
              </w:rPr>
            </w:pPr>
            <w:r>
              <w:rPr>
                <w:rFonts w:ascii="Arial" w:cs="Arial" w:eastAsia="Arial" w:hAnsi="Arial"/>
                <w:sz w:val="18"/>
                <w:szCs w:val="18"/>
                <w:color w:val="auto"/>
              </w:rPr>
              <w:t>  $6,000,000</w:t>
            </w:r>
          </w:p>
        </w:tc>
      </w:tr>
      <w:tr>
        <w:trPr>
          <w:trHeight w:val="245"/>
        </w:trPr>
        <w:tc>
          <w:tcPr>
            <w:tcW w:w="3020" w:type="dxa"/>
            <w:vAlign w:val="bottom"/>
            <w:gridSpan w:val="2"/>
            <w:shd w:val="clear" w:color="auto" w:fill="F2F2F2"/>
          </w:tcPr>
          <w:p>
            <w:pPr>
              <w:spacing w:after="0"/>
              <w:rPr>
                <w:sz w:val="20"/>
                <w:szCs w:val="20"/>
                <w:color w:val="auto"/>
              </w:rPr>
            </w:pPr>
            <w:r>
              <w:rPr>
                <w:rFonts w:ascii="Arial" w:cs="Arial" w:eastAsia="Arial" w:hAnsi="Arial"/>
                <w:sz w:val="18"/>
                <w:szCs w:val="18"/>
                <w:color w:val="auto"/>
              </w:rPr>
              <w:t>  Richard Deal</w:t>
            </w:r>
          </w:p>
        </w:tc>
        <w:tc>
          <w:tcPr>
            <w:tcW w:w="232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  $1,833,333</w:t>
            </w:r>
          </w:p>
        </w:tc>
        <w:tc>
          <w:tcPr>
            <w:tcW w:w="2420" w:type="dxa"/>
            <w:vAlign w:val="bottom"/>
            <w:shd w:val="clear" w:color="auto" w:fill="F2F2F2"/>
          </w:tcPr>
          <w:p>
            <w:pPr>
              <w:jc w:val="right"/>
              <w:ind w:right="370"/>
              <w:spacing w:after="0"/>
              <w:rPr>
                <w:sz w:val="20"/>
                <w:szCs w:val="20"/>
                <w:color w:val="auto"/>
              </w:rPr>
            </w:pPr>
            <w:r>
              <w:rPr>
                <w:rFonts w:ascii="Arial" w:cs="Arial" w:eastAsia="Arial" w:hAnsi="Arial"/>
                <w:sz w:val="18"/>
                <w:szCs w:val="18"/>
                <w:color w:val="auto"/>
              </w:rPr>
              <w:t>  $1,833,333</w:t>
            </w:r>
          </w:p>
        </w:tc>
        <w:tc>
          <w:tcPr>
            <w:tcW w:w="1860" w:type="dxa"/>
            <w:vAlign w:val="bottom"/>
            <w:shd w:val="clear" w:color="auto" w:fill="F2F2F2"/>
          </w:tcPr>
          <w:p>
            <w:pPr>
              <w:jc w:val="right"/>
              <w:ind w:right="110"/>
              <w:spacing w:after="0"/>
              <w:rPr>
                <w:sz w:val="20"/>
                <w:szCs w:val="20"/>
                <w:color w:val="auto"/>
              </w:rPr>
            </w:pPr>
            <w:r>
              <w:rPr>
                <w:rFonts w:ascii="Arial" w:cs="Arial" w:eastAsia="Arial" w:hAnsi="Arial"/>
                <w:sz w:val="18"/>
                <w:szCs w:val="18"/>
                <w:color w:val="auto"/>
              </w:rPr>
              <w:t>  $1,833,333</w:t>
            </w:r>
          </w:p>
        </w:tc>
        <w:tc>
          <w:tcPr>
            <w:tcW w:w="1400" w:type="dxa"/>
            <w:vAlign w:val="bottom"/>
            <w:shd w:val="clear" w:color="auto" w:fill="F2F2F2"/>
          </w:tcPr>
          <w:p>
            <w:pPr>
              <w:ind w:left="300"/>
              <w:spacing w:after="0"/>
              <w:rPr>
                <w:sz w:val="20"/>
                <w:szCs w:val="20"/>
                <w:color w:val="auto"/>
              </w:rPr>
            </w:pPr>
            <w:r>
              <w:rPr>
                <w:rFonts w:ascii="Arial" w:cs="Arial" w:eastAsia="Arial" w:hAnsi="Arial"/>
                <w:sz w:val="18"/>
                <w:szCs w:val="18"/>
                <w:color w:val="auto"/>
              </w:rPr>
              <w:t>  $5,500,000</w:t>
            </w:r>
          </w:p>
        </w:tc>
      </w:tr>
      <w:tr>
        <w:trPr>
          <w:trHeight w:val="241"/>
        </w:trPr>
        <w:tc>
          <w:tcPr>
            <w:tcW w:w="3020" w:type="dxa"/>
            <w:vAlign w:val="bottom"/>
            <w:gridSpan w:val="2"/>
          </w:tcPr>
          <w:p>
            <w:pPr>
              <w:spacing w:after="0"/>
              <w:rPr>
                <w:sz w:val="20"/>
                <w:szCs w:val="20"/>
                <w:color w:val="auto"/>
              </w:rPr>
            </w:pPr>
            <w:r>
              <w:rPr>
                <w:rFonts w:ascii="Arial" w:cs="Arial" w:eastAsia="Arial" w:hAnsi="Arial"/>
                <w:sz w:val="18"/>
                <w:szCs w:val="18"/>
                <w:color w:val="auto"/>
              </w:rPr>
              <w:t>  Mark Scadina</w:t>
            </w:r>
          </w:p>
        </w:tc>
        <w:tc>
          <w:tcPr>
            <w:tcW w:w="2320" w:type="dxa"/>
            <w:vAlign w:val="bottom"/>
          </w:tcPr>
          <w:p>
            <w:pPr>
              <w:jc w:val="right"/>
              <w:ind w:right="70"/>
              <w:spacing w:after="0"/>
              <w:rPr>
                <w:sz w:val="20"/>
                <w:szCs w:val="20"/>
                <w:color w:val="auto"/>
              </w:rPr>
            </w:pPr>
            <w:r>
              <w:rPr>
                <w:rFonts w:ascii="Arial" w:cs="Arial" w:eastAsia="Arial" w:hAnsi="Arial"/>
                <w:sz w:val="18"/>
                <w:szCs w:val="18"/>
                <w:color w:val="auto"/>
              </w:rPr>
              <w:t>  $1,833,333</w:t>
            </w:r>
          </w:p>
        </w:tc>
        <w:tc>
          <w:tcPr>
            <w:tcW w:w="2420" w:type="dxa"/>
            <w:vAlign w:val="bottom"/>
          </w:tcPr>
          <w:p>
            <w:pPr>
              <w:jc w:val="right"/>
              <w:ind w:right="370"/>
              <w:spacing w:after="0"/>
              <w:rPr>
                <w:sz w:val="20"/>
                <w:szCs w:val="20"/>
                <w:color w:val="auto"/>
              </w:rPr>
            </w:pPr>
            <w:r>
              <w:rPr>
                <w:rFonts w:ascii="Arial" w:cs="Arial" w:eastAsia="Arial" w:hAnsi="Arial"/>
                <w:sz w:val="18"/>
                <w:szCs w:val="18"/>
                <w:color w:val="auto"/>
              </w:rPr>
              <w:t>  $1,833,333</w:t>
            </w:r>
          </w:p>
        </w:tc>
        <w:tc>
          <w:tcPr>
            <w:tcW w:w="1860" w:type="dxa"/>
            <w:vAlign w:val="bottom"/>
          </w:tcPr>
          <w:p>
            <w:pPr>
              <w:jc w:val="right"/>
              <w:ind w:right="110"/>
              <w:spacing w:after="0"/>
              <w:rPr>
                <w:sz w:val="20"/>
                <w:szCs w:val="20"/>
                <w:color w:val="auto"/>
              </w:rPr>
            </w:pPr>
            <w:r>
              <w:rPr>
                <w:rFonts w:ascii="Arial" w:cs="Arial" w:eastAsia="Arial" w:hAnsi="Arial"/>
                <w:sz w:val="18"/>
                <w:szCs w:val="18"/>
                <w:color w:val="auto"/>
              </w:rPr>
              <w:t>  $1,833,333</w:t>
            </w:r>
          </w:p>
        </w:tc>
        <w:tc>
          <w:tcPr>
            <w:tcW w:w="1400" w:type="dxa"/>
            <w:vAlign w:val="bottom"/>
          </w:tcPr>
          <w:p>
            <w:pPr>
              <w:ind w:left="300"/>
              <w:spacing w:after="0"/>
              <w:rPr>
                <w:sz w:val="20"/>
                <w:szCs w:val="20"/>
                <w:color w:val="auto"/>
              </w:rPr>
            </w:pPr>
            <w:r>
              <w:rPr>
                <w:rFonts w:ascii="Arial" w:cs="Arial" w:eastAsia="Arial" w:hAnsi="Arial"/>
                <w:sz w:val="18"/>
                <w:szCs w:val="18"/>
                <w:color w:val="auto"/>
              </w:rPr>
              <w:t>  $5,500,000</w:t>
            </w:r>
          </w:p>
        </w:tc>
      </w:tr>
      <w:tr>
        <w:trPr>
          <w:trHeight w:val="245"/>
        </w:trPr>
        <w:tc>
          <w:tcPr>
            <w:tcW w:w="3020" w:type="dxa"/>
            <w:vAlign w:val="bottom"/>
            <w:tcBorders>
              <w:bottom w:val="single" w:sz="8" w:color="376DB5"/>
            </w:tcBorders>
            <w:gridSpan w:val="2"/>
            <w:shd w:val="clear" w:color="auto" w:fill="F2F2F2"/>
          </w:tcPr>
          <w:p>
            <w:pPr>
              <w:spacing w:after="0" w:line="245" w:lineRule="exact"/>
              <w:rPr>
                <w:sz w:val="20"/>
                <w:szCs w:val="20"/>
                <w:color w:val="auto"/>
              </w:rPr>
            </w:pPr>
            <w:r>
              <w:rPr>
                <w:rFonts w:ascii="Arial" w:cs="Arial" w:eastAsia="Arial" w:hAnsi="Arial"/>
                <w:sz w:val="18"/>
                <w:szCs w:val="18"/>
                <w:color w:val="auto"/>
              </w:rPr>
              <w:t>  James Wehmann</w:t>
            </w:r>
            <w:r>
              <w:rPr>
                <w:rFonts w:ascii="Arial" w:cs="Arial" w:eastAsia="Arial" w:hAnsi="Arial"/>
                <w:sz w:val="26"/>
                <w:szCs w:val="26"/>
                <w:color w:val="auto"/>
                <w:vertAlign w:val="superscript"/>
              </w:rPr>
              <w:t>(2)</w:t>
            </w:r>
          </w:p>
        </w:tc>
        <w:tc>
          <w:tcPr>
            <w:tcW w:w="2320" w:type="dxa"/>
            <w:vAlign w:val="bottom"/>
            <w:tcBorders>
              <w:bottom w:val="single" w:sz="8" w:color="376DB5"/>
            </w:tcBorders>
            <w:shd w:val="clear" w:color="auto" w:fill="F2F2F2"/>
          </w:tcPr>
          <w:p>
            <w:pPr>
              <w:jc w:val="right"/>
              <w:ind w:right="70"/>
              <w:spacing w:after="0"/>
              <w:rPr>
                <w:sz w:val="20"/>
                <w:szCs w:val="20"/>
                <w:color w:val="auto"/>
              </w:rPr>
            </w:pPr>
            <w:r>
              <w:rPr>
                <w:rFonts w:ascii="Arial" w:cs="Arial" w:eastAsia="Arial" w:hAnsi="Arial"/>
                <w:sz w:val="18"/>
                <w:szCs w:val="18"/>
                <w:color w:val="auto"/>
              </w:rPr>
              <w:t>  $2,000,000</w:t>
            </w:r>
          </w:p>
        </w:tc>
        <w:tc>
          <w:tcPr>
            <w:tcW w:w="2420" w:type="dxa"/>
            <w:vAlign w:val="bottom"/>
            <w:tcBorders>
              <w:bottom w:val="single" w:sz="8" w:color="376DB5"/>
            </w:tcBorders>
            <w:shd w:val="clear" w:color="auto" w:fill="F2F2F2"/>
          </w:tcPr>
          <w:p>
            <w:pPr>
              <w:jc w:val="right"/>
              <w:ind w:right="370"/>
              <w:spacing w:after="0"/>
              <w:rPr>
                <w:sz w:val="20"/>
                <w:szCs w:val="20"/>
                <w:color w:val="auto"/>
              </w:rPr>
            </w:pPr>
            <w:r>
              <w:rPr>
                <w:rFonts w:ascii="Arial" w:cs="Arial" w:eastAsia="Arial" w:hAnsi="Arial"/>
                <w:sz w:val="18"/>
                <w:szCs w:val="18"/>
                <w:color w:val="auto"/>
              </w:rPr>
              <w:t>  $2,000,000</w:t>
            </w:r>
          </w:p>
        </w:tc>
        <w:tc>
          <w:tcPr>
            <w:tcW w:w="1860" w:type="dxa"/>
            <w:vAlign w:val="bottom"/>
            <w:tcBorders>
              <w:bottom w:val="single" w:sz="8" w:color="376DB5"/>
            </w:tcBorders>
            <w:shd w:val="clear" w:color="auto" w:fill="F2F2F2"/>
          </w:tcPr>
          <w:p>
            <w:pPr>
              <w:jc w:val="right"/>
              <w:ind w:right="110"/>
              <w:spacing w:after="0"/>
              <w:rPr>
                <w:sz w:val="20"/>
                <w:szCs w:val="20"/>
                <w:color w:val="auto"/>
              </w:rPr>
            </w:pPr>
            <w:r>
              <w:rPr>
                <w:rFonts w:ascii="Arial" w:cs="Arial" w:eastAsia="Arial" w:hAnsi="Arial"/>
                <w:sz w:val="18"/>
                <w:szCs w:val="18"/>
                <w:color w:val="auto"/>
              </w:rPr>
              <w:t>  $2,000,000</w:t>
            </w:r>
          </w:p>
        </w:tc>
        <w:tc>
          <w:tcPr>
            <w:tcW w:w="1400" w:type="dxa"/>
            <w:vAlign w:val="bottom"/>
            <w:tcBorders>
              <w:bottom w:val="single" w:sz="8" w:color="376DB5"/>
            </w:tcBorders>
            <w:shd w:val="clear" w:color="auto" w:fill="F2F2F2"/>
          </w:tcPr>
          <w:p>
            <w:pPr>
              <w:ind w:left="300"/>
              <w:spacing w:after="0"/>
              <w:rPr>
                <w:sz w:val="20"/>
                <w:szCs w:val="20"/>
                <w:color w:val="auto"/>
              </w:rPr>
            </w:pPr>
            <w:r>
              <w:rPr>
                <w:rFonts w:ascii="Arial" w:cs="Arial" w:eastAsia="Arial" w:hAnsi="Arial"/>
                <w:sz w:val="18"/>
                <w:szCs w:val="18"/>
                <w:color w:val="auto"/>
              </w:rPr>
              <w:t>  $6,000,000</w:t>
            </w:r>
          </w:p>
        </w:tc>
      </w:tr>
      <w:tr>
        <w:trPr>
          <w:trHeight w:val="142"/>
        </w:trPr>
        <w:tc>
          <w:tcPr>
            <w:tcW w:w="1760" w:type="dxa"/>
            <w:vAlign w:val="bottom"/>
            <w:tcBorders>
              <w:bottom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0" w:type="dxa"/>
            <w:vAlign w:val="bottom"/>
          </w:tcPr>
          <w:p>
            <w:pPr>
              <w:spacing w:after="0"/>
              <w:rPr>
                <w:sz w:val="12"/>
                <w:szCs w:val="12"/>
                <w:color w:val="auto"/>
              </w:rPr>
            </w:pPr>
          </w:p>
        </w:tc>
      </w:tr>
    </w:tbl>
    <w:p>
      <w:pPr>
        <w:spacing w:after="0" w:line="99" w:lineRule="exact"/>
        <w:rPr>
          <w:sz w:val="20"/>
          <w:szCs w:val="20"/>
          <w:color w:val="auto"/>
        </w:rPr>
      </w:pPr>
    </w:p>
    <w:p>
      <w:pPr>
        <w:jc w:val="both"/>
        <w:ind w:left="120" w:hanging="4"/>
        <w:spacing w:after="0" w:line="210" w:lineRule="auto"/>
        <w:tabs>
          <w:tab w:leader="none" w:pos="295"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The amounts reported within the compensation tables following this Compensation Discussion and Analysis differ from the target amounts discussed here. The LDCC uses the average closing stock price during the 30-calendar day period ending on the 11</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day prior to the date of grant for purposes of converting the intended target value awarded to share units, whereas the amounts reported in the compensation tables reflect the grant date fair value of each award in accordance with applicable accounting requirements. The LDCC considers the use of an averaging period to be best practice, to offset daily stock price volatility, and the 10-day period prior to the grant date provides our executive officers with a reasonable time period to decide what portion, if any, of the designated RSU value (discussed under “Restricted Stock Units” below) to exchange for non-qualified stock options using an economically equivalent value also tied to the 30-day average price.</w:t>
      </w:r>
    </w:p>
    <w:p>
      <w:pPr>
        <w:spacing w:after="0" w:line="4" w:lineRule="exact"/>
        <w:rPr>
          <w:rFonts w:ascii="Arial" w:cs="Arial" w:eastAsia="Arial" w:hAnsi="Arial"/>
          <w:sz w:val="22"/>
          <w:szCs w:val="22"/>
          <w:color w:val="auto"/>
          <w:vertAlign w:val="superscript"/>
        </w:rPr>
      </w:pPr>
    </w:p>
    <w:p>
      <w:pPr>
        <w:ind w:left="280" w:hanging="164"/>
        <w:spacing w:after="0" w:line="225" w:lineRule="auto"/>
        <w:tabs>
          <w:tab w:leader="none" w:pos="280" w:val="left"/>
        </w:tabs>
        <w:numPr>
          <w:ilvl w:val="0"/>
          <w:numId w:val="44"/>
        </w:numPr>
        <w:rPr>
          <w:rFonts w:ascii="Arial" w:cs="Arial" w:eastAsia="Arial" w:hAnsi="Arial"/>
          <w:sz w:val="20"/>
          <w:szCs w:val="20"/>
          <w:color w:val="auto"/>
          <w:vertAlign w:val="superscript"/>
        </w:rPr>
      </w:pPr>
      <w:r>
        <w:rPr>
          <w:rFonts w:ascii="Arial" w:cs="Arial" w:eastAsia="Arial" w:hAnsi="Arial"/>
          <w:sz w:val="14"/>
          <w:szCs w:val="14"/>
          <w:color w:val="auto"/>
        </w:rPr>
        <w:t>Upon Mr. Wehmann’s retirement on September 5, 2025, he forfeited these and all other equity awards then held by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159385</wp:posOffset>
            </wp:positionV>
            <wp:extent cx="11226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334"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In determining the value of annual equity awards for fiscal 2025, the LDCC considered an analysis of competitive market data prepared by its compensation consultant and described below under “Determination of Compensation-Setting Process — Compensation Peer Group,” the individual performance of each executive officer, the need to reinforce positive levels of collaboration and teamwork across members of the executive team, and our retention objectives.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49</w:t>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jc w:val="both"/>
        <w:ind w:left="120" w:firstLine="551"/>
        <w:spacing w:after="0" w:line="226" w:lineRule="auto"/>
        <w:rPr>
          <w:sz w:val="20"/>
          <w:szCs w:val="20"/>
          <w:color w:val="auto"/>
        </w:rPr>
      </w:pPr>
      <w:r>
        <w:rPr>
          <w:rFonts w:ascii="Arial" w:cs="Arial" w:eastAsia="Arial" w:hAnsi="Arial"/>
          <w:sz w:val="18"/>
          <w:szCs w:val="18"/>
          <w:color w:val="auto"/>
        </w:rPr>
        <w:t>The competitive market data analysis for fiscal 2025 showed that peer group total direct compensation increased approximately 4% and 34% at the median and 75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respectively, and the long-term incentive value increased 3% and 41% at the median and 75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respectively. Coupled with continued strong company and individual performance, the LDCC determined to increase the target annual long-term incentive award values for all NEOs other than Mr. Wehmann. With respect to Mr. Lansing, the LDCC particularly considered the strength of his individual performance results and the LDCC’s desire to ensure his compensation is highly competitive and reflective of his personal performance and market value in determining to increase the target value of his fiscal 2025 award to approximately $30 million.</w:t>
      </w:r>
    </w:p>
    <w:p>
      <w:pPr>
        <w:spacing w:after="0" w:line="74" w:lineRule="exact"/>
        <w:rPr>
          <w:sz w:val="20"/>
          <w:szCs w:val="20"/>
          <w:color w:val="auto"/>
        </w:rPr>
      </w:pPr>
    </w:p>
    <w:p>
      <w:pPr>
        <w:jc w:val="both"/>
        <w:ind w:left="120" w:firstLine="551"/>
        <w:spacing w:after="0" w:line="239" w:lineRule="auto"/>
        <w:rPr>
          <w:sz w:val="20"/>
          <w:szCs w:val="20"/>
          <w:color w:val="auto"/>
        </w:rPr>
      </w:pPr>
      <w:r>
        <w:rPr>
          <w:rFonts w:ascii="Arial" w:cs="Arial" w:eastAsia="Arial" w:hAnsi="Arial"/>
          <w:sz w:val="18"/>
          <w:szCs w:val="18"/>
          <w:i w:val="1"/>
          <w:iCs w:val="1"/>
          <w:color w:val="auto"/>
        </w:rPr>
        <w:t xml:space="preserve">Performance Share Units (“PSUs”). </w:t>
      </w:r>
      <w:r>
        <w:rPr>
          <w:rFonts w:ascii="Arial" w:cs="Arial" w:eastAsia="Arial" w:hAnsi="Arial"/>
          <w:sz w:val="18"/>
          <w:szCs w:val="18"/>
          <w:color w:val="auto"/>
        </w:rPr>
        <w:t>The PSUs granted in fiscal 2025 were earned on the basis of a one-year performance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with any earned shares vesting in equal installments over the first three anniversaries of the date of grant. The LDCC believes a one-year performance period enables it to set stretch goals based on a time period over which it has a reasonable line of sight. This is because market uncertainties make it difficult to accurately forecast our Adjusted Revenue and Adjusted EBITDA beyond one year. The LDCC believes the complexity of our major products linked to the strategic shift in focus for our Software segment, along with the business complexity of our major customers, yields a very long selling cycle, which in turn contributes significant uncertainty into our revenue stream and resulting EBITDA. Using a one-year performance period allows the LDCC to reward performance for a time period over which the Company has better visibility instead of creating goals over a longer term that are more likely to be problematic. In addition, requiring that two-thirds of any earned shares vest over an additional two years after the first anniversary of the grant date creates long-term alignment with our stockholders’ experience and satisfies our retention objectives.</w:t>
      </w:r>
    </w:p>
    <w:p>
      <w:pPr>
        <w:spacing w:after="0" w:line="72" w:lineRule="exact"/>
        <w:rPr>
          <w:sz w:val="20"/>
          <w:szCs w:val="20"/>
          <w:color w:val="auto"/>
        </w:rPr>
      </w:pPr>
    </w:p>
    <w:p>
      <w:pPr>
        <w:jc w:val="both"/>
        <w:ind w:left="120" w:right="20" w:firstLine="551"/>
        <w:spacing w:after="0" w:line="244" w:lineRule="auto"/>
        <w:rPr>
          <w:sz w:val="20"/>
          <w:szCs w:val="20"/>
          <w:color w:val="auto"/>
        </w:rPr>
      </w:pPr>
      <w:r>
        <w:rPr>
          <w:rFonts w:ascii="Arial" w:cs="Arial" w:eastAsia="Arial" w:hAnsi="Arial"/>
          <w:sz w:val="18"/>
          <w:szCs w:val="18"/>
          <w:color w:val="auto"/>
        </w:rPr>
        <w:t>The maximum number of PSUs that could have been earned over the fiscal 2025 performance period by each named executive officer was specified in the applicable award agreement. In each case, the named executive officer could earn as little as 0% at or below threshold performance and as much as 200% of the target number of PSUs at maximum performance. The LDCC retains discretion to determine the actual number of PSUs that were earned, but, consistent with prior years, did not exercise any such discretion with respect to the fiscal 2025 PSUs. The earnings matrix for the fiscal 2025 PSU awards was:</w:t>
      </w:r>
    </w:p>
    <w:p>
      <w:pPr>
        <w:spacing w:after="0" w:line="271"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1760" w:type="dxa"/>
            <w:vAlign w:val="bottom"/>
            <w:tcBorders>
              <w:bottom w:val="single" w:sz="8" w:color="376DB5"/>
            </w:tcBorders>
          </w:tcPr>
          <w:p>
            <w:pPr>
              <w:spacing w:after="0"/>
              <w:rPr>
                <w:sz w:val="19"/>
                <w:szCs w:val="19"/>
                <w:color w:val="auto"/>
              </w:rPr>
            </w:pPr>
          </w:p>
        </w:tc>
        <w:tc>
          <w:tcPr>
            <w:tcW w:w="1920" w:type="dxa"/>
            <w:vAlign w:val="bottom"/>
            <w:tcBorders>
              <w:bottom w:val="single" w:sz="8" w:color="376DB5"/>
            </w:tcBorders>
          </w:tcPr>
          <w:p>
            <w:pPr>
              <w:spacing w:after="0"/>
              <w:rPr>
                <w:sz w:val="19"/>
                <w:szCs w:val="19"/>
                <w:color w:val="auto"/>
              </w:rPr>
            </w:pPr>
          </w:p>
        </w:tc>
        <w:tc>
          <w:tcPr>
            <w:tcW w:w="1300" w:type="dxa"/>
            <w:vAlign w:val="bottom"/>
            <w:tcBorders>
              <w:bottom w:val="single" w:sz="8" w:color="376DB5"/>
            </w:tcBorders>
          </w:tcPr>
          <w:p>
            <w:pPr>
              <w:spacing w:after="0"/>
              <w:rPr>
                <w:sz w:val="19"/>
                <w:szCs w:val="19"/>
                <w:color w:val="auto"/>
              </w:rPr>
            </w:pPr>
          </w:p>
        </w:tc>
        <w:tc>
          <w:tcPr>
            <w:tcW w:w="1220" w:type="dxa"/>
            <w:vAlign w:val="bottom"/>
            <w:tcBorders>
              <w:bottom w:val="single" w:sz="8" w:color="376DB5"/>
            </w:tcBorders>
          </w:tcPr>
          <w:p>
            <w:pPr>
              <w:spacing w:after="0"/>
              <w:rPr>
                <w:sz w:val="19"/>
                <w:szCs w:val="19"/>
                <w:color w:val="auto"/>
              </w:rPr>
            </w:pPr>
          </w:p>
        </w:tc>
        <w:tc>
          <w:tcPr>
            <w:tcW w:w="1220" w:type="dxa"/>
            <w:vAlign w:val="bottom"/>
            <w:tcBorders>
              <w:bottom w:val="single" w:sz="8" w:color="376DB5"/>
            </w:tcBorders>
          </w:tcPr>
          <w:p>
            <w:pPr>
              <w:spacing w:after="0"/>
              <w:rPr>
                <w:sz w:val="19"/>
                <w:szCs w:val="19"/>
                <w:color w:val="auto"/>
              </w:rPr>
            </w:pPr>
          </w:p>
        </w:tc>
        <w:tc>
          <w:tcPr>
            <w:tcW w:w="1200" w:type="dxa"/>
            <w:vAlign w:val="bottom"/>
            <w:tcBorders>
              <w:bottom w:val="single" w:sz="8" w:color="376DB5"/>
            </w:tcBorders>
          </w:tcPr>
          <w:p>
            <w:pPr>
              <w:spacing w:after="0"/>
              <w:rPr>
                <w:sz w:val="19"/>
                <w:szCs w:val="19"/>
                <w:color w:val="auto"/>
              </w:rPr>
            </w:pPr>
          </w:p>
        </w:tc>
        <w:tc>
          <w:tcPr>
            <w:tcW w:w="1240" w:type="dxa"/>
            <w:vAlign w:val="bottom"/>
            <w:tcBorders>
              <w:bottom w:val="single" w:sz="8" w:color="376DB5"/>
            </w:tcBorders>
          </w:tcPr>
          <w:p>
            <w:pPr>
              <w:spacing w:after="0"/>
              <w:rPr>
                <w:sz w:val="19"/>
                <w:szCs w:val="19"/>
                <w:color w:val="auto"/>
              </w:rPr>
            </w:pPr>
          </w:p>
        </w:tc>
        <w:tc>
          <w:tcPr>
            <w:tcW w:w="1160" w:type="dxa"/>
            <w:vAlign w:val="bottom"/>
            <w:tcBorders>
              <w:bottom w:val="single" w:sz="8" w:color="376DB5"/>
            </w:tcBorders>
          </w:tcPr>
          <w:p>
            <w:pPr>
              <w:jc w:val="center"/>
              <w:spacing w:after="0"/>
              <w:rPr>
                <w:sz w:val="20"/>
                <w:szCs w:val="20"/>
                <w:color w:val="auto"/>
              </w:rPr>
            </w:pPr>
            <w:r>
              <w:rPr>
                <w:rFonts w:ascii="Arial" w:cs="Arial" w:eastAsia="Arial" w:hAnsi="Arial"/>
                <w:sz w:val="18"/>
                <w:szCs w:val="18"/>
                <w:color w:val="376DB5"/>
                <w:w w:val="99"/>
              </w:rPr>
              <w:t>($ in Millions)</w:t>
            </w:r>
          </w:p>
        </w:tc>
        <w:tc>
          <w:tcPr>
            <w:tcW w:w="0" w:type="dxa"/>
            <w:vAlign w:val="bottom"/>
          </w:tcPr>
          <w:p>
            <w:pPr>
              <w:spacing w:after="0"/>
              <w:rPr>
                <w:sz w:val="1"/>
                <w:szCs w:val="1"/>
                <w:color w:val="auto"/>
              </w:rPr>
            </w:pPr>
          </w:p>
        </w:tc>
      </w:tr>
      <w:tr>
        <w:trPr>
          <w:trHeight w:val="299"/>
        </w:trPr>
        <w:tc>
          <w:tcPr>
            <w:tcW w:w="3680" w:type="dxa"/>
            <w:vAlign w:val="bottom"/>
            <w:gridSpan w:val="2"/>
          </w:tcPr>
          <w:p>
            <w:pPr>
              <w:spacing w:after="0"/>
              <w:rPr>
                <w:sz w:val="20"/>
                <w:szCs w:val="20"/>
                <w:color w:val="auto"/>
              </w:rPr>
            </w:pPr>
            <w:r>
              <w:rPr>
                <w:rFonts w:ascii="Arial" w:cs="Arial" w:eastAsia="Arial" w:hAnsi="Arial"/>
                <w:sz w:val="18"/>
                <w:szCs w:val="18"/>
                <w:color w:val="376DB5"/>
              </w:rPr>
              <w:t>  Financial Metric</w:t>
            </w:r>
          </w:p>
        </w:tc>
        <w:tc>
          <w:tcPr>
            <w:tcW w:w="1300" w:type="dxa"/>
            <w:vAlign w:val="bottom"/>
          </w:tcPr>
          <w:p>
            <w:pPr>
              <w:jc w:val="center"/>
              <w:ind w:left="10"/>
              <w:spacing w:after="0"/>
              <w:rPr>
                <w:sz w:val="20"/>
                <w:szCs w:val="20"/>
                <w:color w:val="auto"/>
              </w:rPr>
            </w:pPr>
            <w:r>
              <w:rPr>
                <w:rFonts w:ascii="Arial" w:cs="Arial" w:eastAsia="Arial" w:hAnsi="Arial"/>
                <w:sz w:val="18"/>
                <w:szCs w:val="18"/>
                <w:color w:val="376DB5"/>
                <w:w w:val="99"/>
              </w:rPr>
              <w:t>Threshold</w:t>
            </w:r>
          </w:p>
        </w:tc>
        <w:tc>
          <w:tcPr>
            <w:tcW w:w="1220" w:type="dxa"/>
            <w:vAlign w:val="bottom"/>
          </w:tcPr>
          <w:p>
            <w:pPr>
              <w:jc w:val="center"/>
              <w:spacing w:after="0"/>
              <w:rPr>
                <w:sz w:val="20"/>
                <w:szCs w:val="20"/>
                <w:color w:val="auto"/>
              </w:rPr>
            </w:pPr>
            <w:r>
              <w:rPr>
                <w:rFonts w:ascii="Arial" w:cs="Arial" w:eastAsia="Arial" w:hAnsi="Arial"/>
                <w:sz w:val="18"/>
                <w:szCs w:val="18"/>
                <w:color w:val="376DB5"/>
                <w:w w:val="99"/>
              </w:rPr>
              <w:t>Mid-point</w:t>
            </w:r>
          </w:p>
        </w:tc>
        <w:tc>
          <w:tcPr>
            <w:tcW w:w="1220" w:type="dxa"/>
            <w:vAlign w:val="bottom"/>
          </w:tcPr>
          <w:p>
            <w:pPr>
              <w:jc w:val="center"/>
              <w:spacing w:after="0"/>
              <w:rPr>
                <w:sz w:val="20"/>
                <w:szCs w:val="20"/>
                <w:color w:val="auto"/>
              </w:rPr>
            </w:pPr>
            <w:r>
              <w:rPr>
                <w:rFonts w:ascii="Arial" w:cs="Arial" w:eastAsia="Arial" w:hAnsi="Arial"/>
                <w:sz w:val="18"/>
                <w:szCs w:val="18"/>
                <w:color w:val="376DB5"/>
                <w:w w:val="96"/>
              </w:rPr>
              <w:t>Target</w:t>
            </w:r>
          </w:p>
        </w:tc>
        <w:tc>
          <w:tcPr>
            <w:tcW w:w="1200" w:type="dxa"/>
            <w:vAlign w:val="bottom"/>
          </w:tcPr>
          <w:p>
            <w:pPr>
              <w:jc w:val="center"/>
              <w:spacing w:after="0"/>
              <w:rPr>
                <w:sz w:val="20"/>
                <w:szCs w:val="20"/>
                <w:color w:val="auto"/>
              </w:rPr>
            </w:pPr>
            <w:r>
              <w:rPr>
                <w:rFonts w:ascii="Arial" w:cs="Arial" w:eastAsia="Arial" w:hAnsi="Arial"/>
                <w:sz w:val="18"/>
                <w:szCs w:val="18"/>
                <w:color w:val="376DB5"/>
                <w:w w:val="99"/>
              </w:rPr>
              <w:t>Upside</w:t>
            </w:r>
          </w:p>
        </w:tc>
        <w:tc>
          <w:tcPr>
            <w:tcW w:w="1240" w:type="dxa"/>
            <w:vAlign w:val="bottom"/>
          </w:tcPr>
          <w:p>
            <w:pPr>
              <w:jc w:val="center"/>
              <w:spacing w:after="0"/>
              <w:rPr>
                <w:sz w:val="20"/>
                <w:szCs w:val="20"/>
                <w:color w:val="auto"/>
              </w:rPr>
            </w:pPr>
            <w:r>
              <w:rPr>
                <w:rFonts w:ascii="Arial" w:cs="Arial" w:eastAsia="Arial" w:hAnsi="Arial"/>
                <w:sz w:val="18"/>
                <w:szCs w:val="18"/>
                <w:color w:val="376DB5"/>
                <w:w w:val="99"/>
              </w:rPr>
              <w:t>Maximum</w:t>
            </w:r>
          </w:p>
        </w:tc>
        <w:tc>
          <w:tcPr>
            <w:tcW w:w="1160" w:type="dxa"/>
            <w:vAlign w:val="bottom"/>
          </w:tcPr>
          <w:p>
            <w:pPr>
              <w:jc w:val="center"/>
              <w:spacing w:after="0"/>
              <w:rPr>
                <w:sz w:val="20"/>
                <w:szCs w:val="20"/>
                <w:color w:val="auto"/>
              </w:rPr>
            </w:pPr>
            <w:r>
              <w:rPr>
                <w:rFonts w:ascii="Arial" w:cs="Arial" w:eastAsia="Arial" w:hAnsi="Arial"/>
                <w:sz w:val="18"/>
                <w:szCs w:val="18"/>
                <w:color w:val="376DB5"/>
                <w:w w:val="99"/>
              </w:rPr>
              <w:t>Actual</w:t>
            </w:r>
          </w:p>
        </w:tc>
        <w:tc>
          <w:tcPr>
            <w:tcW w:w="0" w:type="dxa"/>
            <w:vAlign w:val="bottom"/>
          </w:tcPr>
          <w:p>
            <w:pPr>
              <w:spacing w:after="0"/>
              <w:rPr>
                <w:sz w:val="1"/>
                <w:szCs w:val="1"/>
                <w:color w:val="auto"/>
              </w:rPr>
            </w:pPr>
          </w:p>
        </w:tc>
      </w:tr>
      <w:tr>
        <w:trPr>
          <w:trHeight w:val="235"/>
        </w:trPr>
        <w:tc>
          <w:tcPr>
            <w:tcW w:w="3680" w:type="dxa"/>
            <w:vAlign w:val="bottom"/>
            <w:tcBorders>
              <w:bottom w:val="single" w:sz="8" w:color="376DB5"/>
            </w:tcBorders>
            <w:gridSpan w:val="2"/>
          </w:tcPr>
          <w:p>
            <w:pPr>
              <w:spacing w:after="0"/>
              <w:rPr>
                <w:sz w:val="20"/>
                <w:szCs w:val="20"/>
                <w:color w:val="auto"/>
              </w:rPr>
            </w:pPr>
            <w:r>
              <w:rPr>
                <w:rFonts w:ascii="Arial" w:cs="Arial" w:eastAsia="Arial" w:hAnsi="Arial"/>
                <w:sz w:val="18"/>
                <w:szCs w:val="18"/>
                <w:color w:val="376DB5"/>
              </w:rPr>
              <w:t>  (Weighting)</w:t>
            </w:r>
          </w:p>
        </w:tc>
        <w:tc>
          <w:tcPr>
            <w:tcW w:w="1300" w:type="dxa"/>
            <w:vAlign w:val="bottom"/>
            <w:tcBorders>
              <w:bottom w:val="single" w:sz="8" w:color="376DB5"/>
            </w:tcBorders>
          </w:tcPr>
          <w:p>
            <w:pPr>
              <w:jc w:val="center"/>
              <w:ind w:left="10"/>
              <w:spacing w:after="0"/>
              <w:rPr>
                <w:sz w:val="20"/>
                <w:szCs w:val="20"/>
                <w:color w:val="auto"/>
              </w:rPr>
            </w:pPr>
            <w:r>
              <w:rPr>
                <w:rFonts w:ascii="Arial" w:cs="Arial" w:eastAsia="Arial" w:hAnsi="Arial"/>
                <w:sz w:val="18"/>
                <w:szCs w:val="18"/>
                <w:color w:val="376DB5"/>
              </w:rPr>
              <w:t>Performance</w:t>
            </w:r>
          </w:p>
        </w:tc>
        <w:tc>
          <w:tcPr>
            <w:tcW w:w="1220" w:type="dxa"/>
            <w:vAlign w:val="bottom"/>
            <w:tcBorders>
              <w:bottom w:val="single" w:sz="8" w:color="376DB5"/>
            </w:tcBorders>
          </w:tcPr>
          <w:p>
            <w:pPr>
              <w:jc w:val="center"/>
              <w:spacing w:after="0"/>
              <w:rPr>
                <w:sz w:val="20"/>
                <w:szCs w:val="20"/>
                <w:color w:val="auto"/>
              </w:rPr>
            </w:pPr>
            <w:r>
              <w:rPr>
                <w:rFonts w:ascii="Arial" w:cs="Arial" w:eastAsia="Arial" w:hAnsi="Arial"/>
                <w:sz w:val="18"/>
                <w:szCs w:val="18"/>
                <w:color w:val="376DB5"/>
                <w:w w:val="98"/>
              </w:rPr>
              <w:t>Performance</w:t>
            </w:r>
          </w:p>
        </w:tc>
        <w:tc>
          <w:tcPr>
            <w:tcW w:w="1220" w:type="dxa"/>
            <w:vAlign w:val="bottom"/>
            <w:tcBorders>
              <w:bottom w:val="single" w:sz="8" w:color="376DB5"/>
            </w:tcBorders>
          </w:tcPr>
          <w:p>
            <w:pPr>
              <w:jc w:val="center"/>
              <w:spacing w:after="0"/>
              <w:rPr>
                <w:sz w:val="20"/>
                <w:szCs w:val="20"/>
                <w:color w:val="auto"/>
              </w:rPr>
            </w:pPr>
            <w:r>
              <w:rPr>
                <w:rFonts w:ascii="Arial" w:cs="Arial" w:eastAsia="Arial" w:hAnsi="Arial"/>
                <w:sz w:val="18"/>
                <w:szCs w:val="18"/>
                <w:color w:val="376DB5"/>
                <w:w w:val="98"/>
              </w:rPr>
              <w:t>Performance</w:t>
            </w:r>
          </w:p>
        </w:tc>
        <w:tc>
          <w:tcPr>
            <w:tcW w:w="1200" w:type="dxa"/>
            <w:vAlign w:val="bottom"/>
            <w:tcBorders>
              <w:bottom w:val="single" w:sz="8" w:color="376DB5"/>
            </w:tcBorders>
          </w:tcPr>
          <w:p>
            <w:pPr>
              <w:jc w:val="center"/>
              <w:spacing w:after="0"/>
              <w:rPr>
                <w:sz w:val="20"/>
                <w:szCs w:val="20"/>
                <w:color w:val="auto"/>
              </w:rPr>
            </w:pPr>
            <w:r>
              <w:rPr>
                <w:rFonts w:ascii="Arial" w:cs="Arial" w:eastAsia="Arial" w:hAnsi="Arial"/>
                <w:sz w:val="18"/>
                <w:szCs w:val="18"/>
                <w:color w:val="376DB5"/>
              </w:rPr>
              <w:t>Performance</w:t>
            </w:r>
          </w:p>
        </w:tc>
        <w:tc>
          <w:tcPr>
            <w:tcW w:w="1240" w:type="dxa"/>
            <w:vAlign w:val="bottom"/>
            <w:tcBorders>
              <w:bottom w:val="single" w:sz="8" w:color="376DB5"/>
            </w:tcBorders>
          </w:tcPr>
          <w:p>
            <w:pPr>
              <w:jc w:val="center"/>
              <w:spacing w:after="0"/>
              <w:rPr>
                <w:sz w:val="20"/>
                <w:szCs w:val="20"/>
                <w:color w:val="auto"/>
              </w:rPr>
            </w:pPr>
            <w:r>
              <w:rPr>
                <w:rFonts w:ascii="Arial" w:cs="Arial" w:eastAsia="Arial" w:hAnsi="Arial"/>
                <w:sz w:val="18"/>
                <w:szCs w:val="18"/>
                <w:color w:val="376DB5"/>
              </w:rPr>
              <w:t>Performance</w:t>
            </w:r>
          </w:p>
        </w:tc>
        <w:tc>
          <w:tcPr>
            <w:tcW w:w="1160" w:type="dxa"/>
            <w:vAlign w:val="bottom"/>
            <w:tcBorders>
              <w:bottom w:val="single" w:sz="8" w:color="376DB5"/>
            </w:tcBorders>
          </w:tcPr>
          <w:p>
            <w:pPr>
              <w:jc w:val="center"/>
              <w:spacing w:after="0"/>
              <w:rPr>
                <w:sz w:val="20"/>
                <w:szCs w:val="20"/>
                <w:color w:val="auto"/>
              </w:rPr>
            </w:pPr>
            <w:r>
              <w:rPr>
                <w:rFonts w:ascii="Arial" w:cs="Arial" w:eastAsia="Arial" w:hAnsi="Arial"/>
                <w:sz w:val="18"/>
                <w:szCs w:val="18"/>
                <w:color w:val="376DB5"/>
              </w:rPr>
              <w:t>Performance</w:t>
            </w:r>
          </w:p>
        </w:tc>
        <w:tc>
          <w:tcPr>
            <w:tcW w:w="0" w:type="dxa"/>
            <w:vAlign w:val="bottom"/>
          </w:tcPr>
          <w:p>
            <w:pPr>
              <w:spacing w:after="0"/>
              <w:rPr>
                <w:sz w:val="1"/>
                <w:szCs w:val="1"/>
                <w:color w:val="auto"/>
              </w:rPr>
            </w:pPr>
          </w:p>
        </w:tc>
      </w:tr>
      <w:tr>
        <w:trPr>
          <w:trHeight w:val="358"/>
        </w:trPr>
        <w:tc>
          <w:tcPr>
            <w:tcW w:w="3680" w:type="dxa"/>
            <w:vAlign w:val="bottom"/>
            <w:gridSpan w:val="2"/>
          </w:tcPr>
          <w:p>
            <w:pPr>
              <w:spacing w:after="0"/>
              <w:rPr>
                <w:sz w:val="20"/>
                <w:szCs w:val="20"/>
                <w:color w:val="auto"/>
              </w:rPr>
            </w:pPr>
            <w:r>
              <w:rPr>
                <w:rFonts w:ascii="Arial" w:cs="Arial" w:eastAsia="Arial" w:hAnsi="Arial"/>
                <w:sz w:val="18"/>
                <w:szCs w:val="18"/>
                <w:color w:val="auto"/>
              </w:rPr>
              <w:t>  Adjusted Revenue (50%)</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$1,782.4</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$1,915.0</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$1,980.0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$2,000.0</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$2,023.0</w:t>
            </w:r>
          </w:p>
        </w:tc>
        <w:tc>
          <w:tcPr>
            <w:tcW w:w="1160" w:type="dxa"/>
            <w:vAlign w:val="bottom"/>
          </w:tcPr>
          <w:p>
            <w:pPr>
              <w:jc w:val="center"/>
              <w:spacing w:after="0"/>
              <w:rPr>
                <w:sz w:val="20"/>
                <w:szCs w:val="20"/>
                <w:color w:val="auto"/>
              </w:rPr>
            </w:pPr>
            <w:r>
              <w:rPr>
                <w:rFonts w:ascii="Arial" w:cs="Arial" w:eastAsia="Arial" w:hAnsi="Arial"/>
                <w:sz w:val="18"/>
                <w:szCs w:val="18"/>
                <w:color w:val="auto"/>
                <w:w w:val="96"/>
              </w:rPr>
              <w:t>$1,990.9</w:t>
            </w:r>
            <w:r>
              <w:rPr>
                <w:rFonts w:ascii="Arial" w:cs="Arial" w:eastAsia="Arial" w:hAnsi="Arial"/>
                <w:sz w:val="26"/>
                <w:szCs w:val="26"/>
                <w:color w:val="auto"/>
                <w:w w:val="96"/>
                <w:vertAlign w:val="superscript"/>
              </w:rPr>
              <w:t>(1)</w:t>
            </w:r>
          </w:p>
        </w:tc>
        <w:tc>
          <w:tcPr>
            <w:tcW w:w="0" w:type="dxa"/>
            <w:vAlign w:val="bottom"/>
          </w:tcPr>
          <w:p>
            <w:pPr>
              <w:spacing w:after="0"/>
              <w:rPr>
                <w:sz w:val="1"/>
                <w:szCs w:val="1"/>
                <w:color w:val="auto"/>
              </w:rPr>
            </w:pPr>
          </w:p>
        </w:tc>
      </w:tr>
      <w:tr>
        <w:trPr>
          <w:trHeight w:val="288"/>
        </w:trPr>
        <w:tc>
          <w:tcPr>
            <w:tcW w:w="3680" w:type="dxa"/>
            <w:vAlign w:val="bottom"/>
            <w:gridSpan w:val="2"/>
            <w:shd w:val="clear" w:color="auto" w:fill="F2F2F2"/>
          </w:tcPr>
          <w:p>
            <w:pPr>
              <w:spacing w:after="0"/>
              <w:rPr>
                <w:sz w:val="20"/>
                <w:szCs w:val="20"/>
                <w:color w:val="auto"/>
              </w:rPr>
            </w:pPr>
            <w:r>
              <w:rPr>
                <w:rFonts w:ascii="Arial" w:cs="Arial" w:eastAsia="Arial" w:hAnsi="Arial"/>
                <w:sz w:val="18"/>
                <w:szCs w:val="18"/>
                <w:color w:val="auto"/>
              </w:rPr>
              <w:t>  Adjusted EBITDA (50%)</w:t>
            </w:r>
          </w:p>
        </w:tc>
        <w:tc>
          <w:tcPr>
            <w:tcW w:w="1300" w:type="dxa"/>
            <w:vAlign w:val="bottom"/>
            <w:shd w:val="clear" w:color="auto" w:fill="F2F2F2"/>
          </w:tcPr>
          <w:p>
            <w:pPr>
              <w:jc w:val="center"/>
              <w:ind w:left="10"/>
              <w:spacing w:after="0"/>
              <w:rPr>
                <w:sz w:val="20"/>
                <w:szCs w:val="20"/>
                <w:color w:val="auto"/>
              </w:rPr>
            </w:pPr>
            <w:r>
              <w:rPr>
                <w:rFonts w:ascii="Arial" w:cs="Arial" w:eastAsia="Arial" w:hAnsi="Arial"/>
                <w:sz w:val="18"/>
                <w:szCs w:val="18"/>
                <w:color w:val="auto"/>
              </w:rPr>
              <w:t>$931.9</w:t>
            </w:r>
          </w:p>
        </w:tc>
        <w:tc>
          <w:tcPr>
            <w:tcW w:w="12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$1,051.0</w:t>
            </w:r>
          </w:p>
        </w:tc>
        <w:tc>
          <w:tcPr>
            <w:tcW w:w="12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$1,089.0</w:t>
            </w:r>
          </w:p>
        </w:tc>
        <w:tc>
          <w:tcPr>
            <w:tcW w:w="12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$1,102.3</w:t>
            </w:r>
          </w:p>
        </w:tc>
        <w:tc>
          <w:tcPr>
            <w:tcW w:w="12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6"/>
              </w:rPr>
              <w:t>$1,118.5</w:t>
            </w:r>
          </w:p>
        </w:tc>
        <w:tc>
          <w:tcPr>
            <w:tcW w:w="11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$1,109.8</w:t>
            </w:r>
          </w:p>
        </w:tc>
        <w:tc>
          <w:tcPr>
            <w:tcW w:w="0" w:type="dxa"/>
            <w:vAlign w:val="bottom"/>
          </w:tcPr>
          <w:p>
            <w:pPr>
              <w:spacing w:after="0"/>
              <w:rPr>
                <w:sz w:val="1"/>
                <w:szCs w:val="1"/>
                <w:color w:val="auto"/>
              </w:rPr>
            </w:pPr>
          </w:p>
        </w:tc>
      </w:tr>
      <w:tr>
        <w:trPr>
          <w:trHeight w:val="90"/>
        </w:trPr>
        <w:tc>
          <w:tcPr>
            <w:tcW w:w="1760" w:type="dxa"/>
            <w:vAlign w:val="bottom"/>
            <w:shd w:val="clear" w:color="auto" w:fill="F2F2F2"/>
          </w:tcPr>
          <w:p>
            <w:pPr>
              <w:spacing w:after="0"/>
              <w:rPr>
                <w:sz w:val="7"/>
                <w:szCs w:val="7"/>
                <w:color w:val="auto"/>
              </w:rPr>
            </w:pPr>
          </w:p>
        </w:tc>
        <w:tc>
          <w:tcPr>
            <w:tcW w:w="1920" w:type="dxa"/>
            <w:vAlign w:val="bottom"/>
            <w:shd w:val="clear" w:color="auto" w:fill="F2F2F2"/>
          </w:tcPr>
          <w:p>
            <w:pPr>
              <w:spacing w:after="0"/>
              <w:rPr>
                <w:sz w:val="7"/>
                <w:szCs w:val="7"/>
                <w:color w:val="auto"/>
              </w:rPr>
            </w:pPr>
          </w:p>
        </w:tc>
        <w:tc>
          <w:tcPr>
            <w:tcW w:w="1300" w:type="dxa"/>
            <w:vAlign w:val="bottom"/>
            <w:shd w:val="clear" w:color="auto" w:fill="F2F2F2"/>
          </w:tcPr>
          <w:p>
            <w:pPr>
              <w:spacing w:after="0"/>
              <w:rPr>
                <w:sz w:val="7"/>
                <w:szCs w:val="7"/>
                <w:color w:val="auto"/>
              </w:rPr>
            </w:pPr>
          </w:p>
        </w:tc>
        <w:tc>
          <w:tcPr>
            <w:tcW w:w="1220" w:type="dxa"/>
            <w:vAlign w:val="bottom"/>
            <w:shd w:val="clear" w:color="auto" w:fill="F2F2F2"/>
          </w:tcPr>
          <w:p>
            <w:pPr>
              <w:spacing w:after="0"/>
              <w:rPr>
                <w:sz w:val="7"/>
                <w:szCs w:val="7"/>
                <w:color w:val="auto"/>
              </w:rPr>
            </w:pPr>
          </w:p>
        </w:tc>
        <w:tc>
          <w:tcPr>
            <w:tcW w:w="1220" w:type="dxa"/>
            <w:vAlign w:val="bottom"/>
            <w:shd w:val="clear" w:color="auto" w:fill="F2F2F2"/>
          </w:tcPr>
          <w:p>
            <w:pPr>
              <w:spacing w:after="0"/>
              <w:rPr>
                <w:sz w:val="7"/>
                <w:szCs w:val="7"/>
                <w:color w:val="auto"/>
              </w:rPr>
            </w:pPr>
          </w:p>
        </w:tc>
        <w:tc>
          <w:tcPr>
            <w:tcW w:w="1200" w:type="dxa"/>
            <w:vAlign w:val="bottom"/>
            <w:shd w:val="clear" w:color="auto" w:fill="F2F2F2"/>
          </w:tcPr>
          <w:p>
            <w:pPr>
              <w:spacing w:after="0"/>
              <w:rPr>
                <w:sz w:val="7"/>
                <w:szCs w:val="7"/>
                <w:color w:val="auto"/>
              </w:rPr>
            </w:pPr>
          </w:p>
        </w:tc>
        <w:tc>
          <w:tcPr>
            <w:tcW w:w="1240" w:type="dxa"/>
            <w:vAlign w:val="bottom"/>
            <w:shd w:val="clear" w:color="auto" w:fill="F2F2F2"/>
          </w:tcPr>
          <w:p>
            <w:pPr>
              <w:spacing w:after="0"/>
              <w:rPr>
                <w:sz w:val="7"/>
                <w:szCs w:val="7"/>
                <w:color w:val="auto"/>
              </w:rPr>
            </w:pPr>
          </w:p>
        </w:tc>
        <w:tc>
          <w:tcPr>
            <w:tcW w:w="116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  PSUs Earned (as percentage</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9"/>
              </w:rPr>
              <w:t>50%</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9"/>
              </w:rPr>
              <w:t>100%</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150%</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9"/>
              </w:rPr>
              <w:t>200%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8"/>
              </w:rPr>
              <w:t>150.2%</w:t>
            </w:r>
          </w:p>
        </w:tc>
        <w:tc>
          <w:tcPr>
            <w:tcW w:w="0" w:type="dxa"/>
            <w:vAlign w:val="bottom"/>
          </w:tcPr>
          <w:p>
            <w:pPr>
              <w:spacing w:after="0"/>
              <w:rPr>
                <w:sz w:val="1"/>
                <w:szCs w:val="1"/>
                <w:color w:val="auto"/>
              </w:rPr>
            </w:pPr>
          </w:p>
        </w:tc>
      </w:tr>
      <w:tr>
        <w:trPr>
          <w:trHeight w:val="131"/>
        </w:trPr>
        <w:tc>
          <w:tcPr>
            <w:tcW w:w="3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of target)</w:t>
            </w:r>
          </w:p>
        </w:tc>
        <w:tc>
          <w:tcPr>
            <w:tcW w:w="130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680" w:type="dxa"/>
            <w:vAlign w:val="bottom"/>
            <w:gridSpan w:val="2"/>
            <w:vMerge w:val="continue"/>
          </w:tcPr>
          <w:p>
            <w:pPr>
              <w:spacing w:after="0"/>
              <w:rPr>
                <w:sz w:val="10"/>
                <w:szCs w:val="10"/>
                <w:color w:val="auto"/>
              </w:rPr>
            </w:pPr>
          </w:p>
        </w:tc>
        <w:tc>
          <w:tcPr>
            <w:tcW w:w="1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60" w:type="dxa"/>
            <w:vAlign w:val="bottom"/>
            <w:tcBorders>
              <w:bottom w:val="single" w:sz="8" w:color="376DB5"/>
            </w:tcBorders>
          </w:tcPr>
          <w:p>
            <w:pPr>
              <w:spacing w:after="0"/>
              <w:rPr>
                <w:sz w:val="8"/>
                <w:szCs w:val="8"/>
                <w:color w:val="auto"/>
              </w:rPr>
            </w:pPr>
          </w:p>
        </w:tc>
        <w:tc>
          <w:tcPr>
            <w:tcW w:w="1920" w:type="dxa"/>
            <w:vAlign w:val="bottom"/>
            <w:tcBorders>
              <w:bottom w:val="single" w:sz="8" w:color="376DB5"/>
            </w:tcBorders>
          </w:tcPr>
          <w:p>
            <w:pPr>
              <w:spacing w:after="0"/>
              <w:rPr>
                <w:sz w:val="8"/>
                <w:szCs w:val="8"/>
                <w:color w:val="auto"/>
              </w:rPr>
            </w:pPr>
          </w:p>
        </w:tc>
        <w:tc>
          <w:tcPr>
            <w:tcW w:w="1300" w:type="dxa"/>
            <w:vAlign w:val="bottom"/>
            <w:tcBorders>
              <w:bottom w:val="single" w:sz="8" w:color="376DB5"/>
            </w:tcBorders>
          </w:tcPr>
          <w:p>
            <w:pPr>
              <w:spacing w:after="0"/>
              <w:rPr>
                <w:sz w:val="8"/>
                <w:szCs w:val="8"/>
                <w:color w:val="auto"/>
              </w:rPr>
            </w:pPr>
          </w:p>
        </w:tc>
        <w:tc>
          <w:tcPr>
            <w:tcW w:w="1220" w:type="dxa"/>
            <w:vAlign w:val="bottom"/>
            <w:tcBorders>
              <w:bottom w:val="single" w:sz="8" w:color="376DB5"/>
            </w:tcBorders>
          </w:tcPr>
          <w:p>
            <w:pPr>
              <w:spacing w:after="0"/>
              <w:rPr>
                <w:sz w:val="8"/>
                <w:szCs w:val="8"/>
                <w:color w:val="auto"/>
              </w:rPr>
            </w:pPr>
          </w:p>
        </w:tc>
        <w:tc>
          <w:tcPr>
            <w:tcW w:w="1220" w:type="dxa"/>
            <w:vAlign w:val="bottom"/>
            <w:tcBorders>
              <w:bottom w:val="single" w:sz="8" w:color="376DB5"/>
            </w:tcBorders>
          </w:tcPr>
          <w:p>
            <w:pPr>
              <w:spacing w:after="0"/>
              <w:rPr>
                <w:sz w:val="8"/>
                <w:szCs w:val="8"/>
                <w:color w:val="auto"/>
              </w:rPr>
            </w:pPr>
          </w:p>
        </w:tc>
        <w:tc>
          <w:tcPr>
            <w:tcW w:w="1200" w:type="dxa"/>
            <w:vAlign w:val="bottom"/>
            <w:tcBorders>
              <w:bottom w:val="single" w:sz="8" w:color="376DB5"/>
            </w:tcBorders>
          </w:tcPr>
          <w:p>
            <w:pPr>
              <w:spacing w:after="0"/>
              <w:rPr>
                <w:sz w:val="8"/>
                <w:szCs w:val="8"/>
                <w:color w:val="auto"/>
              </w:rPr>
            </w:pPr>
          </w:p>
        </w:tc>
        <w:tc>
          <w:tcPr>
            <w:tcW w:w="1240" w:type="dxa"/>
            <w:vAlign w:val="bottom"/>
            <w:tcBorders>
              <w:bottom w:val="single" w:sz="8" w:color="376DB5"/>
            </w:tcBorders>
          </w:tcPr>
          <w:p>
            <w:pPr>
              <w:spacing w:after="0"/>
              <w:rPr>
                <w:sz w:val="8"/>
                <w:szCs w:val="8"/>
                <w:color w:val="auto"/>
              </w:rPr>
            </w:pPr>
          </w:p>
        </w:tc>
        <w:tc>
          <w:tcPr>
            <w:tcW w:w="1160" w:type="dxa"/>
            <w:vAlign w:val="bottom"/>
            <w:tcBorders>
              <w:bottom w:val="single" w:sz="8" w:color="376DB5"/>
            </w:tcBorders>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760" w:type="dxa"/>
            <w:vAlign w:val="bottom"/>
            <w:tcBorders>
              <w:bottom w:val="single" w:sz="8" w:color="auto"/>
            </w:tcBorders>
          </w:tcPr>
          <w:p>
            <w:pPr>
              <w:spacing w:after="0"/>
              <w:rPr>
                <w:sz w:val="11"/>
                <w:szCs w:val="11"/>
                <w:color w:val="auto"/>
              </w:rPr>
            </w:pPr>
          </w:p>
        </w:tc>
        <w:tc>
          <w:tcPr>
            <w:tcW w:w="1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20" w:right="260" w:hanging="4"/>
        <w:spacing w:after="0" w:line="216" w:lineRule="auto"/>
        <w:tabs>
          <w:tab w:leader="none" w:pos="282"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For fiscal 2025, the LDCC determined that no adjustments to the Company’s GAAP revenue were warranted, and therefore Adjusted Revenue was the same as GAAP revenue.</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target number of PSUs and the actual number of PSUs earned for fiscal 2025 performance:</w:t>
      </w:r>
    </w:p>
    <w:p>
      <w:pPr>
        <w:spacing w:after="0" w:line="237" w:lineRule="exact"/>
        <w:rPr>
          <w:sz w:val="20"/>
          <w:szCs w:val="20"/>
          <w:color w:val="auto"/>
        </w:rPr>
      </w:pPr>
    </w:p>
    <w:tbl>
      <w:tblPr>
        <w:tblLayout w:type="fixed"/>
        <w:tblInd w:w="2100" w:type="dxa"/>
        <w:tblCellMar>
          <w:top w:w="0" w:type="dxa"/>
          <w:left w:w="0" w:type="dxa"/>
          <w:bottom w:w="0" w:type="dxa"/>
          <w:right w:w="0" w:type="dxa"/>
        </w:tblCellMar>
      </w:tblPr>
      <w:tr>
        <w:trPr>
          <w:trHeight w:val="197"/>
        </w:trPr>
        <w:tc>
          <w:tcPr>
            <w:tcW w:w="2760" w:type="dxa"/>
            <w:vAlign w:val="bottom"/>
            <w:tcBorders>
              <w:top w:val="single" w:sz="8" w:color="376DB5"/>
            </w:tcBorders>
          </w:tcPr>
          <w:p>
            <w:pPr>
              <w:spacing w:after="0"/>
              <w:rPr>
                <w:sz w:val="17"/>
                <w:szCs w:val="17"/>
                <w:color w:val="auto"/>
              </w:rPr>
            </w:pPr>
          </w:p>
        </w:tc>
        <w:tc>
          <w:tcPr>
            <w:tcW w:w="2440" w:type="dxa"/>
            <w:vAlign w:val="bottom"/>
            <w:tcBorders>
              <w:top w:val="single" w:sz="8" w:color="376DB5"/>
            </w:tcBorders>
          </w:tcPr>
          <w:p>
            <w:pPr>
              <w:ind w:left="680"/>
              <w:spacing w:after="0" w:line="197" w:lineRule="exact"/>
              <w:rPr>
                <w:sz w:val="20"/>
                <w:szCs w:val="20"/>
                <w:color w:val="auto"/>
              </w:rPr>
            </w:pPr>
            <w:r>
              <w:rPr>
                <w:rFonts w:ascii="Arial" w:cs="Arial" w:eastAsia="Arial" w:hAnsi="Arial"/>
                <w:sz w:val="18"/>
                <w:szCs w:val="18"/>
                <w:color w:val="376DB5"/>
              </w:rPr>
              <w:t>Target Number of</w:t>
            </w:r>
          </w:p>
        </w:tc>
        <w:tc>
          <w:tcPr>
            <w:tcW w:w="1840" w:type="dxa"/>
            <w:vAlign w:val="bottom"/>
            <w:tcBorders>
              <w:top w:val="single" w:sz="8" w:color="376DB5"/>
            </w:tcBorders>
          </w:tcPr>
          <w:p>
            <w:pPr>
              <w:ind w:left="340"/>
              <w:spacing w:after="0" w:line="197" w:lineRule="exact"/>
              <w:rPr>
                <w:sz w:val="20"/>
                <w:szCs w:val="20"/>
                <w:color w:val="auto"/>
              </w:rPr>
            </w:pPr>
            <w:r>
              <w:rPr>
                <w:rFonts w:ascii="Arial" w:cs="Arial" w:eastAsia="Arial" w:hAnsi="Arial"/>
                <w:sz w:val="18"/>
                <w:szCs w:val="18"/>
                <w:color w:val="376DB5"/>
                <w:w w:val="99"/>
              </w:rPr>
              <w:t>Actual Number of </w:t>
            </w:r>
          </w:p>
        </w:tc>
      </w:tr>
      <w:tr>
        <w:trPr>
          <w:trHeight w:val="203"/>
        </w:trPr>
        <w:tc>
          <w:tcPr>
            <w:tcW w:w="2760" w:type="dxa"/>
            <w:vAlign w:val="bottom"/>
          </w:tcPr>
          <w:p>
            <w:pPr>
              <w:spacing w:after="0"/>
              <w:rPr>
                <w:sz w:val="17"/>
                <w:szCs w:val="17"/>
                <w:color w:val="auto"/>
              </w:rPr>
            </w:pPr>
          </w:p>
        </w:tc>
        <w:tc>
          <w:tcPr>
            <w:tcW w:w="2440" w:type="dxa"/>
            <w:vAlign w:val="bottom"/>
          </w:tcPr>
          <w:p>
            <w:pPr>
              <w:ind w:left="680"/>
              <w:spacing w:after="0" w:line="202" w:lineRule="exact"/>
              <w:rPr>
                <w:sz w:val="20"/>
                <w:szCs w:val="20"/>
                <w:color w:val="auto"/>
              </w:rPr>
            </w:pPr>
            <w:r>
              <w:rPr>
                <w:rFonts w:ascii="Arial" w:cs="Arial" w:eastAsia="Arial" w:hAnsi="Arial"/>
                <w:sz w:val="18"/>
                <w:szCs w:val="18"/>
                <w:color w:val="376DB5"/>
              </w:rPr>
              <w:t>PSUs Granted for</w:t>
            </w:r>
          </w:p>
        </w:tc>
        <w:tc>
          <w:tcPr>
            <w:tcW w:w="1840" w:type="dxa"/>
            <w:vAlign w:val="bottom"/>
          </w:tcPr>
          <w:p>
            <w:pPr>
              <w:ind w:left="340"/>
              <w:spacing w:after="0" w:line="202" w:lineRule="exact"/>
              <w:rPr>
                <w:sz w:val="20"/>
                <w:szCs w:val="20"/>
                <w:color w:val="auto"/>
              </w:rPr>
            </w:pPr>
            <w:r>
              <w:rPr>
                <w:rFonts w:ascii="Arial" w:cs="Arial" w:eastAsia="Arial" w:hAnsi="Arial"/>
                <w:sz w:val="18"/>
                <w:szCs w:val="18"/>
                <w:color w:val="376DB5"/>
              </w:rPr>
              <w:t>PSUs Earned for </w:t>
            </w:r>
          </w:p>
        </w:tc>
      </w:tr>
      <w:tr>
        <w:trPr>
          <w:trHeight w:val="235"/>
        </w:trPr>
        <w:tc>
          <w:tcPr>
            <w:tcW w:w="2760" w:type="dxa"/>
            <w:vAlign w:val="bottom"/>
            <w:tcBorders>
              <w:bottom w:val="single" w:sz="8" w:color="376DB5"/>
            </w:tcBorders>
          </w:tcPr>
          <w:p>
            <w:pPr>
              <w:spacing w:after="0" w:line="235" w:lineRule="exact"/>
              <w:rPr>
                <w:sz w:val="20"/>
                <w:szCs w:val="20"/>
                <w:color w:val="auto"/>
              </w:rPr>
            </w:pPr>
            <w:r>
              <w:rPr>
                <w:rFonts w:ascii="Arial" w:cs="Arial" w:eastAsia="Arial" w:hAnsi="Arial"/>
                <w:sz w:val="18"/>
                <w:szCs w:val="18"/>
                <w:color w:val="376DB5"/>
              </w:rPr>
              <w:t>  Named Executive Officer</w:t>
            </w:r>
            <w:r>
              <w:rPr>
                <w:rFonts w:ascii="Arial" w:cs="Arial" w:eastAsia="Arial" w:hAnsi="Arial"/>
                <w:sz w:val="26"/>
                <w:szCs w:val="26"/>
                <w:color w:val="376DB5"/>
                <w:vertAlign w:val="superscript"/>
              </w:rPr>
              <w:t>(1)</w:t>
            </w:r>
          </w:p>
        </w:tc>
        <w:tc>
          <w:tcPr>
            <w:tcW w:w="2440" w:type="dxa"/>
            <w:vAlign w:val="bottom"/>
            <w:tcBorders>
              <w:bottom w:val="single" w:sz="8" w:color="376DB5"/>
            </w:tcBorders>
          </w:tcPr>
          <w:p>
            <w:pPr>
              <w:ind w:left="680"/>
              <w:spacing w:after="0"/>
              <w:rPr>
                <w:sz w:val="20"/>
                <w:szCs w:val="20"/>
                <w:color w:val="auto"/>
              </w:rPr>
            </w:pPr>
            <w:r>
              <w:rPr>
                <w:rFonts w:ascii="Arial" w:cs="Arial" w:eastAsia="Arial" w:hAnsi="Arial"/>
                <w:sz w:val="18"/>
                <w:szCs w:val="18"/>
                <w:color w:val="376DB5"/>
              </w:rPr>
              <w:t>Fiscal 2025</w:t>
            </w:r>
          </w:p>
        </w:tc>
        <w:tc>
          <w:tcPr>
            <w:tcW w:w="1840" w:type="dxa"/>
            <w:vAlign w:val="bottom"/>
            <w:tcBorders>
              <w:bottom w:val="single" w:sz="8" w:color="376DB5"/>
            </w:tcBorders>
          </w:tcPr>
          <w:p>
            <w:pPr>
              <w:ind w:left="340"/>
              <w:spacing w:after="0"/>
              <w:rPr>
                <w:sz w:val="20"/>
                <w:szCs w:val="20"/>
                <w:color w:val="auto"/>
              </w:rPr>
            </w:pPr>
            <w:r>
              <w:rPr>
                <w:rFonts w:ascii="Arial" w:cs="Arial" w:eastAsia="Arial" w:hAnsi="Arial"/>
                <w:sz w:val="18"/>
                <w:szCs w:val="18"/>
                <w:color w:val="376DB5"/>
              </w:rPr>
              <w:t>Fiscal 2025</w:t>
            </w:r>
          </w:p>
        </w:tc>
      </w:tr>
      <w:tr>
        <w:trPr>
          <w:trHeight w:val="254"/>
        </w:trPr>
        <w:tc>
          <w:tcPr>
            <w:tcW w:w="2760" w:type="dxa"/>
            <w:vAlign w:val="bottom"/>
          </w:tcPr>
          <w:p>
            <w:pPr>
              <w:spacing w:after="0"/>
              <w:rPr>
                <w:sz w:val="20"/>
                <w:szCs w:val="20"/>
                <w:color w:val="auto"/>
              </w:rPr>
            </w:pPr>
            <w:r>
              <w:rPr>
                <w:rFonts w:ascii="Arial" w:cs="Arial" w:eastAsia="Arial" w:hAnsi="Arial"/>
                <w:sz w:val="18"/>
                <w:szCs w:val="18"/>
                <w:color w:val="auto"/>
              </w:rPr>
              <w:t>  William Lansing</w:t>
            </w:r>
          </w:p>
        </w:tc>
        <w:tc>
          <w:tcPr>
            <w:tcW w:w="2440" w:type="dxa"/>
            <w:vAlign w:val="bottom"/>
          </w:tcPr>
          <w:p>
            <w:pPr>
              <w:jc w:val="right"/>
              <w:ind w:right="570"/>
              <w:spacing w:after="0"/>
              <w:rPr>
                <w:sz w:val="20"/>
                <w:szCs w:val="20"/>
                <w:color w:val="auto"/>
              </w:rPr>
            </w:pPr>
            <w:r>
              <w:rPr>
                <w:rFonts w:ascii="Arial" w:cs="Arial" w:eastAsia="Arial" w:hAnsi="Arial"/>
                <w:sz w:val="18"/>
                <w:szCs w:val="18"/>
                <w:color w:val="auto"/>
              </w:rPr>
              <w:t>4,480</w:t>
            </w:r>
          </w:p>
        </w:tc>
        <w:tc>
          <w:tcPr>
            <w:tcW w:w="1840" w:type="dxa"/>
            <w:vAlign w:val="bottom"/>
          </w:tcPr>
          <w:p>
            <w:pPr>
              <w:jc w:val="right"/>
              <w:ind w:right="230"/>
              <w:spacing w:after="0"/>
              <w:rPr>
                <w:sz w:val="20"/>
                <w:szCs w:val="20"/>
                <w:color w:val="auto"/>
              </w:rPr>
            </w:pPr>
            <w:r>
              <w:rPr>
                <w:rFonts w:ascii="Arial" w:cs="Arial" w:eastAsia="Arial" w:hAnsi="Arial"/>
                <w:sz w:val="18"/>
                <w:szCs w:val="18"/>
                <w:color w:val="auto"/>
              </w:rPr>
              <w:t>6,729</w:t>
            </w:r>
          </w:p>
        </w:tc>
      </w:tr>
      <w:tr>
        <w:trPr>
          <w:trHeight w:val="37"/>
        </w:trPr>
        <w:tc>
          <w:tcPr>
            <w:tcW w:w="276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291"/>
        </w:trPr>
        <w:tc>
          <w:tcPr>
            <w:tcW w:w="276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  Steven Weber</w:t>
            </w:r>
          </w:p>
        </w:tc>
        <w:tc>
          <w:tcPr>
            <w:tcW w:w="2440" w:type="dxa"/>
            <w:vAlign w:val="bottom"/>
            <w:tcBorders>
              <w:bottom w:val="single" w:sz="8" w:color="F2F2F2"/>
            </w:tcBorders>
            <w:shd w:val="clear" w:color="auto" w:fill="F2F2F2"/>
          </w:tcPr>
          <w:p>
            <w:pPr>
              <w:jc w:val="right"/>
              <w:ind w:right="570"/>
              <w:spacing w:after="0"/>
              <w:rPr>
                <w:sz w:val="20"/>
                <w:szCs w:val="20"/>
                <w:color w:val="auto"/>
              </w:rPr>
            </w:pPr>
            <w:r>
              <w:rPr>
                <w:rFonts w:ascii="Arial" w:cs="Arial" w:eastAsia="Arial" w:hAnsi="Arial"/>
                <w:sz w:val="18"/>
                <w:szCs w:val="18"/>
                <w:color w:val="auto"/>
              </w:rPr>
              <w:t>822</w:t>
            </w:r>
          </w:p>
        </w:tc>
        <w:tc>
          <w:tcPr>
            <w:tcW w:w="1840" w:type="dxa"/>
            <w:vAlign w:val="bottom"/>
            <w:tcBorders>
              <w:bottom w:val="single" w:sz="8" w:color="F2F2F2"/>
            </w:tcBorders>
            <w:shd w:val="clear" w:color="auto" w:fill="F2F2F2"/>
          </w:tcPr>
          <w:p>
            <w:pPr>
              <w:jc w:val="right"/>
              <w:ind w:right="230"/>
              <w:spacing w:after="0"/>
              <w:rPr>
                <w:sz w:val="20"/>
                <w:szCs w:val="20"/>
                <w:color w:val="auto"/>
              </w:rPr>
            </w:pPr>
            <w:r>
              <w:rPr>
                <w:rFonts w:ascii="Arial" w:cs="Arial" w:eastAsia="Arial" w:hAnsi="Arial"/>
                <w:sz w:val="18"/>
                <w:szCs w:val="18"/>
                <w:color w:val="auto"/>
              </w:rPr>
              <w:t>1,235</w:t>
            </w:r>
          </w:p>
        </w:tc>
      </w:tr>
      <w:tr>
        <w:trPr>
          <w:trHeight w:val="274"/>
        </w:trPr>
        <w:tc>
          <w:tcPr>
            <w:tcW w:w="2760" w:type="dxa"/>
            <w:vAlign w:val="bottom"/>
          </w:tcPr>
          <w:p>
            <w:pPr>
              <w:spacing w:after="0"/>
              <w:rPr>
                <w:sz w:val="20"/>
                <w:szCs w:val="20"/>
                <w:color w:val="auto"/>
              </w:rPr>
            </w:pPr>
            <w:r>
              <w:rPr>
                <w:rFonts w:ascii="Arial" w:cs="Arial" w:eastAsia="Arial" w:hAnsi="Arial"/>
                <w:sz w:val="18"/>
                <w:szCs w:val="18"/>
                <w:color w:val="auto"/>
              </w:rPr>
              <w:t>  Nikhil Behl</w:t>
            </w:r>
          </w:p>
        </w:tc>
        <w:tc>
          <w:tcPr>
            <w:tcW w:w="2440" w:type="dxa"/>
            <w:vAlign w:val="bottom"/>
          </w:tcPr>
          <w:p>
            <w:pPr>
              <w:jc w:val="right"/>
              <w:ind w:right="570"/>
              <w:spacing w:after="0"/>
              <w:rPr>
                <w:sz w:val="20"/>
                <w:szCs w:val="20"/>
                <w:color w:val="auto"/>
              </w:rPr>
            </w:pPr>
            <w:r>
              <w:rPr>
                <w:rFonts w:ascii="Arial" w:cs="Arial" w:eastAsia="Arial" w:hAnsi="Arial"/>
                <w:sz w:val="18"/>
                <w:szCs w:val="18"/>
                <w:color w:val="auto"/>
              </w:rPr>
              <w:t>896</w:t>
            </w:r>
          </w:p>
        </w:tc>
        <w:tc>
          <w:tcPr>
            <w:tcW w:w="1840" w:type="dxa"/>
            <w:vAlign w:val="bottom"/>
          </w:tcPr>
          <w:p>
            <w:pPr>
              <w:jc w:val="right"/>
              <w:ind w:right="230"/>
              <w:spacing w:after="0"/>
              <w:rPr>
                <w:sz w:val="20"/>
                <w:szCs w:val="20"/>
                <w:color w:val="auto"/>
              </w:rPr>
            </w:pPr>
            <w:r>
              <w:rPr>
                <w:rFonts w:ascii="Arial" w:cs="Arial" w:eastAsia="Arial" w:hAnsi="Arial"/>
                <w:sz w:val="18"/>
                <w:szCs w:val="18"/>
                <w:color w:val="auto"/>
              </w:rPr>
              <w:t>1,346</w:t>
            </w:r>
          </w:p>
        </w:tc>
      </w:tr>
      <w:tr>
        <w:trPr>
          <w:trHeight w:val="37"/>
        </w:trPr>
        <w:tc>
          <w:tcPr>
            <w:tcW w:w="276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290"/>
        </w:trPr>
        <w:tc>
          <w:tcPr>
            <w:tcW w:w="276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  Richard Deal</w:t>
            </w:r>
          </w:p>
        </w:tc>
        <w:tc>
          <w:tcPr>
            <w:tcW w:w="2440" w:type="dxa"/>
            <w:vAlign w:val="bottom"/>
            <w:tcBorders>
              <w:bottom w:val="single" w:sz="8" w:color="F2F2F2"/>
            </w:tcBorders>
            <w:shd w:val="clear" w:color="auto" w:fill="F2F2F2"/>
          </w:tcPr>
          <w:p>
            <w:pPr>
              <w:jc w:val="right"/>
              <w:ind w:right="570"/>
              <w:spacing w:after="0"/>
              <w:rPr>
                <w:sz w:val="20"/>
                <w:szCs w:val="20"/>
                <w:color w:val="auto"/>
              </w:rPr>
            </w:pPr>
            <w:r>
              <w:rPr>
                <w:rFonts w:ascii="Arial" w:cs="Arial" w:eastAsia="Arial" w:hAnsi="Arial"/>
                <w:sz w:val="18"/>
                <w:szCs w:val="18"/>
                <w:color w:val="auto"/>
              </w:rPr>
              <w:t>822</w:t>
            </w:r>
          </w:p>
        </w:tc>
        <w:tc>
          <w:tcPr>
            <w:tcW w:w="1840" w:type="dxa"/>
            <w:vAlign w:val="bottom"/>
            <w:tcBorders>
              <w:bottom w:val="single" w:sz="8" w:color="F2F2F2"/>
            </w:tcBorders>
            <w:shd w:val="clear" w:color="auto" w:fill="F2F2F2"/>
          </w:tcPr>
          <w:p>
            <w:pPr>
              <w:jc w:val="right"/>
              <w:ind w:right="230"/>
              <w:spacing w:after="0"/>
              <w:rPr>
                <w:sz w:val="20"/>
                <w:szCs w:val="20"/>
                <w:color w:val="auto"/>
              </w:rPr>
            </w:pPr>
            <w:r>
              <w:rPr>
                <w:rFonts w:ascii="Arial" w:cs="Arial" w:eastAsia="Arial" w:hAnsi="Arial"/>
                <w:sz w:val="18"/>
                <w:szCs w:val="18"/>
                <w:color w:val="auto"/>
              </w:rPr>
              <w:t>1,235</w:t>
            </w:r>
          </w:p>
        </w:tc>
      </w:tr>
      <w:tr>
        <w:trPr>
          <w:trHeight w:val="274"/>
        </w:trPr>
        <w:tc>
          <w:tcPr>
            <w:tcW w:w="2760" w:type="dxa"/>
            <w:vAlign w:val="bottom"/>
          </w:tcPr>
          <w:p>
            <w:pPr>
              <w:spacing w:after="0"/>
              <w:rPr>
                <w:sz w:val="20"/>
                <w:szCs w:val="20"/>
                <w:color w:val="auto"/>
              </w:rPr>
            </w:pPr>
            <w:r>
              <w:rPr>
                <w:rFonts w:ascii="Arial" w:cs="Arial" w:eastAsia="Arial" w:hAnsi="Arial"/>
                <w:sz w:val="18"/>
                <w:szCs w:val="18"/>
                <w:color w:val="auto"/>
              </w:rPr>
              <w:t>  Mark Scadina</w:t>
            </w:r>
          </w:p>
        </w:tc>
        <w:tc>
          <w:tcPr>
            <w:tcW w:w="2440" w:type="dxa"/>
            <w:vAlign w:val="bottom"/>
          </w:tcPr>
          <w:p>
            <w:pPr>
              <w:jc w:val="right"/>
              <w:ind w:right="570"/>
              <w:spacing w:after="0"/>
              <w:rPr>
                <w:sz w:val="20"/>
                <w:szCs w:val="20"/>
                <w:color w:val="auto"/>
              </w:rPr>
            </w:pPr>
            <w:r>
              <w:rPr>
                <w:rFonts w:ascii="Arial" w:cs="Arial" w:eastAsia="Arial" w:hAnsi="Arial"/>
                <w:sz w:val="18"/>
                <w:szCs w:val="18"/>
                <w:color w:val="auto"/>
              </w:rPr>
              <w:t>822</w:t>
            </w:r>
          </w:p>
        </w:tc>
        <w:tc>
          <w:tcPr>
            <w:tcW w:w="1840" w:type="dxa"/>
            <w:vAlign w:val="bottom"/>
          </w:tcPr>
          <w:p>
            <w:pPr>
              <w:jc w:val="right"/>
              <w:ind w:right="230"/>
              <w:spacing w:after="0"/>
              <w:rPr>
                <w:sz w:val="20"/>
                <w:szCs w:val="20"/>
                <w:color w:val="auto"/>
              </w:rPr>
            </w:pPr>
            <w:r>
              <w:rPr>
                <w:rFonts w:ascii="Arial" w:cs="Arial" w:eastAsia="Arial" w:hAnsi="Arial"/>
                <w:sz w:val="18"/>
                <w:szCs w:val="18"/>
                <w:color w:val="auto"/>
              </w:rPr>
              <w:t>1,235</w:t>
            </w:r>
          </w:p>
        </w:tc>
      </w:tr>
      <w:tr>
        <w:trPr>
          <w:trHeight w:val="36"/>
        </w:trPr>
        <w:tc>
          <w:tcPr>
            <w:tcW w:w="2760" w:type="dxa"/>
            <w:vAlign w:val="bottom"/>
            <w:tcBorders>
              <w:bottom w:val="single" w:sz="8" w:color="376DB5"/>
            </w:tcBorders>
          </w:tcPr>
          <w:p>
            <w:pPr>
              <w:spacing w:after="0"/>
              <w:rPr>
                <w:sz w:val="3"/>
                <w:szCs w:val="3"/>
                <w:color w:val="auto"/>
              </w:rPr>
            </w:pPr>
          </w:p>
        </w:tc>
        <w:tc>
          <w:tcPr>
            <w:tcW w:w="2440" w:type="dxa"/>
            <w:vAlign w:val="bottom"/>
            <w:tcBorders>
              <w:bottom w:val="single" w:sz="8" w:color="376DB5"/>
            </w:tcBorders>
          </w:tcPr>
          <w:p>
            <w:pPr>
              <w:spacing w:after="0"/>
              <w:rPr>
                <w:sz w:val="3"/>
                <w:szCs w:val="3"/>
                <w:color w:val="auto"/>
              </w:rPr>
            </w:pPr>
          </w:p>
        </w:tc>
        <w:tc>
          <w:tcPr>
            <w:tcW w:w="1840" w:type="dxa"/>
            <w:vAlign w:val="bottom"/>
            <w:tcBorders>
              <w:bottom w:val="single" w:sz="8" w:color="376DB5"/>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11226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201" w:lineRule="exact"/>
        <w:rPr>
          <w:sz w:val="20"/>
          <w:szCs w:val="20"/>
          <w:color w:val="auto"/>
        </w:rPr>
      </w:pPr>
    </w:p>
    <w:p>
      <w:pPr>
        <w:ind w:left="280" w:hanging="164"/>
        <w:spacing w:after="0"/>
        <w:tabs>
          <w:tab w:leader="none" w:pos="280" w:val="left"/>
        </w:tabs>
        <w:numPr>
          <w:ilvl w:val="0"/>
          <w:numId w:val="46"/>
        </w:numPr>
        <w:rPr>
          <w:rFonts w:ascii="Arial" w:cs="Arial" w:eastAsia="Arial" w:hAnsi="Arial"/>
          <w:sz w:val="20"/>
          <w:szCs w:val="20"/>
          <w:color w:val="auto"/>
          <w:vertAlign w:val="superscript"/>
        </w:rPr>
      </w:pPr>
      <w:r>
        <w:rPr>
          <w:rFonts w:ascii="Arial" w:cs="Arial" w:eastAsia="Arial" w:hAnsi="Arial"/>
          <w:sz w:val="14"/>
          <w:szCs w:val="14"/>
          <w:color w:val="auto"/>
        </w:rPr>
        <w:t>All of the 2025 PSUs (896 PSUs at target) granted to Mr. Wehmann were forfeited upon his retirement from the Company.</w:t>
      </w:r>
    </w:p>
    <w:p>
      <w:pPr>
        <w:sectPr>
          <w:pgSz w:w="11900" w:h="16838" w:orient="portrait"/>
          <w:cols w:equalWidth="0" w:num="1">
            <w:col w:w="11140"/>
          </w:cols>
          <w:pgMar w:left="320" w:top="482" w:right="439" w:bottom="1440" w:gutter="0" w:footer="0" w:header="0"/>
        </w:sectPr>
      </w:pPr>
    </w:p>
    <w:p>
      <w:pPr>
        <w:spacing w:after="0" w:line="111"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50</w:t>
      </w:r>
    </w:p>
    <w:p>
      <w:pPr>
        <w:sectPr>
          <w:pgSz w:w="11900" w:h="16838" w:orient="portrait"/>
          <w:cols w:equalWidth="0" w:num="1">
            <w:col w:w="11140"/>
          </w:cols>
          <w:pgMar w:left="320" w:top="482" w:right="4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One-third of the earned PSUs vested and were settled in shares of our common stock following the end of fiscal 2025 and two-thirds will vest over the next two fiscal years provided the named executive officer remains with the Company as of each vesting date or vesting of the PSUs continues pursuant to the terms of the applicable award agreement.</w:t>
      </w:r>
    </w:p>
    <w:p>
      <w:pPr>
        <w:spacing w:after="0" w:line="61" w:lineRule="exact"/>
        <w:rPr>
          <w:sz w:val="20"/>
          <w:szCs w:val="20"/>
          <w:color w:val="auto"/>
        </w:rPr>
      </w:pPr>
    </w:p>
    <w:p>
      <w:pPr>
        <w:jc w:val="both"/>
        <w:ind w:left="120" w:firstLine="551"/>
        <w:spacing w:after="0" w:line="244" w:lineRule="auto"/>
        <w:rPr>
          <w:sz w:val="20"/>
          <w:szCs w:val="20"/>
          <w:color w:val="auto"/>
        </w:rPr>
      </w:pPr>
      <w:r>
        <w:rPr>
          <w:rFonts w:ascii="Arial" w:cs="Arial" w:eastAsia="Arial" w:hAnsi="Arial"/>
          <w:sz w:val="18"/>
          <w:szCs w:val="18"/>
          <w:i w:val="1"/>
          <w:iCs w:val="1"/>
          <w:color w:val="auto"/>
        </w:rPr>
        <w:t xml:space="preserve">Market Share Units (“MSUs”). </w:t>
      </w:r>
      <w:r>
        <w:rPr>
          <w:rFonts w:ascii="Arial" w:cs="Arial" w:eastAsia="Arial" w:hAnsi="Arial"/>
          <w:sz w:val="18"/>
          <w:szCs w:val="18"/>
          <w:color w:val="auto"/>
        </w:rPr>
        <w:t>The MSUs granted as part of the annual awards in fiscal 2025 are earned based on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total shareholder return relative to the S&amp;P 500 over a three-year performance period, with interim earning opportunities after the first and second years of the performance period. The LDCC decided to measure performance over a total of three years to integrate a longer, multi-year performance period into the Company’s equity compensation program. The number of MSUs earned for each performance period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7029450" cy="40201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029450" cy="402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120" w:right="20" w:firstLine="551"/>
        <w:spacing w:after="0" w:line="216" w:lineRule="auto"/>
        <w:rPr>
          <w:sz w:val="20"/>
          <w:szCs w:val="20"/>
          <w:color w:val="auto"/>
        </w:rPr>
      </w:pPr>
      <w:r>
        <w:rPr>
          <w:rFonts w:ascii="Arial" w:cs="Arial" w:eastAsia="Arial" w:hAnsi="Arial"/>
          <w:sz w:val="18"/>
          <w:szCs w:val="18"/>
          <w:color w:val="auto"/>
        </w:rPr>
        <w:t>The relative return factor for each performance period of the fiscal 2025 MSUs is determined based on the Company’s total shareholder return relative to the S&amp;P 500 Index for such performance period, with performance at the 55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of the Index required to achieve target payout, as follows (with earned amounts interpolated between relative performance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144780</wp:posOffset>
            </wp:positionV>
            <wp:extent cx="3840480" cy="11144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40480" cy="111442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51</w:t>
      </w:r>
    </w:p>
    <w:p>
      <w:pPr>
        <w:sectPr>
          <w:pgSz w:w="11900" w:h="16838" w:orient="portrait"/>
          <w:cols w:equalWidth="0" w:num="1">
            <w:col w:w="11140"/>
          </w:cols>
          <w:pgMar w:left="320" w:top="482" w:right="4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2"/>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The following table sets forth, for the applicable performance period that includes fiscal 2025 for each of the MSUs granted in fiscal 2025, 2024 and 2023, the Company’s TSR and percentile of performance relative to the TSR of the applicable comparator group – the S&amp;P 500 Index for fiscal 2025 MSUs and the Russell 3000 Index for fiscal 2024 and 2023 MSUs - which on a relative basis for each performance period resulted in the relative return factor reported for each performance period:</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1760" w:type="dxa"/>
            <w:vAlign w:val="bottom"/>
            <w:tcBorders>
              <w:top w:val="single" w:sz="8" w:color="376DB5"/>
            </w:tcBorders>
          </w:tcPr>
          <w:p>
            <w:pPr>
              <w:spacing w:after="0"/>
              <w:rPr>
                <w:sz w:val="17"/>
                <w:szCs w:val="17"/>
                <w:color w:val="auto"/>
              </w:rPr>
            </w:pPr>
          </w:p>
        </w:tc>
        <w:tc>
          <w:tcPr>
            <w:tcW w:w="2060" w:type="dxa"/>
            <w:vAlign w:val="bottom"/>
            <w:tcBorders>
              <w:top w:val="single" w:sz="8" w:color="376DB5"/>
            </w:tcBorders>
          </w:tcPr>
          <w:p>
            <w:pPr>
              <w:spacing w:after="0"/>
              <w:rPr>
                <w:sz w:val="17"/>
                <w:szCs w:val="17"/>
                <w:color w:val="auto"/>
              </w:rPr>
            </w:pPr>
          </w:p>
        </w:tc>
        <w:tc>
          <w:tcPr>
            <w:tcW w:w="1980" w:type="dxa"/>
            <w:vAlign w:val="bottom"/>
            <w:tcBorders>
              <w:top w:val="single" w:sz="8" w:color="376DB5"/>
            </w:tcBorders>
          </w:tcPr>
          <w:p>
            <w:pPr>
              <w:spacing w:after="0"/>
              <w:rPr>
                <w:sz w:val="17"/>
                <w:szCs w:val="17"/>
                <w:color w:val="auto"/>
              </w:rPr>
            </w:pPr>
          </w:p>
        </w:tc>
        <w:tc>
          <w:tcPr>
            <w:tcW w:w="1540" w:type="dxa"/>
            <w:vAlign w:val="bottom"/>
            <w:tcBorders>
              <w:top w:val="single" w:sz="8" w:color="376DB5"/>
            </w:tcBorders>
          </w:tcPr>
          <w:p>
            <w:pPr>
              <w:jc w:val="center"/>
              <w:spacing w:after="0" w:line="197" w:lineRule="exact"/>
              <w:rPr>
                <w:sz w:val="20"/>
                <w:szCs w:val="20"/>
                <w:color w:val="auto"/>
              </w:rPr>
            </w:pPr>
            <w:r>
              <w:rPr>
                <w:rFonts w:ascii="Arial" w:cs="Arial" w:eastAsia="Arial" w:hAnsi="Arial"/>
                <w:sz w:val="18"/>
                <w:szCs w:val="18"/>
                <w:color w:val="376DB5"/>
                <w:w w:val="99"/>
              </w:rPr>
              <w:t>Russell 3000</w:t>
            </w:r>
          </w:p>
        </w:tc>
        <w:tc>
          <w:tcPr>
            <w:tcW w:w="1220" w:type="dxa"/>
            <w:vAlign w:val="bottom"/>
            <w:tcBorders>
              <w:top w:val="single" w:sz="8" w:color="376DB5"/>
            </w:tcBorders>
          </w:tcPr>
          <w:p>
            <w:pPr>
              <w:jc w:val="center"/>
              <w:ind w:left="30"/>
              <w:spacing w:after="0" w:line="197" w:lineRule="exact"/>
              <w:rPr>
                <w:sz w:val="20"/>
                <w:szCs w:val="20"/>
                <w:color w:val="auto"/>
              </w:rPr>
            </w:pPr>
            <w:r>
              <w:rPr>
                <w:rFonts w:ascii="Arial" w:cs="Arial" w:eastAsia="Arial" w:hAnsi="Arial"/>
                <w:sz w:val="18"/>
                <w:szCs w:val="18"/>
                <w:color w:val="376DB5"/>
                <w:w w:val="98"/>
              </w:rPr>
              <w:t>S&amp;P 500</w:t>
            </w:r>
          </w:p>
        </w:tc>
        <w:tc>
          <w:tcPr>
            <w:tcW w:w="2460" w:type="dxa"/>
            <w:vAlign w:val="bottom"/>
            <w:tcBorders>
              <w:top w:val="single" w:sz="8" w:color="376DB5"/>
            </w:tcBorders>
          </w:tcPr>
          <w:p>
            <w:pPr>
              <w:spacing w:after="0"/>
              <w:rPr>
                <w:sz w:val="17"/>
                <w:szCs w:val="17"/>
                <w:color w:val="auto"/>
              </w:rPr>
            </w:pPr>
          </w:p>
        </w:tc>
      </w:tr>
      <w:tr>
        <w:trPr>
          <w:trHeight w:val="203"/>
        </w:trPr>
        <w:tc>
          <w:tcPr>
            <w:tcW w:w="17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40" w:type="dxa"/>
            <w:vAlign w:val="bottom"/>
          </w:tcPr>
          <w:p>
            <w:pPr>
              <w:jc w:val="center"/>
              <w:spacing w:after="0" w:line="202" w:lineRule="exact"/>
              <w:rPr>
                <w:sz w:val="20"/>
                <w:szCs w:val="20"/>
                <w:color w:val="auto"/>
              </w:rPr>
            </w:pPr>
            <w:r>
              <w:rPr>
                <w:rFonts w:ascii="Arial" w:cs="Arial" w:eastAsia="Arial" w:hAnsi="Arial"/>
                <w:sz w:val="18"/>
                <w:szCs w:val="18"/>
                <w:color w:val="376DB5"/>
              </w:rPr>
              <w:t>Index TSR</w:t>
            </w:r>
          </w:p>
        </w:tc>
        <w:tc>
          <w:tcPr>
            <w:tcW w:w="1220" w:type="dxa"/>
            <w:vAlign w:val="bottom"/>
          </w:tcPr>
          <w:p>
            <w:pPr>
              <w:jc w:val="center"/>
              <w:ind w:left="30"/>
              <w:spacing w:after="0" w:line="202" w:lineRule="exact"/>
              <w:rPr>
                <w:sz w:val="20"/>
                <w:szCs w:val="20"/>
                <w:color w:val="auto"/>
              </w:rPr>
            </w:pPr>
            <w:r>
              <w:rPr>
                <w:rFonts w:ascii="Arial" w:cs="Arial" w:eastAsia="Arial" w:hAnsi="Arial"/>
                <w:sz w:val="18"/>
                <w:szCs w:val="18"/>
                <w:color w:val="376DB5"/>
              </w:rPr>
              <w:t>Index TSR</w:t>
            </w:r>
          </w:p>
        </w:tc>
        <w:tc>
          <w:tcPr>
            <w:tcW w:w="2460" w:type="dxa"/>
            <w:vAlign w:val="bottom"/>
          </w:tcPr>
          <w:p>
            <w:pPr>
              <w:jc w:val="center"/>
              <w:spacing w:after="0" w:line="202" w:lineRule="exact"/>
              <w:rPr>
                <w:sz w:val="20"/>
                <w:szCs w:val="20"/>
                <w:color w:val="auto"/>
              </w:rPr>
            </w:pPr>
            <w:r>
              <w:rPr>
                <w:rFonts w:ascii="Arial" w:cs="Arial" w:eastAsia="Arial" w:hAnsi="Arial"/>
                <w:sz w:val="18"/>
                <w:szCs w:val="18"/>
                <w:color w:val="376DB5"/>
                <w:w w:val="99"/>
              </w:rPr>
              <w:t>MSUs Earned</w:t>
            </w:r>
          </w:p>
        </w:tc>
      </w:tr>
      <w:tr>
        <w:trPr>
          <w:trHeight w:val="235"/>
        </w:trPr>
        <w:tc>
          <w:tcPr>
            <w:tcW w:w="1760" w:type="dxa"/>
            <w:vAlign w:val="bottom"/>
            <w:tcBorders>
              <w:bottom w:val="single" w:sz="8" w:color="376DB5"/>
            </w:tcBorders>
          </w:tcPr>
          <w:p>
            <w:pPr>
              <w:spacing w:after="0"/>
              <w:rPr>
                <w:sz w:val="20"/>
                <w:szCs w:val="20"/>
                <w:color w:val="auto"/>
              </w:rPr>
            </w:pPr>
            <w:r>
              <w:rPr>
                <w:rFonts w:ascii="Arial" w:cs="Arial" w:eastAsia="Arial" w:hAnsi="Arial"/>
                <w:sz w:val="18"/>
                <w:szCs w:val="18"/>
                <w:color w:val="376DB5"/>
              </w:rPr>
              <w:t>  Award</w:t>
            </w:r>
          </w:p>
        </w:tc>
        <w:tc>
          <w:tcPr>
            <w:tcW w:w="2060" w:type="dxa"/>
            <w:vAlign w:val="bottom"/>
            <w:tcBorders>
              <w:bottom w:val="single" w:sz="8" w:color="376DB5"/>
            </w:tcBorders>
          </w:tcPr>
          <w:p>
            <w:pPr>
              <w:jc w:val="center"/>
              <w:spacing w:after="0"/>
              <w:rPr>
                <w:sz w:val="20"/>
                <w:szCs w:val="20"/>
                <w:color w:val="auto"/>
              </w:rPr>
            </w:pPr>
            <w:r>
              <w:rPr>
                <w:rFonts w:ascii="Arial" w:cs="Arial" w:eastAsia="Arial" w:hAnsi="Arial"/>
                <w:sz w:val="18"/>
                <w:szCs w:val="18"/>
                <w:color w:val="376DB5"/>
                <w:w w:val="99"/>
              </w:rPr>
              <w:t>Performance Period</w:t>
            </w:r>
          </w:p>
        </w:tc>
        <w:tc>
          <w:tcPr>
            <w:tcW w:w="1980" w:type="dxa"/>
            <w:vAlign w:val="bottom"/>
            <w:tcBorders>
              <w:bottom w:val="single" w:sz="8" w:color="376DB5"/>
            </w:tcBorders>
          </w:tcPr>
          <w:p>
            <w:pPr>
              <w:ind w:left="260"/>
              <w:spacing w:after="0"/>
              <w:rPr>
                <w:sz w:val="20"/>
                <w:szCs w:val="20"/>
                <w:color w:val="auto"/>
              </w:rPr>
            </w:pPr>
            <w:r>
              <w:rPr>
                <w:rFonts w:ascii="Arial" w:cs="Arial" w:eastAsia="Arial" w:hAnsi="Arial"/>
                <w:sz w:val="18"/>
                <w:szCs w:val="18"/>
                <w:color w:val="376DB5"/>
              </w:rPr>
              <w:t>Total TSR of FICO</w:t>
            </w:r>
          </w:p>
        </w:tc>
        <w:tc>
          <w:tcPr>
            <w:tcW w:w="1540" w:type="dxa"/>
            <w:vAlign w:val="bottom"/>
            <w:tcBorders>
              <w:bottom w:val="single" w:sz="8" w:color="376DB5"/>
            </w:tcBorders>
          </w:tcPr>
          <w:p>
            <w:pPr>
              <w:jc w:val="center"/>
              <w:spacing w:after="0" w:line="235" w:lineRule="exact"/>
              <w:rPr>
                <w:sz w:val="20"/>
                <w:szCs w:val="20"/>
                <w:color w:val="auto"/>
              </w:rPr>
            </w:pPr>
            <w:r>
              <w:rPr>
                <w:rFonts w:ascii="Arial" w:cs="Arial" w:eastAsia="Arial" w:hAnsi="Arial"/>
                <w:sz w:val="18"/>
                <w:szCs w:val="18"/>
                <w:color w:val="376DB5"/>
                <w:w w:val="94"/>
              </w:rPr>
              <w:t>percentile</w:t>
            </w:r>
            <w:r>
              <w:rPr>
                <w:rFonts w:ascii="Arial" w:cs="Arial" w:eastAsia="Arial" w:hAnsi="Arial"/>
                <w:sz w:val="26"/>
                <w:szCs w:val="26"/>
                <w:color w:val="376DB5"/>
                <w:w w:val="94"/>
                <w:vertAlign w:val="superscript"/>
              </w:rPr>
              <w:t>(1)</w:t>
            </w:r>
          </w:p>
        </w:tc>
        <w:tc>
          <w:tcPr>
            <w:tcW w:w="1220" w:type="dxa"/>
            <w:vAlign w:val="bottom"/>
            <w:tcBorders>
              <w:bottom w:val="single" w:sz="8" w:color="376DB5"/>
            </w:tcBorders>
          </w:tcPr>
          <w:p>
            <w:pPr>
              <w:jc w:val="center"/>
              <w:ind w:left="30"/>
              <w:spacing w:after="0"/>
              <w:rPr>
                <w:sz w:val="20"/>
                <w:szCs w:val="20"/>
                <w:color w:val="auto"/>
              </w:rPr>
            </w:pPr>
            <w:r>
              <w:rPr>
                <w:rFonts w:ascii="Arial" w:cs="Arial" w:eastAsia="Arial" w:hAnsi="Arial"/>
                <w:sz w:val="18"/>
                <w:szCs w:val="18"/>
                <w:color w:val="376DB5"/>
                <w:w w:val="99"/>
              </w:rPr>
              <w:t>percentile</w:t>
            </w:r>
          </w:p>
        </w:tc>
        <w:tc>
          <w:tcPr>
            <w:tcW w:w="2460" w:type="dxa"/>
            <w:vAlign w:val="bottom"/>
            <w:tcBorders>
              <w:bottom w:val="single" w:sz="8" w:color="376DB5"/>
            </w:tcBorders>
          </w:tcPr>
          <w:p>
            <w:pPr>
              <w:jc w:val="center"/>
              <w:spacing w:after="0"/>
              <w:rPr>
                <w:sz w:val="20"/>
                <w:szCs w:val="20"/>
                <w:color w:val="auto"/>
              </w:rPr>
            </w:pPr>
            <w:r>
              <w:rPr>
                <w:rFonts w:ascii="Arial" w:cs="Arial" w:eastAsia="Arial" w:hAnsi="Arial"/>
                <w:sz w:val="18"/>
                <w:szCs w:val="18"/>
                <w:color w:val="376DB5"/>
                <w:w w:val="99"/>
              </w:rPr>
              <w:t>(as a percentage of target)</w:t>
            </w:r>
          </w:p>
        </w:tc>
      </w:tr>
      <w:tr>
        <w:trPr>
          <w:trHeight w:val="254"/>
        </w:trPr>
        <w:tc>
          <w:tcPr>
            <w:tcW w:w="1760" w:type="dxa"/>
            <w:vAlign w:val="bottom"/>
          </w:tcPr>
          <w:p>
            <w:pPr>
              <w:spacing w:after="0"/>
              <w:rPr>
                <w:sz w:val="20"/>
                <w:szCs w:val="20"/>
                <w:color w:val="auto"/>
              </w:rPr>
            </w:pPr>
            <w:r>
              <w:rPr>
                <w:rFonts w:ascii="Arial" w:cs="Arial" w:eastAsia="Arial" w:hAnsi="Arial"/>
                <w:sz w:val="18"/>
                <w:szCs w:val="18"/>
                <w:color w:val="auto"/>
              </w:rPr>
              <w:t>  FY23 MSU</w:t>
            </w:r>
          </w:p>
        </w:tc>
        <w:tc>
          <w:tcPr>
            <w:tcW w:w="2060" w:type="dxa"/>
            <w:vAlign w:val="bottom"/>
          </w:tcPr>
          <w:p>
            <w:pPr>
              <w:jc w:val="center"/>
              <w:spacing w:after="0"/>
              <w:rPr>
                <w:sz w:val="20"/>
                <w:szCs w:val="20"/>
                <w:color w:val="auto"/>
              </w:rPr>
            </w:pPr>
            <w:r>
              <w:rPr>
                <w:rFonts w:ascii="Arial" w:cs="Arial" w:eastAsia="Arial" w:hAnsi="Arial"/>
                <w:sz w:val="18"/>
                <w:szCs w:val="18"/>
                <w:color w:val="auto"/>
                <w:w w:val="96"/>
              </w:rPr>
              <w:t>3-Year</w:t>
            </w:r>
          </w:p>
        </w:tc>
        <w:tc>
          <w:tcPr>
            <w:tcW w:w="1980" w:type="dxa"/>
            <w:vAlign w:val="bottom"/>
          </w:tcPr>
          <w:p>
            <w:pPr>
              <w:jc w:val="center"/>
              <w:spacing w:after="0"/>
              <w:rPr>
                <w:sz w:val="20"/>
                <w:szCs w:val="20"/>
                <w:color w:val="auto"/>
              </w:rPr>
            </w:pPr>
            <w:r>
              <w:rPr>
                <w:rFonts w:ascii="Arial" w:cs="Arial" w:eastAsia="Arial" w:hAnsi="Arial"/>
                <w:sz w:val="18"/>
                <w:szCs w:val="18"/>
                <w:color w:val="auto"/>
              </w:rPr>
              <w:t>251.33%</w:t>
            </w:r>
          </w:p>
        </w:tc>
        <w:tc>
          <w:tcPr>
            <w:tcW w:w="1540" w:type="dxa"/>
            <w:vAlign w:val="bottom"/>
          </w:tcPr>
          <w:p>
            <w:pPr>
              <w:jc w:val="center"/>
              <w:spacing w:after="0"/>
              <w:rPr>
                <w:sz w:val="20"/>
                <w:szCs w:val="20"/>
                <w:color w:val="auto"/>
              </w:rPr>
            </w:pPr>
            <w:r>
              <w:rPr>
                <w:rFonts w:ascii="Arial" w:cs="Arial" w:eastAsia="Arial" w:hAnsi="Arial"/>
                <w:sz w:val="18"/>
                <w:szCs w:val="18"/>
                <w:color w:val="auto"/>
              </w:rPr>
              <w:t>72.83%</w:t>
            </w:r>
          </w:p>
        </w:tc>
        <w:tc>
          <w:tcPr>
            <w:tcW w:w="1220" w:type="dxa"/>
            <w:vAlign w:val="bottom"/>
          </w:tcPr>
          <w:p>
            <w:pPr>
              <w:jc w:val="center"/>
              <w:ind w:left="30"/>
              <w:spacing w:after="0"/>
              <w:rPr>
                <w:sz w:val="20"/>
                <w:szCs w:val="20"/>
                <w:color w:val="auto"/>
              </w:rPr>
            </w:pPr>
            <w:r>
              <w:rPr>
                <w:rFonts w:ascii="Arial" w:cs="Arial" w:eastAsia="Arial" w:hAnsi="Arial"/>
                <w:sz w:val="18"/>
                <w:szCs w:val="18"/>
                <w:color w:val="auto"/>
              </w:rPr>
              <w:t>n/a</w:t>
            </w:r>
          </w:p>
        </w:tc>
        <w:tc>
          <w:tcPr>
            <w:tcW w:w="2460" w:type="dxa"/>
            <w:vAlign w:val="bottom"/>
          </w:tcPr>
          <w:p>
            <w:pPr>
              <w:jc w:val="center"/>
              <w:ind w:left="30"/>
              <w:spacing w:after="0"/>
              <w:rPr>
                <w:sz w:val="20"/>
                <w:szCs w:val="20"/>
                <w:color w:val="auto"/>
              </w:rPr>
            </w:pPr>
            <w:r>
              <w:rPr>
                <w:rFonts w:ascii="Arial" w:cs="Arial" w:eastAsia="Arial" w:hAnsi="Arial"/>
                <w:sz w:val="18"/>
                <w:szCs w:val="18"/>
                <w:color w:val="auto"/>
                <w:w w:val="99"/>
              </w:rPr>
              <w:t>200%</w:t>
            </w:r>
          </w:p>
        </w:tc>
      </w:tr>
      <w:tr>
        <w:trPr>
          <w:trHeight w:val="36"/>
        </w:trPr>
        <w:tc>
          <w:tcPr>
            <w:tcW w:w="17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60" w:type="dxa"/>
            <w:vAlign w:val="bottom"/>
          </w:tcPr>
          <w:p>
            <w:pPr>
              <w:spacing w:after="0"/>
              <w:rPr>
                <w:sz w:val="3"/>
                <w:szCs w:val="3"/>
                <w:color w:val="auto"/>
              </w:rPr>
            </w:pPr>
          </w:p>
        </w:tc>
      </w:tr>
      <w:tr>
        <w:trPr>
          <w:trHeight w:val="291"/>
        </w:trPr>
        <w:tc>
          <w:tcPr>
            <w:tcW w:w="176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  FY24 MSU</w:t>
            </w:r>
          </w:p>
        </w:tc>
        <w:tc>
          <w:tcPr>
            <w:tcW w:w="2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6"/>
              </w:rPr>
              <w:t>2-Year</w:t>
            </w:r>
          </w:p>
        </w:tc>
        <w:tc>
          <w:tcPr>
            <w:tcW w:w="1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8"/>
              </w:rPr>
              <w:t>80.92%</w:t>
            </w:r>
          </w:p>
        </w:tc>
        <w:tc>
          <w:tcPr>
            <w:tcW w:w="15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rPr>
              <w:t>53.48%</w:t>
            </w:r>
          </w:p>
        </w:tc>
        <w:tc>
          <w:tcPr>
            <w:tcW w:w="1220" w:type="dxa"/>
            <w:vAlign w:val="bottom"/>
            <w:tcBorders>
              <w:bottom w:val="single" w:sz="8" w:color="F2F2F2"/>
            </w:tcBorders>
            <w:shd w:val="clear" w:color="auto" w:fill="F2F2F2"/>
          </w:tcPr>
          <w:p>
            <w:pPr>
              <w:jc w:val="center"/>
              <w:ind w:left="30"/>
              <w:spacing w:after="0"/>
              <w:rPr>
                <w:sz w:val="20"/>
                <w:szCs w:val="20"/>
                <w:color w:val="auto"/>
              </w:rPr>
            </w:pPr>
            <w:r>
              <w:rPr>
                <w:rFonts w:ascii="Arial" w:cs="Arial" w:eastAsia="Arial" w:hAnsi="Arial"/>
                <w:sz w:val="18"/>
                <w:szCs w:val="18"/>
                <w:color w:val="auto"/>
              </w:rPr>
              <w:t>n/a</w:t>
            </w:r>
          </w:p>
        </w:tc>
        <w:tc>
          <w:tcPr>
            <w:tcW w:w="2460" w:type="dxa"/>
            <w:vAlign w:val="bottom"/>
            <w:tcBorders>
              <w:bottom w:val="single" w:sz="8" w:color="F2F2F2"/>
            </w:tcBorders>
            <w:shd w:val="clear" w:color="auto" w:fill="F2F2F2"/>
          </w:tcPr>
          <w:p>
            <w:pPr>
              <w:jc w:val="center"/>
              <w:ind w:left="30"/>
              <w:spacing w:after="0"/>
              <w:rPr>
                <w:sz w:val="20"/>
                <w:szCs w:val="20"/>
                <w:color w:val="auto"/>
              </w:rPr>
            </w:pPr>
            <w:r>
              <w:rPr>
                <w:rFonts w:ascii="Arial" w:cs="Arial" w:eastAsia="Arial" w:hAnsi="Arial"/>
                <w:sz w:val="18"/>
                <w:szCs w:val="18"/>
                <w:color w:val="auto"/>
                <w:w w:val="99"/>
              </w:rPr>
              <w:t>181%</w:t>
            </w:r>
          </w:p>
        </w:tc>
      </w:tr>
      <w:tr>
        <w:trPr>
          <w:trHeight w:val="274"/>
        </w:trPr>
        <w:tc>
          <w:tcPr>
            <w:tcW w:w="1760" w:type="dxa"/>
            <w:vAlign w:val="bottom"/>
          </w:tcPr>
          <w:p>
            <w:pPr>
              <w:spacing w:after="0"/>
              <w:rPr>
                <w:sz w:val="20"/>
                <w:szCs w:val="20"/>
                <w:color w:val="auto"/>
              </w:rPr>
            </w:pPr>
            <w:r>
              <w:rPr>
                <w:rFonts w:ascii="Arial" w:cs="Arial" w:eastAsia="Arial" w:hAnsi="Arial"/>
                <w:sz w:val="18"/>
                <w:szCs w:val="18"/>
                <w:color w:val="auto"/>
              </w:rPr>
              <w:t>  FY25 MSU</w:t>
            </w:r>
          </w:p>
        </w:tc>
        <w:tc>
          <w:tcPr>
            <w:tcW w:w="2060" w:type="dxa"/>
            <w:vAlign w:val="bottom"/>
          </w:tcPr>
          <w:p>
            <w:pPr>
              <w:jc w:val="center"/>
              <w:spacing w:after="0"/>
              <w:rPr>
                <w:sz w:val="20"/>
                <w:szCs w:val="20"/>
                <w:color w:val="auto"/>
              </w:rPr>
            </w:pPr>
            <w:r>
              <w:rPr>
                <w:rFonts w:ascii="Arial" w:cs="Arial" w:eastAsia="Arial" w:hAnsi="Arial"/>
                <w:sz w:val="18"/>
                <w:szCs w:val="18"/>
                <w:color w:val="auto"/>
                <w:w w:val="96"/>
              </w:rPr>
              <w:t>1-Year</w:t>
            </w:r>
          </w:p>
        </w:tc>
        <w:tc>
          <w:tcPr>
            <w:tcW w:w="1980" w:type="dxa"/>
            <w:vAlign w:val="bottom"/>
          </w:tcPr>
          <w:p>
            <w:pPr>
              <w:jc w:val="center"/>
              <w:spacing w:after="0"/>
              <w:rPr>
                <w:sz w:val="20"/>
                <w:szCs w:val="20"/>
                <w:color w:val="auto"/>
              </w:rPr>
            </w:pPr>
            <w:r>
              <w:rPr>
                <w:rFonts w:ascii="Arial" w:cs="Arial" w:eastAsia="Arial" w:hAnsi="Arial"/>
                <w:sz w:val="18"/>
                <w:szCs w:val="18"/>
                <w:color w:val="auto"/>
              </w:rPr>
              <w:t>-19.87%</w:t>
            </w:r>
          </w:p>
        </w:tc>
        <w:tc>
          <w:tcPr>
            <w:tcW w:w="1540" w:type="dxa"/>
            <w:vAlign w:val="bottom"/>
          </w:tcPr>
          <w:p>
            <w:pPr>
              <w:jc w:val="center"/>
              <w:spacing w:after="0"/>
              <w:rPr>
                <w:sz w:val="20"/>
                <w:szCs w:val="20"/>
                <w:color w:val="auto"/>
              </w:rPr>
            </w:pPr>
            <w:r>
              <w:rPr>
                <w:rFonts w:ascii="Arial" w:cs="Arial" w:eastAsia="Arial" w:hAnsi="Arial"/>
                <w:sz w:val="18"/>
                <w:szCs w:val="18"/>
                <w:color w:val="auto"/>
              </w:rPr>
              <w:t>n/a</w:t>
            </w:r>
          </w:p>
        </w:tc>
        <w:tc>
          <w:tcPr>
            <w:tcW w:w="1220" w:type="dxa"/>
            <w:vAlign w:val="bottom"/>
          </w:tcPr>
          <w:p>
            <w:pPr>
              <w:jc w:val="center"/>
              <w:ind w:left="30"/>
              <w:spacing w:after="0"/>
              <w:rPr>
                <w:sz w:val="20"/>
                <w:szCs w:val="20"/>
                <w:color w:val="auto"/>
              </w:rPr>
            </w:pPr>
            <w:r>
              <w:rPr>
                <w:rFonts w:ascii="Arial" w:cs="Arial" w:eastAsia="Arial" w:hAnsi="Arial"/>
                <w:sz w:val="18"/>
                <w:szCs w:val="18"/>
                <w:color w:val="auto"/>
                <w:w w:val="97"/>
              </w:rPr>
              <w:t>5.05%</w:t>
            </w:r>
          </w:p>
        </w:tc>
        <w:tc>
          <w:tcPr>
            <w:tcW w:w="2460" w:type="dxa"/>
            <w:vAlign w:val="bottom"/>
          </w:tcPr>
          <w:p>
            <w:pPr>
              <w:jc w:val="center"/>
              <w:ind w:left="30"/>
              <w:spacing w:after="0"/>
              <w:rPr>
                <w:sz w:val="20"/>
                <w:szCs w:val="20"/>
                <w:color w:val="auto"/>
              </w:rPr>
            </w:pPr>
            <w:r>
              <w:rPr>
                <w:rFonts w:ascii="Arial" w:cs="Arial" w:eastAsia="Arial" w:hAnsi="Arial"/>
                <w:sz w:val="18"/>
                <w:szCs w:val="18"/>
                <w:color w:val="auto"/>
                <w:w w:val="99"/>
              </w:rPr>
              <w:t>0%</w:t>
            </w:r>
          </w:p>
        </w:tc>
      </w:tr>
      <w:tr>
        <w:trPr>
          <w:trHeight w:val="37"/>
        </w:trPr>
        <w:tc>
          <w:tcPr>
            <w:tcW w:w="1760" w:type="dxa"/>
            <w:vAlign w:val="bottom"/>
            <w:tcBorders>
              <w:bottom w:val="single" w:sz="8" w:color="376DB5"/>
            </w:tcBorders>
          </w:tcPr>
          <w:p>
            <w:pPr>
              <w:spacing w:after="0"/>
              <w:rPr>
                <w:sz w:val="3"/>
                <w:szCs w:val="3"/>
                <w:color w:val="auto"/>
              </w:rPr>
            </w:pPr>
          </w:p>
        </w:tc>
        <w:tc>
          <w:tcPr>
            <w:tcW w:w="2060" w:type="dxa"/>
            <w:vAlign w:val="bottom"/>
            <w:tcBorders>
              <w:bottom w:val="single" w:sz="8" w:color="376DB5"/>
            </w:tcBorders>
          </w:tcPr>
          <w:p>
            <w:pPr>
              <w:spacing w:after="0"/>
              <w:rPr>
                <w:sz w:val="3"/>
                <w:szCs w:val="3"/>
                <w:color w:val="auto"/>
              </w:rPr>
            </w:pPr>
          </w:p>
        </w:tc>
        <w:tc>
          <w:tcPr>
            <w:tcW w:w="1980" w:type="dxa"/>
            <w:vAlign w:val="bottom"/>
            <w:tcBorders>
              <w:bottom w:val="single" w:sz="8" w:color="376DB5"/>
            </w:tcBorders>
          </w:tcPr>
          <w:p>
            <w:pPr>
              <w:spacing w:after="0"/>
              <w:rPr>
                <w:sz w:val="3"/>
                <w:szCs w:val="3"/>
                <w:color w:val="auto"/>
              </w:rPr>
            </w:pPr>
          </w:p>
        </w:tc>
        <w:tc>
          <w:tcPr>
            <w:tcW w:w="1540" w:type="dxa"/>
            <w:vAlign w:val="bottom"/>
            <w:tcBorders>
              <w:bottom w:val="single" w:sz="8" w:color="376DB5"/>
            </w:tcBorders>
          </w:tcPr>
          <w:p>
            <w:pPr>
              <w:spacing w:after="0"/>
              <w:rPr>
                <w:sz w:val="3"/>
                <w:szCs w:val="3"/>
                <w:color w:val="auto"/>
              </w:rPr>
            </w:pPr>
          </w:p>
        </w:tc>
        <w:tc>
          <w:tcPr>
            <w:tcW w:w="1220" w:type="dxa"/>
            <w:vAlign w:val="bottom"/>
            <w:tcBorders>
              <w:bottom w:val="single" w:sz="8" w:color="376DB5"/>
            </w:tcBorders>
          </w:tcPr>
          <w:p>
            <w:pPr>
              <w:spacing w:after="0"/>
              <w:rPr>
                <w:sz w:val="3"/>
                <w:szCs w:val="3"/>
                <w:color w:val="auto"/>
              </w:rPr>
            </w:pPr>
          </w:p>
        </w:tc>
        <w:tc>
          <w:tcPr>
            <w:tcW w:w="2460" w:type="dxa"/>
            <w:vAlign w:val="bottom"/>
            <w:tcBorders>
              <w:bottom w:val="single" w:sz="8" w:color="376DB5"/>
            </w:tcBorders>
          </w:tcPr>
          <w:p>
            <w:pPr>
              <w:spacing w:after="0"/>
              <w:rPr>
                <w:sz w:val="3"/>
                <w:szCs w:val="3"/>
                <w:color w:val="auto"/>
              </w:rPr>
            </w:pPr>
          </w:p>
        </w:tc>
      </w:tr>
      <w:tr>
        <w:trPr>
          <w:trHeight w:val="128"/>
        </w:trPr>
        <w:tc>
          <w:tcPr>
            <w:tcW w:w="1760" w:type="dxa"/>
            <w:vAlign w:val="bottom"/>
            <w:tcBorders>
              <w:bottom w:val="single" w:sz="8" w:color="auto"/>
            </w:tcBorders>
          </w:tcPr>
          <w:p>
            <w:pPr>
              <w:spacing w:after="0"/>
              <w:rPr>
                <w:sz w:val="11"/>
                <w:szCs w:val="11"/>
                <w:color w:val="auto"/>
              </w:rPr>
            </w:pPr>
          </w:p>
        </w:tc>
        <w:tc>
          <w:tcPr>
            <w:tcW w:w="20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60" w:type="dxa"/>
            <w:vAlign w:val="bottom"/>
          </w:tcPr>
          <w:p>
            <w:pPr>
              <w:spacing w:after="0"/>
              <w:rPr>
                <w:sz w:val="11"/>
                <w:szCs w:val="11"/>
                <w:color w:val="auto"/>
              </w:rPr>
            </w:pPr>
          </w:p>
        </w:tc>
      </w:tr>
    </w:tbl>
    <w:p>
      <w:pPr>
        <w:spacing w:after="0" w:line="99" w:lineRule="exact"/>
        <w:rPr>
          <w:sz w:val="20"/>
          <w:szCs w:val="20"/>
          <w:color w:val="auto"/>
        </w:rPr>
      </w:pPr>
    </w:p>
    <w:p>
      <w:pPr>
        <w:jc w:val="both"/>
        <w:ind w:left="120" w:right="20" w:hanging="4"/>
        <w:spacing w:after="0" w:line="227" w:lineRule="auto"/>
        <w:tabs>
          <w:tab w:leader="none" w:pos="282" w:val="left"/>
        </w:tabs>
        <w:numPr>
          <w:ilvl w:val="0"/>
          <w:numId w:val="47"/>
        </w:numPr>
        <w:rPr>
          <w:rFonts w:ascii="Arial" w:cs="Arial" w:eastAsia="Arial" w:hAnsi="Arial"/>
          <w:sz w:val="20"/>
          <w:szCs w:val="20"/>
          <w:color w:val="auto"/>
          <w:vertAlign w:val="superscript"/>
        </w:rPr>
      </w:pPr>
      <w:r>
        <w:rPr>
          <w:rFonts w:ascii="Arial" w:cs="Arial" w:eastAsia="Arial" w:hAnsi="Arial"/>
          <w:sz w:val="14"/>
          <w:szCs w:val="14"/>
          <w:color w:val="auto"/>
        </w:rPr>
        <w:t>Performance for MSUs granted prior to FY25 is determined based on the Company’s TSR performance relative to the Russell 3000 Index, with target payout awarded for performance matching the index, and scaling ranging as follows (with earned amounts interpolated between relative performance points): (i) 0% of target earned for relative performance of -25% or less; (ii) 50% of target earned for relative performance of -12.5%; (iii) 100% of target earned for performance matching the index; (iv) 150% of target earned for relative performance of +16.67%; and (v) 200% of target earned for relative performance of +33.33% or greater.</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MSU Payouts for Completed MSU Performance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163195</wp:posOffset>
            </wp:positionV>
            <wp:extent cx="5194935" cy="31286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94935"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52</w:t>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The target number of MSUs and the number of MSUs earned by each named executive officer for each of the three performance periods completed at the end of fiscal 2025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244"/>
        </w:trPr>
        <w:tc>
          <w:tcPr>
            <w:tcW w:w="2760" w:type="dxa"/>
            <w:vAlign w:val="bottom"/>
            <w:gridSpan w:val="2"/>
          </w:tcPr>
          <w:p>
            <w:pPr>
              <w:ind w:left="1280"/>
              <w:spacing w:after="0"/>
              <w:rPr>
                <w:sz w:val="20"/>
                <w:szCs w:val="20"/>
                <w:color w:val="auto"/>
              </w:rPr>
            </w:pPr>
            <w:r>
              <w:rPr>
                <w:rFonts w:ascii="Arial" w:cs="Arial" w:eastAsia="Arial" w:hAnsi="Arial"/>
                <w:sz w:val="18"/>
                <w:szCs w:val="18"/>
                <w:color w:val="376DB5"/>
              </w:rPr>
              <w:t> </w:t>
            </w:r>
          </w:p>
        </w:tc>
        <w:tc>
          <w:tcPr>
            <w:tcW w:w="2980" w:type="dxa"/>
            <w:vAlign w:val="bottom"/>
            <w:gridSpan w:val="3"/>
          </w:tcPr>
          <w:p>
            <w:pPr>
              <w:ind w:left="920"/>
              <w:spacing w:after="0"/>
              <w:rPr>
                <w:sz w:val="20"/>
                <w:szCs w:val="20"/>
                <w:color w:val="auto"/>
              </w:rPr>
            </w:pPr>
            <w:r>
              <w:rPr>
                <w:rFonts w:ascii="Arial" w:cs="Arial" w:eastAsia="Arial" w:hAnsi="Arial"/>
                <w:sz w:val="18"/>
                <w:szCs w:val="18"/>
                <w:color w:val="376DB5"/>
              </w:rPr>
              <w:t>FY23 MSUs</w:t>
            </w:r>
          </w:p>
        </w:tc>
        <w:tc>
          <w:tcPr>
            <w:tcW w:w="3040" w:type="dxa"/>
            <w:vAlign w:val="bottom"/>
            <w:gridSpan w:val="3"/>
          </w:tcPr>
          <w:p>
            <w:pPr>
              <w:ind w:left="920"/>
              <w:spacing w:after="0"/>
              <w:rPr>
                <w:sz w:val="20"/>
                <w:szCs w:val="20"/>
                <w:color w:val="auto"/>
              </w:rPr>
            </w:pPr>
            <w:r>
              <w:rPr>
                <w:rFonts w:ascii="Arial" w:cs="Arial" w:eastAsia="Arial" w:hAnsi="Arial"/>
                <w:sz w:val="18"/>
                <w:szCs w:val="18"/>
                <w:color w:val="376DB5"/>
              </w:rPr>
              <w:t>FY24 MSUs</w:t>
            </w:r>
          </w:p>
        </w:tc>
        <w:tc>
          <w:tcPr>
            <w:tcW w:w="2240" w:type="dxa"/>
            <w:vAlign w:val="bottom"/>
            <w:gridSpan w:val="2"/>
          </w:tcPr>
          <w:p>
            <w:pPr>
              <w:jc w:val="right"/>
              <w:ind w:right="510"/>
              <w:spacing w:after="0"/>
              <w:rPr>
                <w:sz w:val="20"/>
                <w:szCs w:val="20"/>
                <w:color w:val="auto"/>
              </w:rPr>
            </w:pPr>
            <w:r>
              <w:rPr>
                <w:rFonts w:ascii="Arial" w:cs="Arial" w:eastAsia="Arial" w:hAnsi="Arial"/>
                <w:sz w:val="18"/>
                <w:szCs w:val="18"/>
                <w:color w:val="376DB5"/>
              </w:rPr>
              <w:t>FY25 MSUs</w:t>
            </w:r>
          </w:p>
        </w:tc>
      </w:tr>
      <w:tr>
        <w:trPr>
          <w:trHeight w:val="182"/>
        </w:trPr>
        <w:tc>
          <w:tcPr>
            <w:tcW w:w="1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Borders>
              <w:top w:val="single" w:sz="8" w:color="376DB5"/>
            </w:tcBorders>
          </w:tcPr>
          <w:p>
            <w:pPr>
              <w:jc w:val="center"/>
              <w:spacing w:after="0" w:line="182" w:lineRule="exact"/>
              <w:rPr>
                <w:sz w:val="20"/>
                <w:szCs w:val="20"/>
                <w:color w:val="auto"/>
              </w:rPr>
            </w:pPr>
            <w:r>
              <w:rPr>
                <w:rFonts w:ascii="Arial" w:cs="Arial" w:eastAsia="Arial" w:hAnsi="Arial"/>
                <w:sz w:val="18"/>
                <w:szCs w:val="18"/>
                <w:color w:val="376DB5"/>
                <w:w w:val="96"/>
              </w:rPr>
              <w:t>Target</w:t>
            </w:r>
          </w:p>
        </w:tc>
        <w:tc>
          <w:tcPr>
            <w:tcW w:w="1360" w:type="dxa"/>
            <w:vAlign w:val="bottom"/>
            <w:tcBorders>
              <w:top w:val="single" w:sz="8" w:color="376DB5"/>
            </w:tcBorders>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Borders>
              <w:top w:val="single" w:sz="8" w:color="376DB5"/>
            </w:tcBorders>
          </w:tcPr>
          <w:p>
            <w:pPr>
              <w:jc w:val="center"/>
              <w:ind w:right="10"/>
              <w:spacing w:after="0" w:line="182" w:lineRule="exact"/>
              <w:rPr>
                <w:sz w:val="20"/>
                <w:szCs w:val="20"/>
                <w:color w:val="auto"/>
              </w:rPr>
            </w:pPr>
            <w:r>
              <w:rPr>
                <w:rFonts w:ascii="Arial" w:cs="Arial" w:eastAsia="Arial" w:hAnsi="Arial"/>
                <w:sz w:val="18"/>
                <w:szCs w:val="18"/>
                <w:color w:val="376DB5"/>
                <w:w w:val="96"/>
              </w:rPr>
              <w:t>Target</w:t>
            </w:r>
          </w:p>
        </w:tc>
        <w:tc>
          <w:tcPr>
            <w:tcW w:w="1320" w:type="dxa"/>
            <w:vAlign w:val="bottom"/>
            <w:tcBorders>
              <w:top w:val="single" w:sz="8" w:color="376DB5"/>
            </w:tcBorders>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Borders>
              <w:top w:val="single" w:sz="8" w:color="376DB5"/>
            </w:tcBorders>
          </w:tcPr>
          <w:p>
            <w:pPr>
              <w:jc w:val="center"/>
              <w:spacing w:after="0" w:line="182" w:lineRule="exact"/>
              <w:rPr>
                <w:sz w:val="20"/>
                <w:szCs w:val="20"/>
                <w:color w:val="auto"/>
              </w:rPr>
            </w:pPr>
            <w:r>
              <w:rPr>
                <w:rFonts w:ascii="Arial" w:cs="Arial" w:eastAsia="Arial" w:hAnsi="Arial"/>
                <w:sz w:val="18"/>
                <w:szCs w:val="18"/>
                <w:color w:val="376DB5"/>
                <w:w w:val="96"/>
              </w:rPr>
              <w:t>Target</w:t>
            </w:r>
          </w:p>
        </w:tc>
        <w:tc>
          <w:tcPr>
            <w:tcW w:w="880" w:type="dxa"/>
            <w:vAlign w:val="bottom"/>
            <w:tcBorders>
              <w:top w:val="single" w:sz="8" w:color="376DB5"/>
            </w:tcBorders>
          </w:tcPr>
          <w:p>
            <w:pPr>
              <w:spacing w:after="0"/>
              <w:rPr>
                <w:sz w:val="15"/>
                <w:szCs w:val="15"/>
                <w:color w:val="auto"/>
              </w:rPr>
            </w:pPr>
          </w:p>
        </w:tc>
      </w:tr>
      <w:tr>
        <w:trPr>
          <w:trHeight w:val="203"/>
        </w:trPr>
        <w:tc>
          <w:tcPr>
            <w:tcW w:w="1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376DB5"/>
                <w:w w:val="99"/>
              </w:rPr>
              <w:t>Number</w:t>
            </w:r>
          </w:p>
        </w:tc>
        <w:tc>
          <w:tcPr>
            <w:tcW w:w="166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376DB5"/>
              </w:rPr>
              <w:t>Actual</w:t>
            </w:r>
          </w:p>
        </w:tc>
        <w:tc>
          <w:tcPr>
            <w:tcW w:w="1440" w:type="dxa"/>
            <w:vAlign w:val="bottom"/>
          </w:tcPr>
          <w:p>
            <w:pPr>
              <w:jc w:val="center"/>
              <w:ind w:right="30"/>
              <w:spacing w:after="0" w:line="202" w:lineRule="exact"/>
              <w:rPr>
                <w:sz w:val="20"/>
                <w:szCs w:val="20"/>
                <w:color w:val="auto"/>
              </w:rPr>
            </w:pPr>
            <w:r>
              <w:rPr>
                <w:rFonts w:ascii="Arial" w:cs="Arial" w:eastAsia="Arial" w:hAnsi="Arial"/>
                <w:sz w:val="18"/>
                <w:szCs w:val="18"/>
                <w:color w:val="376DB5"/>
                <w:w w:val="99"/>
              </w:rPr>
              <w:t>Number</w:t>
            </w:r>
          </w:p>
        </w:tc>
        <w:tc>
          <w:tcPr>
            <w:tcW w:w="160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376DB5"/>
                <w:w w:val="99"/>
              </w:rPr>
              <w:t>Actual</w:t>
            </w: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376DB5"/>
                <w:w w:val="99"/>
              </w:rPr>
              <w:t>Number</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376DB5"/>
                <w:w w:val="99"/>
              </w:rPr>
              <w:t>Actual</w:t>
            </w:r>
          </w:p>
        </w:tc>
      </w:tr>
      <w:tr>
        <w:trPr>
          <w:trHeight w:val="203"/>
        </w:trPr>
        <w:tc>
          <w:tcPr>
            <w:tcW w:w="1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376DB5"/>
                <w:w w:val="99"/>
              </w:rPr>
              <w:t>Subject to</w:t>
            </w:r>
          </w:p>
        </w:tc>
        <w:tc>
          <w:tcPr>
            <w:tcW w:w="166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376DB5"/>
                <w:w w:val="99"/>
              </w:rPr>
              <w:t>Number</w:t>
            </w:r>
          </w:p>
        </w:tc>
        <w:tc>
          <w:tcPr>
            <w:tcW w:w="1440" w:type="dxa"/>
            <w:vAlign w:val="bottom"/>
          </w:tcPr>
          <w:p>
            <w:pPr>
              <w:jc w:val="center"/>
              <w:ind w:right="30"/>
              <w:spacing w:after="0" w:line="202" w:lineRule="exact"/>
              <w:rPr>
                <w:sz w:val="20"/>
                <w:szCs w:val="20"/>
                <w:color w:val="auto"/>
              </w:rPr>
            </w:pPr>
            <w:r>
              <w:rPr>
                <w:rFonts w:ascii="Arial" w:cs="Arial" w:eastAsia="Arial" w:hAnsi="Arial"/>
                <w:sz w:val="18"/>
                <w:szCs w:val="18"/>
                <w:color w:val="376DB5"/>
                <w:w w:val="99"/>
              </w:rPr>
              <w:t>Subject to</w:t>
            </w:r>
          </w:p>
        </w:tc>
        <w:tc>
          <w:tcPr>
            <w:tcW w:w="1600" w:type="dxa"/>
            <w:vAlign w:val="bottom"/>
            <w:gridSpan w:val="2"/>
          </w:tcPr>
          <w:p>
            <w:pPr>
              <w:jc w:val="center"/>
              <w:ind w:right="320"/>
              <w:spacing w:after="0" w:line="202" w:lineRule="exact"/>
              <w:rPr>
                <w:sz w:val="20"/>
                <w:szCs w:val="20"/>
                <w:color w:val="auto"/>
              </w:rPr>
            </w:pPr>
            <w:r>
              <w:rPr>
                <w:rFonts w:ascii="Arial" w:cs="Arial" w:eastAsia="Arial" w:hAnsi="Arial"/>
                <w:sz w:val="18"/>
                <w:szCs w:val="18"/>
                <w:color w:val="376DB5"/>
                <w:w w:val="99"/>
              </w:rPr>
              <w:t>Number</w:t>
            </w: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376DB5"/>
                <w:w w:val="99"/>
              </w:rPr>
              <w:t>Subject to</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376DB5"/>
                <w:w w:val="99"/>
              </w:rPr>
              <w:t>Number</w:t>
            </w:r>
          </w:p>
        </w:tc>
      </w:tr>
      <w:tr>
        <w:trPr>
          <w:trHeight w:val="203"/>
        </w:trPr>
        <w:tc>
          <w:tcPr>
            <w:tcW w:w="1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376DB5"/>
                <w:w w:val="98"/>
              </w:rPr>
              <w:t>Three-Year</w:t>
            </w:r>
          </w:p>
        </w:tc>
        <w:tc>
          <w:tcPr>
            <w:tcW w:w="166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376DB5"/>
              </w:rPr>
              <w:t xml:space="preserve">   of MSUs   </w:t>
            </w:r>
          </w:p>
        </w:tc>
        <w:tc>
          <w:tcPr>
            <w:tcW w:w="1440" w:type="dxa"/>
            <w:vAlign w:val="bottom"/>
          </w:tcPr>
          <w:p>
            <w:pPr>
              <w:jc w:val="center"/>
              <w:ind w:right="10"/>
              <w:spacing w:after="0" w:line="202" w:lineRule="exact"/>
              <w:rPr>
                <w:sz w:val="20"/>
                <w:szCs w:val="20"/>
                <w:color w:val="auto"/>
              </w:rPr>
            </w:pPr>
            <w:r>
              <w:rPr>
                <w:rFonts w:ascii="Arial" w:cs="Arial" w:eastAsia="Arial" w:hAnsi="Arial"/>
                <w:sz w:val="18"/>
                <w:szCs w:val="18"/>
                <w:color w:val="376DB5"/>
                <w:w w:val="94"/>
              </w:rPr>
              <w:t>Two-Year</w:t>
            </w:r>
          </w:p>
        </w:tc>
        <w:tc>
          <w:tcPr>
            <w:tcW w:w="1600" w:type="dxa"/>
            <w:vAlign w:val="bottom"/>
            <w:gridSpan w:val="2"/>
          </w:tcPr>
          <w:p>
            <w:pPr>
              <w:ind w:left="200"/>
              <w:spacing w:after="0" w:line="202" w:lineRule="exact"/>
              <w:rPr>
                <w:sz w:val="20"/>
                <w:szCs w:val="20"/>
                <w:color w:val="auto"/>
              </w:rPr>
            </w:pPr>
            <w:r>
              <w:rPr>
                <w:rFonts w:ascii="Arial" w:cs="Arial" w:eastAsia="Arial" w:hAnsi="Arial"/>
                <w:sz w:val="18"/>
                <w:szCs w:val="18"/>
                <w:color w:val="376DB5"/>
              </w:rPr>
              <w:t>  of MSUs</w:t>
            </w: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376DB5"/>
                <w:w w:val="97"/>
              </w:rPr>
              <w:t>One-Year</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376DB5"/>
              </w:rPr>
              <w:t>of MSUs</w:t>
            </w:r>
          </w:p>
        </w:tc>
      </w:tr>
      <w:tr>
        <w:trPr>
          <w:trHeight w:val="235"/>
        </w:trPr>
        <w:tc>
          <w:tcPr>
            <w:tcW w:w="2760" w:type="dxa"/>
            <w:vAlign w:val="bottom"/>
            <w:gridSpan w:val="2"/>
          </w:tcPr>
          <w:p>
            <w:pPr>
              <w:spacing w:after="0" w:line="235" w:lineRule="exact"/>
              <w:rPr>
                <w:sz w:val="20"/>
                <w:szCs w:val="20"/>
                <w:color w:val="auto"/>
              </w:rPr>
            </w:pPr>
            <w:r>
              <w:rPr>
                <w:rFonts w:ascii="Arial" w:cs="Arial" w:eastAsia="Arial" w:hAnsi="Arial"/>
                <w:sz w:val="18"/>
                <w:szCs w:val="18"/>
                <w:color w:val="376DB5"/>
              </w:rPr>
              <w:t>  Named Executive Officer</w:t>
            </w:r>
            <w:r>
              <w:rPr>
                <w:rFonts w:ascii="Arial" w:cs="Arial" w:eastAsia="Arial" w:hAnsi="Arial"/>
                <w:sz w:val="26"/>
                <w:szCs w:val="26"/>
                <w:color w:val="376DB5"/>
                <w:vertAlign w:val="superscript"/>
              </w:rPr>
              <w:t>(2)</w:t>
            </w:r>
          </w:p>
        </w:tc>
        <w:tc>
          <w:tcPr>
            <w:tcW w:w="1320" w:type="dxa"/>
            <w:vAlign w:val="bottom"/>
          </w:tcPr>
          <w:p>
            <w:pPr>
              <w:jc w:val="center"/>
              <w:spacing w:after="0"/>
              <w:rPr>
                <w:sz w:val="20"/>
                <w:szCs w:val="20"/>
                <w:color w:val="auto"/>
              </w:rPr>
            </w:pPr>
            <w:r>
              <w:rPr>
                <w:rFonts w:ascii="Arial" w:cs="Arial" w:eastAsia="Arial" w:hAnsi="Arial"/>
                <w:sz w:val="18"/>
                <w:szCs w:val="18"/>
                <w:color w:val="376DB5"/>
                <w:w w:val="98"/>
              </w:rPr>
              <w:t>Performance</w:t>
            </w:r>
          </w:p>
        </w:tc>
        <w:tc>
          <w:tcPr>
            <w:tcW w:w="1660" w:type="dxa"/>
            <w:vAlign w:val="bottom"/>
            <w:gridSpan w:val="2"/>
          </w:tcPr>
          <w:p>
            <w:pPr>
              <w:jc w:val="center"/>
              <w:ind w:right="360"/>
              <w:spacing w:after="0" w:line="235" w:lineRule="exact"/>
              <w:rPr>
                <w:sz w:val="20"/>
                <w:szCs w:val="20"/>
                <w:color w:val="auto"/>
              </w:rPr>
            </w:pPr>
            <w:r>
              <w:rPr>
                <w:rFonts w:ascii="Arial" w:cs="Arial" w:eastAsia="Arial" w:hAnsi="Arial"/>
                <w:sz w:val="18"/>
                <w:szCs w:val="18"/>
                <w:color w:val="376DB5"/>
                <w:w w:val="93"/>
              </w:rPr>
              <w:t>Earned</w:t>
            </w:r>
            <w:r>
              <w:rPr>
                <w:rFonts w:ascii="Arial" w:cs="Arial" w:eastAsia="Arial" w:hAnsi="Arial"/>
                <w:sz w:val="26"/>
                <w:szCs w:val="26"/>
                <w:color w:val="376DB5"/>
                <w:w w:val="93"/>
                <w:vertAlign w:val="superscript"/>
              </w:rPr>
              <w:t>(1)</w:t>
            </w:r>
          </w:p>
        </w:tc>
        <w:tc>
          <w:tcPr>
            <w:tcW w:w="1440" w:type="dxa"/>
            <w:vAlign w:val="bottom"/>
          </w:tcPr>
          <w:p>
            <w:pPr>
              <w:jc w:val="center"/>
              <w:ind w:right="50"/>
              <w:spacing w:after="0"/>
              <w:rPr>
                <w:sz w:val="20"/>
                <w:szCs w:val="20"/>
                <w:color w:val="auto"/>
              </w:rPr>
            </w:pPr>
            <w:r>
              <w:rPr>
                <w:rFonts w:ascii="Arial" w:cs="Arial" w:eastAsia="Arial" w:hAnsi="Arial"/>
                <w:sz w:val="18"/>
                <w:szCs w:val="18"/>
                <w:color w:val="376DB5"/>
                <w:w w:val="93"/>
              </w:rPr>
              <w:t>  Performance </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376DB5"/>
                <w:w w:val="99"/>
              </w:rPr>
              <w:t>Earned</w:t>
            </w:r>
          </w:p>
        </w:tc>
        <w:tc>
          <w:tcPr>
            <w:tcW w:w="1360" w:type="dxa"/>
            <w:vAlign w:val="bottom"/>
          </w:tcPr>
          <w:p>
            <w:pPr>
              <w:jc w:val="center"/>
              <w:spacing w:after="0"/>
              <w:rPr>
                <w:sz w:val="20"/>
                <w:szCs w:val="20"/>
                <w:color w:val="auto"/>
              </w:rPr>
            </w:pPr>
            <w:r>
              <w:rPr>
                <w:rFonts w:ascii="Arial" w:cs="Arial" w:eastAsia="Arial" w:hAnsi="Arial"/>
                <w:sz w:val="18"/>
                <w:szCs w:val="18"/>
                <w:color w:val="376DB5"/>
                <w:w w:val="91"/>
              </w:rPr>
              <w:t>  Performance </w:t>
            </w:r>
          </w:p>
        </w:tc>
        <w:tc>
          <w:tcPr>
            <w:tcW w:w="880" w:type="dxa"/>
            <w:vAlign w:val="bottom"/>
          </w:tcPr>
          <w:p>
            <w:pPr>
              <w:jc w:val="center"/>
              <w:spacing w:after="0"/>
              <w:rPr>
                <w:sz w:val="20"/>
                <w:szCs w:val="20"/>
                <w:color w:val="auto"/>
              </w:rPr>
            </w:pPr>
            <w:r>
              <w:rPr>
                <w:rFonts w:ascii="Arial" w:cs="Arial" w:eastAsia="Arial" w:hAnsi="Arial"/>
                <w:sz w:val="18"/>
                <w:szCs w:val="18"/>
                <w:color w:val="376DB5"/>
                <w:w w:val="99"/>
              </w:rPr>
              <w:t>Earned</w:t>
            </w:r>
          </w:p>
        </w:tc>
      </w:tr>
      <w:tr>
        <w:trPr>
          <w:trHeight w:val="232"/>
        </w:trPr>
        <w:tc>
          <w:tcPr>
            <w:tcW w:w="2760" w:type="dxa"/>
            <w:vAlign w:val="bottom"/>
            <w:tcBorders>
              <w:top w:val="single" w:sz="8" w:color="376DB5"/>
            </w:tcBorders>
            <w:gridSpan w:val="2"/>
          </w:tcPr>
          <w:p>
            <w:pPr>
              <w:spacing w:after="0"/>
              <w:rPr>
                <w:sz w:val="20"/>
                <w:szCs w:val="20"/>
                <w:color w:val="auto"/>
              </w:rPr>
            </w:pPr>
            <w:r>
              <w:rPr>
                <w:rFonts w:ascii="Arial" w:cs="Arial" w:eastAsia="Arial" w:hAnsi="Arial"/>
                <w:sz w:val="18"/>
                <w:szCs w:val="18"/>
                <w:color w:val="auto"/>
              </w:rPr>
              <w:t>  William Lansing</w:t>
            </w:r>
          </w:p>
        </w:tc>
        <w:tc>
          <w:tcPr>
            <w:tcW w:w="1320" w:type="dxa"/>
            <w:vAlign w:val="bottom"/>
            <w:tcBorders>
              <w:top w:val="single" w:sz="8" w:color="376DB5"/>
            </w:tcBorders>
          </w:tcPr>
          <w:p>
            <w:pPr>
              <w:jc w:val="right"/>
              <w:ind w:right="210"/>
              <w:spacing w:after="0"/>
              <w:rPr>
                <w:sz w:val="20"/>
                <w:szCs w:val="20"/>
                <w:color w:val="auto"/>
              </w:rPr>
            </w:pPr>
            <w:r>
              <w:rPr>
                <w:rFonts w:ascii="Arial" w:cs="Arial" w:eastAsia="Arial" w:hAnsi="Arial"/>
                <w:sz w:val="18"/>
                <w:szCs w:val="18"/>
                <w:color w:val="auto"/>
              </w:rPr>
              <w:t>4,195</w:t>
            </w:r>
          </w:p>
        </w:tc>
        <w:tc>
          <w:tcPr>
            <w:tcW w:w="1360" w:type="dxa"/>
            <w:vAlign w:val="bottom"/>
            <w:tcBorders>
              <w:top w:val="single" w:sz="8" w:color="376DB5"/>
            </w:tcBorders>
          </w:tcPr>
          <w:p>
            <w:pPr>
              <w:jc w:val="right"/>
              <w:ind w:right="350"/>
              <w:spacing w:after="0"/>
              <w:rPr>
                <w:sz w:val="20"/>
                <w:szCs w:val="20"/>
                <w:color w:val="auto"/>
              </w:rPr>
            </w:pPr>
            <w:r>
              <w:rPr>
                <w:rFonts w:ascii="Arial" w:cs="Arial" w:eastAsia="Arial" w:hAnsi="Arial"/>
                <w:sz w:val="18"/>
                <w:szCs w:val="18"/>
                <w:color w:val="auto"/>
              </w:rPr>
              <w:t>8,390</w:t>
            </w:r>
          </w:p>
        </w:tc>
        <w:tc>
          <w:tcPr>
            <w:tcW w:w="300" w:type="dxa"/>
            <w:vAlign w:val="bottom"/>
          </w:tcPr>
          <w:p>
            <w:pPr>
              <w:spacing w:after="0"/>
              <w:rPr>
                <w:sz w:val="20"/>
                <w:szCs w:val="20"/>
                <w:color w:val="auto"/>
              </w:rPr>
            </w:pPr>
          </w:p>
        </w:tc>
        <w:tc>
          <w:tcPr>
            <w:tcW w:w="1440" w:type="dxa"/>
            <w:vAlign w:val="bottom"/>
            <w:tcBorders>
              <w:top w:val="single" w:sz="8" w:color="376DB5"/>
            </w:tcBorders>
          </w:tcPr>
          <w:p>
            <w:pPr>
              <w:jc w:val="right"/>
              <w:ind w:right="310"/>
              <w:spacing w:after="0"/>
              <w:rPr>
                <w:sz w:val="20"/>
                <w:szCs w:val="20"/>
                <w:color w:val="auto"/>
              </w:rPr>
            </w:pPr>
            <w:r>
              <w:rPr>
                <w:rFonts w:ascii="Arial" w:cs="Arial" w:eastAsia="Arial" w:hAnsi="Arial"/>
                <w:sz w:val="18"/>
                <w:szCs w:val="18"/>
                <w:color w:val="auto"/>
              </w:rPr>
              <w:t>2,818</w:t>
            </w:r>
          </w:p>
        </w:tc>
        <w:tc>
          <w:tcPr>
            <w:tcW w:w="1320" w:type="dxa"/>
            <w:vAlign w:val="bottom"/>
            <w:tcBorders>
              <w:top w:val="single" w:sz="8" w:color="376DB5"/>
            </w:tcBorders>
          </w:tcPr>
          <w:p>
            <w:pPr>
              <w:jc w:val="right"/>
              <w:ind w:right="350"/>
              <w:spacing w:after="0"/>
              <w:rPr>
                <w:sz w:val="20"/>
                <w:szCs w:val="20"/>
                <w:color w:val="auto"/>
              </w:rPr>
            </w:pPr>
            <w:r>
              <w:rPr>
                <w:rFonts w:ascii="Arial" w:cs="Arial" w:eastAsia="Arial" w:hAnsi="Arial"/>
                <w:sz w:val="18"/>
                <w:szCs w:val="18"/>
                <w:color w:val="auto"/>
              </w:rPr>
              <w:t>5,100</w:t>
            </w:r>
          </w:p>
        </w:tc>
        <w:tc>
          <w:tcPr>
            <w:tcW w:w="280" w:type="dxa"/>
            <w:vAlign w:val="bottom"/>
          </w:tcPr>
          <w:p>
            <w:pPr>
              <w:spacing w:after="0"/>
              <w:rPr>
                <w:sz w:val="20"/>
                <w:szCs w:val="20"/>
                <w:color w:val="auto"/>
              </w:rPr>
            </w:pPr>
          </w:p>
        </w:tc>
        <w:tc>
          <w:tcPr>
            <w:tcW w:w="1360" w:type="dxa"/>
            <w:vAlign w:val="bottom"/>
            <w:tcBorders>
              <w:top w:val="single" w:sz="8" w:color="376DB5"/>
            </w:tcBorders>
          </w:tcPr>
          <w:p>
            <w:pPr>
              <w:jc w:val="right"/>
              <w:ind w:right="210"/>
              <w:spacing w:after="0"/>
              <w:rPr>
                <w:sz w:val="20"/>
                <w:szCs w:val="20"/>
                <w:color w:val="auto"/>
              </w:rPr>
            </w:pPr>
            <w:r>
              <w:rPr>
                <w:rFonts w:ascii="Arial" w:cs="Arial" w:eastAsia="Arial" w:hAnsi="Arial"/>
                <w:sz w:val="18"/>
                <w:szCs w:val="18"/>
                <w:color w:val="auto"/>
              </w:rPr>
              <w:t>1,494</w:t>
            </w:r>
          </w:p>
        </w:tc>
        <w:tc>
          <w:tcPr>
            <w:tcW w:w="880" w:type="dxa"/>
            <w:vAlign w:val="bottom"/>
            <w:tcBorders>
              <w:top w:val="single" w:sz="8" w:color="376DB5"/>
            </w:tcBorders>
          </w:tcPr>
          <w:p>
            <w:pPr>
              <w:jc w:val="right"/>
              <w:ind w:right="250"/>
              <w:spacing w:after="0"/>
              <w:rPr>
                <w:sz w:val="20"/>
                <w:szCs w:val="20"/>
                <w:color w:val="auto"/>
              </w:rPr>
            </w:pPr>
            <w:r>
              <w:rPr>
                <w:rFonts w:ascii="Arial" w:cs="Arial" w:eastAsia="Arial" w:hAnsi="Arial"/>
                <w:sz w:val="18"/>
                <w:szCs w:val="18"/>
                <w:color w:val="auto"/>
              </w:rPr>
              <w:t>0</w:t>
            </w:r>
          </w:p>
        </w:tc>
      </w:tr>
      <w:tr>
        <w:trPr>
          <w:trHeight w:val="31"/>
        </w:trPr>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3"/>
        </w:trPr>
        <w:tc>
          <w:tcPr>
            <w:tcW w:w="2760" w:type="dxa"/>
            <w:vAlign w:val="bottom"/>
            <w:tcBorders>
              <w:bottom w:val="single" w:sz="8" w:color="F2F2F2"/>
            </w:tcBorders>
            <w:gridSpan w:val="2"/>
            <w:shd w:val="clear" w:color="auto" w:fill="F2F2F2"/>
          </w:tcPr>
          <w:p>
            <w:pPr>
              <w:spacing w:after="0"/>
              <w:rPr>
                <w:sz w:val="20"/>
                <w:szCs w:val="20"/>
                <w:color w:val="auto"/>
              </w:rPr>
            </w:pPr>
            <w:r>
              <w:rPr>
                <w:rFonts w:ascii="Arial" w:cs="Arial" w:eastAsia="Arial" w:hAnsi="Arial"/>
                <w:sz w:val="18"/>
                <w:szCs w:val="18"/>
                <w:color w:val="auto"/>
              </w:rPr>
              <w:t>  Steven Weber</w:t>
            </w:r>
          </w:p>
        </w:tc>
        <w:tc>
          <w:tcPr>
            <w:tcW w:w="1320" w:type="dxa"/>
            <w:vAlign w:val="bottom"/>
            <w:tcBorders>
              <w:bottom w:val="single" w:sz="8" w:color="F2F2F2"/>
            </w:tcBorders>
            <w:shd w:val="clear" w:color="auto" w:fill="F2F2F2"/>
          </w:tcPr>
          <w:p>
            <w:pPr>
              <w:jc w:val="right"/>
              <w:ind w:right="210"/>
              <w:spacing w:after="0"/>
              <w:rPr>
                <w:sz w:val="20"/>
                <w:szCs w:val="20"/>
                <w:color w:val="auto"/>
              </w:rPr>
            </w:pPr>
            <w:r>
              <w:rPr>
                <w:rFonts w:ascii="Arial" w:cs="Arial" w:eastAsia="Arial" w:hAnsi="Arial"/>
                <w:sz w:val="18"/>
                <w:szCs w:val="18"/>
                <w:color w:val="auto"/>
              </w:rPr>
              <w:t>N/A</w:t>
            </w:r>
          </w:p>
        </w:tc>
        <w:tc>
          <w:tcPr>
            <w:tcW w:w="1660" w:type="dxa"/>
            <w:vAlign w:val="bottom"/>
            <w:tcBorders>
              <w:bottom w:val="single" w:sz="8" w:color="F2F2F2"/>
            </w:tcBorders>
            <w:gridSpan w:val="2"/>
            <w:shd w:val="clear" w:color="auto" w:fill="F2F2F2"/>
          </w:tcPr>
          <w:p>
            <w:pPr>
              <w:jc w:val="right"/>
              <w:ind w:right="740"/>
              <w:spacing w:after="0"/>
              <w:rPr>
                <w:sz w:val="20"/>
                <w:szCs w:val="20"/>
                <w:color w:val="auto"/>
              </w:rPr>
            </w:pPr>
            <w:r>
              <w:rPr>
                <w:rFonts w:ascii="Arial" w:cs="Arial" w:eastAsia="Arial" w:hAnsi="Arial"/>
                <w:sz w:val="18"/>
                <w:szCs w:val="18"/>
                <w:color w:val="auto"/>
              </w:rPr>
              <w:t>N/A</w:t>
            </w:r>
          </w:p>
        </w:tc>
        <w:tc>
          <w:tcPr>
            <w:tcW w:w="1440" w:type="dxa"/>
            <w:vAlign w:val="bottom"/>
            <w:tcBorders>
              <w:bottom w:val="single" w:sz="8" w:color="F2F2F2"/>
            </w:tcBorders>
            <w:shd w:val="clear" w:color="auto" w:fill="F2F2F2"/>
          </w:tcPr>
          <w:p>
            <w:pPr>
              <w:jc w:val="right"/>
              <w:ind w:right="310"/>
              <w:spacing w:after="0"/>
              <w:rPr>
                <w:sz w:val="20"/>
                <w:szCs w:val="20"/>
                <w:color w:val="auto"/>
              </w:rPr>
            </w:pPr>
            <w:r>
              <w:rPr>
                <w:rFonts w:ascii="Arial" w:cs="Arial" w:eastAsia="Arial" w:hAnsi="Arial"/>
                <w:sz w:val="18"/>
                <w:szCs w:val="18"/>
                <w:color w:val="auto"/>
              </w:rPr>
              <w:t>564</w:t>
            </w:r>
          </w:p>
        </w:tc>
        <w:tc>
          <w:tcPr>
            <w:tcW w:w="1320" w:type="dxa"/>
            <w:vAlign w:val="bottom"/>
            <w:tcBorders>
              <w:bottom w:val="single" w:sz="8" w:color="F2F2F2"/>
            </w:tcBorders>
            <w:shd w:val="clear" w:color="auto" w:fill="F2F2F2"/>
          </w:tcPr>
          <w:p>
            <w:pPr>
              <w:jc w:val="right"/>
              <w:ind w:right="350"/>
              <w:spacing w:after="0"/>
              <w:rPr>
                <w:sz w:val="20"/>
                <w:szCs w:val="20"/>
                <w:color w:val="auto"/>
              </w:rPr>
            </w:pPr>
            <w:r>
              <w:rPr>
                <w:rFonts w:ascii="Arial" w:cs="Arial" w:eastAsia="Arial" w:hAnsi="Arial"/>
                <w:sz w:val="18"/>
                <w:szCs w:val="18"/>
                <w:color w:val="auto"/>
              </w:rPr>
              <w:t>1,020</w:t>
            </w:r>
          </w:p>
        </w:tc>
        <w:tc>
          <w:tcPr>
            <w:tcW w:w="280" w:type="dxa"/>
            <w:vAlign w:val="bottom"/>
            <w:tcBorders>
              <w:bottom w:val="single" w:sz="8" w:color="F2F2F2"/>
            </w:tcBorders>
            <w:shd w:val="clear" w:color="auto" w:fill="F2F2F2"/>
          </w:tcPr>
          <w:p>
            <w:pPr>
              <w:spacing w:after="0"/>
              <w:rPr>
                <w:sz w:val="22"/>
                <w:szCs w:val="22"/>
                <w:color w:val="auto"/>
              </w:rPr>
            </w:pPr>
          </w:p>
        </w:tc>
        <w:tc>
          <w:tcPr>
            <w:tcW w:w="1360" w:type="dxa"/>
            <w:vAlign w:val="bottom"/>
            <w:tcBorders>
              <w:bottom w:val="single" w:sz="8" w:color="F2F2F2"/>
            </w:tcBorders>
            <w:shd w:val="clear" w:color="auto" w:fill="F2F2F2"/>
          </w:tcPr>
          <w:p>
            <w:pPr>
              <w:jc w:val="right"/>
              <w:ind w:right="210"/>
              <w:spacing w:after="0"/>
              <w:rPr>
                <w:sz w:val="20"/>
                <w:szCs w:val="20"/>
                <w:color w:val="auto"/>
              </w:rPr>
            </w:pPr>
            <w:r>
              <w:rPr>
                <w:rFonts w:ascii="Arial" w:cs="Arial" w:eastAsia="Arial" w:hAnsi="Arial"/>
                <w:sz w:val="18"/>
                <w:szCs w:val="18"/>
                <w:color w:val="auto"/>
              </w:rPr>
              <w:t>274</w:t>
            </w:r>
          </w:p>
        </w:tc>
        <w:tc>
          <w:tcPr>
            <w:tcW w:w="880" w:type="dxa"/>
            <w:vAlign w:val="bottom"/>
            <w:tcBorders>
              <w:bottom w:val="single" w:sz="8" w:color="F2F2F2"/>
            </w:tcBorders>
            <w:shd w:val="clear" w:color="auto" w:fill="F2F2F2"/>
          </w:tcPr>
          <w:p>
            <w:pPr>
              <w:jc w:val="right"/>
              <w:ind w:right="250"/>
              <w:spacing w:after="0"/>
              <w:rPr>
                <w:sz w:val="20"/>
                <w:szCs w:val="20"/>
                <w:color w:val="auto"/>
              </w:rPr>
            </w:pPr>
            <w:r>
              <w:rPr>
                <w:rFonts w:ascii="Arial" w:cs="Arial" w:eastAsia="Arial" w:hAnsi="Arial"/>
                <w:sz w:val="18"/>
                <w:szCs w:val="18"/>
                <w:color w:val="auto"/>
              </w:rPr>
              <w:t>0</w:t>
            </w:r>
          </w:p>
        </w:tc>
      </w:tr>
      <w:tr>
        <w:trPr>
          <w:trHeight w:val="247"/>
        </w:trPr>
        <w:tc>
          <w:tcPr>
            <w:tcW w:w="2760" w:type="dxa"/>
            <w:vAlign w:val="bottom"/>
            <w:gridSpan w:val="2"/>
          </w:tcPr>
          <w:p>
            <w:pPr>
              <w:spacing w:after="0"/>
              <w:rPr>
                <w:sz w:val="20"/>
                <w:szCs w:val="20"/>
                <w:color w:val="auto"/>
              </w:rPr>
            </w:pPr>
            <w:r>
              <w:rPr>
                <w:rFonts w:ascii="Arial" w:cs="Arial" w:eastAsia="Arial" w:hAnsi="Arial"/>
                <w:sz w:val="18"/>
                <w:szCs w:val="18"/>
                <w:color w:val="auto"/>
              </w:rPr>
              <w:t>  Nikhil Behl</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N/A</w:t>
            </w: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N/A</w:t>
            </w: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395</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714</w:t>
            </w:r>
          </w:p>
        </w:tc>
        <w:tc>
          <w:tcPr>
            <w:tcW w:w="280" w:type="dxa"/>
            <w:vAlign w:val="bottom"/>
          </w:tcPr>
          <w:p>
            <w:pPr>
              <w:spacing w:after="0"/>
              <w:rPr>
                <w:sz w:val="21"/>
                <w:szCs w:val="21"/>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299</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0</w:t>
            </w:r>
          </w:p>
        </w:tc>
      </w:tr>
      <w:tr>
        <w:trPr>
          <w:trHeight w:val="36"/>
        </w:trPr>
        <w:tc>
          <w:tcPr>
            <w:tcW w:w="1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2760" w:type="dxa"/>
            <w:vAlign w:val="bottom"/>
            <w:tcBorders>
              <w:bottom w:val="single" w:sz="8" w:color="F2F2F2"/>
            </w:tcBorders>
            <w:gridSpan w:val="2"/>
            <w:shd w:val="clear" w:color="auto" w:fill="F2F2F2"/>
          </w:tcPr>
          <w:p>
            <w:pPr>
              <w:spacing w:after="0"/>
              <w:rPr>
                <w:sz w:val="20"/>
                <w:szCs w:val="20"/>
                <w:color w:val="auto"/>
              </w:rPr>
            </w:pPr>
            <w:r>
              <w:rPr>
                <w:rFonts w:ascii="Arial" w:cs="Arial" w:eastAsia="Arial" w:hAnsi="Arial"/>
                <w:sz w:val="18"/>
                <w:szCs w:val="18"/>
                <w:color w:val="auto"/>
              </w:rPr>
              <w:t>  Richard Deal</w:t>
            </w:r>
          </w:p>
        </w:tc>
        <w:tc>
          <w:tcPr>
            <w:tcW w:w="1320" w:type="dxa"/>
            <w:vAlign w:val="bottom"/>
            <w:tcBorders>
              <w:bottom w:val="single" w:sz="8" w:color="F2F2F2"/>
            </w:tcBorders>
            <w:shd w:val="clear" w:color="auto" w:fill="F2F2F2"/>
          </w:tcPr>
          <w:p>
            <w:pPr>
              <w:jc w:val="right"/>
              <w:ind w:right="210"/>
              <w:spacing w:after="0"/>
              <w:rPr>
                <w:sz w:val="20"/>
                <w:szCs w:val="20"/>
                <w:color w:val="auto"/>
              </w:rPr>
            </w:pPr>
            <w:r>
              <w:rPr>
                <w:rFonts w:ascii="Arial" w:cs="Arial" w:eastAsia="Arial" w:hAnsi="Arial"/>
                <w:sz w:val="18"/>
                <w:szCs w:val="18"/>
                <w:color w:val="auto"/>
              </w:rPr>
              <w:t>831</w:t>
            </w:r>
          </w:p>
        </w:tc>
        <w:tc>
          <w:tcPr>
            <w:tcW w:w="1360" w:type="dxa"/>
            <w:vAlign w:val="bottom"/>
            <w:tcBorders>
              <w:bottom w:val="single" w:sz="8" w:color="F2F2F2"/>
            </w:tcBorders>
            <w:shd w:val="clear" w:color="auto" w:fill="F2F2F2"/>
          </w:tcPr>
          <w:p>
            <w:pPr>
              <w:jc w:val="right"/>
              <w:ind w:right="350"/>
              <w:spacing w:after="0"/>
              <w:rPr>
                <w:sz w:val="20"/>
                <w:szCs w:val="20"/>
                <w:color w:val="auto"/>
              </w:rPr>
            </w:pPr>
            <w:r>
              <w:rPr>
                <w:rFonts w:ascii="Arial" w:cs="Arial" w:eastAsia="Arial" w:hAnsi="Arial"/>
                <w:sz w:val="18"/>
                <w:szCs w:val="18"/>
                <w:color w:val="auto"/>
              </w:rPr>
              <w:t>1,662</w:t>
            </w:r>
          </w:p>
        </w:tc>
        <w:tc>
          <w:tcPr>
            <w:tcW w:w="300" w:type="dxa"/>
            <w:vAlign w:val="bottom"/>
            <w:tcBorders>
              <w:bottom w:val="single" w:sz="8" w:color="F2F2F2"/>
            </w:tcBorders>
            <w:shd w:val="clear" w:color="auto" w:fill="F2F2F2"/>
          </w:tcPr>
          <w:p>
            <w:pPr>
              <w:spacing w:after="0"/>
              <w:rPr>
                <w:sz w:val="22"/>
                <w:szCs w:val="22"/>
                <w:color w:val="auto"/>
              </w:rPr>
            </w:pPr>
          </w:p>
        </w:tc>
        <w:tc>
          <w:tcPr>
            <w:tcW w:w="1440" w:type="dxa"/>
            <w:vAlign w:val="bottom"/>
            <w:tcBorders>
              <w:bottom w:val="single" w:sz="8" w:color="F2F2F2"/>
            </w:tcBorders>
            <w:shd w:val="clear" w:color="auto" w:fill="F2F2F2"/>
          </w:tcPr>
          <w:p>
            <w:pPr>
              <w:jc w:val="right"/>
              <w:ind w:right="310"/>
              <w:spacing w:after="0"/>
              <w:rPr>
                <w:sz w:val="20"/>
                <w:szCs w:val="20"/>
                <w:color w:val="auto"/>
              </w:rPr>
            </w:pPr>
            <w:r>
              <w:rPr>
                <w:rFonts w:ascii="Arial" w:cs="Arial" w:eastAsia="Arial" w:hAnsi="Arial"/>
                <w:sz w:val="18"/>
                <w:szCs w:val="18"/>
                <w:color w:val="auto"/>
              </w:rPr>
              <w:t>564</w:t>
            </w:r>
          </w:p>
        </w:tc>
        <w:tc>
          <w:tcPr>
            <w:tcW w:w="1320" w:type="dxa"/>
            <w:vAlign w:val="bottom"/>
            <w:tcBorders>
              <w:bottom w:val="single" w:sz="8" w:color="F2F2F2"/>
            </w:tcBorders>
            <w:shd w:val="clear" w:color="auto" w:fill="F2F2F2"/>
          </w:tcPr>
          <w:p>
            <w:pPr>
              <w:jc w:val="right"/>
              <w:ind w:right="350"/>
              <w:spacing w:after="0"/>
              <w:rPr>
                <w:sz w:val="20"/>
                <w:szCs w:val="20"/>
                <w:color w:val="auto"/>
              </w:rPr>
            </w:pPr>
            <w:r>
              <w:rPr>
                <w:rFonts w:ascii="Arial" w:cs="Arial" w:eastAsia="Arial" w:hAnsi="Arial"/>
                <w:sz w:val="18"/>
                <w:szCs w:val="18"/>
                <w:color w:val="auto"/>
              </w:rPr>
              <w:t>1,020</w:t>
            </w:r>
          </w:p>
        </w:tc>
        <w:tc>
          <w:tcPr>
            <w:tcW w:w="280" w:type="dxa"/>
            <w:vAlign w:val="bottom"/>
            <w:tcBorders>
              <w:bottom w:val="single" w:sz="8" w:color="F2F2F2"/>
            </w:tcBorders>
            <w:shd w:val="clear" w:color="auto" w:fill="F2F2F2"/>
          </w:tcPr>
          <w:p>
            <w:pPr>
              <w:spacing w:after="0"/>
              <w:rPr>
                <w:sz w:val="22"/>
                <w:szCs w:val="22"/>
                <w:color w:val="auto"/>
              </w:rPr>
            </w:pPr>
          </w:p>
        </w:tc>
        <w:tc>
          <w:tcPr>
            <w:tcW w:w="1360" w:type="dxa"/>
            <w:vAlign w:val="bottom"/>
            <w:tcBorders>
              <w:bottom w:val="single" w:sz="8" w:color="F2F2F2"/>
            </w:tcBorders>
            <w:shd w:val="clear" w:color="auto" w:fill="F2F2F2"/>
          </w:tcPr>
          <w:p>
            <w:pPr>
              <w:jc w:val="right"/>
              <w:ind w:right="210"/>
              <w:spacing w:after="0"/>
              <w:rPr>
                <w:sz w:val="20"/>
                <w:szCs w:val="20"/>
                <w:color w:val="auto"/>
              </w:rPr>
            </w:pPr>
            <w:r>
              <w:rPr>
                <w:rFonts w:ascii="Arial" w:cs="Arial" w:eastAsia="Arial" w:hAnsi="Arial"/>
                <w:sz w:val="18"/>
                <w:szCs w:val="18"/>
                <w:color w:val="auto"/>
              </w:rPr>
              <w:t>274</w:t>
            </w:r>
          </w:p>
        </w:tc>
        <w:tc>
          <w:tcPr>
            <w:tcW w:w="880" w:type="dxa"/>
            <w:vAlign w:val="bottom"/>
            <w:tcBorders>
              <w:bottom w:val="single" w:sz="8" w:color="F2F2F2"/>
            </w:tcBorders>
            <w:shd w:val="clear" w:color="auto" w:fill="F2F2F2"/>
          </w:tcPr>
          <w:p>
            <w:pPr>
              <w:jc w:val="right"/>
              <w:ind w:right="250"/>
              <w:spacing w:after="0"/>
              <w:rPr>
                <w:sz w:val="20"/>
                <w:szCs w:val="20"/>
                <w:color w:val="auto"/>
              </w:rPr>
            </w:pPr>
            <w:r>
              <w:rPr>
                <w:rFonts w:ascii="Arial" w:cs="Arial" w:eastAsia="Arial" w:hAnsi="Arial"/>
                <w:sz w:val="18"/>
                <w:szCs w:val="18"/>
                <w:color w:val="auto"/>
              </w:rPr>
              <w:t>0</w:t>
            </w:r>
          </w:p>
        </w:tc>
      </w:tr>
      <w:tr>
        <w:trPr>
          <w:trHeight w:val="247"/>
        </w:trPr>
        <w:tc>
          <w:tcPr>
            <w:tcW w:w="2760" w:type="dxa"/>
            <w:vAlign w:val="bottom"/>
            <w:gridSpan w:val="2"/>
          </w:tcPr>
          <w:p>
            <w:pPr>
              <w:spacing w:after="0"/>
              <w:rPr>
                <w:sz w:val="20"/>
                <w:szCs w:val="20"/>
                <w:color w:val="auto"/>
              </w:rPr>
            </w:pPr>
            <w:r>
              <w:rPr>
                <w:rFonts w:ascii="Arial" w:cs="Arial" w:eastAsia="Arial" w:hAnsi="Arial"/>
                <w:sz w:val="18"/>
                <w:szCs w:val="18"/>
                <w:color w:val="auto"/>
              </w:rPr>
              <w:t>  Mark Scadina</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831</w:t>
            </w: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1,662</w:t>
            </w:r>
          </w:p>
        </w:tc>
        <w:tc>
          <w:tcPr>
            <w:tcW w:w="300" w:type="dxa"/>
            <w:vAlign w:val="bottom"/>
          </w:tcPr>
          <w:p>
            <w:pPr>
              <w:spacing w:after="0"/>
              <w:rPr>
                <w:sz w:val="21"/>
                <w:szCs w:val="21"/>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564</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1,020</w:t>
            </w:r>
          </w:p>
        </w:tc>
        <w:tc>
          <w:tcPr>
            <w:tcW w:w="280" w:type="dxa"/>
            <w:vAlign w:val="bottom"/>
          </w:tcPr>
          <w:p>
            <w:pPr>
              <w:spacing w:after="0"/>
              <w:rPr>
                <w:sz w:val="21"/>
                <w:szCs w:val="21"/>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274</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0</w:t>
            </w:r>
          </w:p>
        </w:tc>
      </w:tr>
      <w:tr>
        <w:trPr>
          <w:trHeight w:val="36"/>
        </w:trPr>
        <w:tc>
          <w:tcPr>
            <w:tcW w:w="1760" w:type="dxa"/>
            <w:vAlign w:val="bottom"/>
            <w:tcBorders>
              <w:bottom w:val="single" w:sz="8" w:color="376DB5"/>
            </w:tcBorders>
          </w:tcPr>
          <w:p>
            <w:pPr>
              <w:spacing w:after="0"/>
              <w:rPr>
                <w:sz w:val="3"/>
                <w:szCs w:val="3"/>
                <w:color w:val="auto"/>
              </w:rPr>
            </w:pPr>
          </w:p>
        </w:tc>
        <w:tc>
          <w:tcPr>
            <w:tcW w:w="1000" w:type="dxa"/>
            <w:vAlign w:val="bottom"/>
            <w:tcBorders>
              <w:bottom w:val="single" w:sz="8" w:color="376DB5"/>
            </w:tcBorders>
          </w:tcPr>
          <w:p>
            <w:pPr>
              <w:spacing w:after="0"/>
              <w:rPr>
                <w:sz w:val="3"/>
                <w:szCs w:val="3"/>
                <w:color w:val="auto"/>
              </w:rPr>
            </w:pPr>
          </w:p>
        </w:tc>
        <w:tc>
          <w:tcPr>
            <w:tcW w:w="1320" w:type="dxa"/>
            <w:vAlign w:val="bottom"/>
            <w:tcBorders>
              <w:bottom w:val="single" w:sz="8" w:color="376DB5"/>
            </w:tcBorders>
          </w:tcPr>
          <w:p>
            <w:pPr>
              <w:spacing w:after="0"/>
              <w:rPr>
                <w:sz w:val="3"/>
                <w:szCs w:val="3"/>
                <w:color w:val="auto"/>
              </w:rPr>
            </w:pPr>
          </w:p>
        </w:tc>
        <w:tc>
          <w:tcPr>
            <w:tcW w:w="1360" w:type="dxa"/>
            <w:vAlign w:val="bottom"/>
            <w:tcBorders>
              <w:bottom w:val="single" w:sz="8" w:color="376DB5"/>
            </w:tcBorders>
          </w:tcPr>
          <w:p>
            <w:pPr>
              <w:spacing w:after="0"/>
              <w:rPr>
                <w:sz w:val="3"/>
                <w:szCs w:val="3"/>
                <w:color w:val="auto"/>
              </w:rPr>
            </w:pPr>
          </w:p>
        </w:tc>
        <w:tc>
          <w:tcPr>
            <w:tcW w:w="300" w:type="dxa"/>
            <w:vAlign w:val="bottom"/>
            <w:tcBorders>
              <w:bottom w:val="single" w:sz="8" w:color="376DB5"/>
            </w:tcBorders>
          </w:tcPr>
          <w:p>
            <w:pPr>
              <w:spacing w:after="0"/>
              <w:rPr>
                <w:sz w:val="3"/>
                <w:szCs w:val="3"/>
                <w:color w:val="auto"/>
              </w:rPr>
            </w:pPr>
          </w:p>
        </w:tc>
        <w:tc>
          <w:tcPr>
            <w:tcW w:w="1440" w:type="dxa"/>
            <w:vAlign w:val="bottom"/>
            <w:tcBorders>
              <w:bottom w:val="single" w:sz="8" w:color="376DB5"/>
            </w:tcBorders>
          </w:tcPr>
          <w:p>
            <w:pPr>
              <w:spacing w:after="0"/>
              <w:rPr>
                <w:sz w:val="3"/>
                <w:szCs w:val="3"/>
                <w:color w:val="auto"/>
              </w:rPr>
            </w:pPr>
          </w:p>
        </w:tc>
        <w:tc>
          <w:tcPr>
            <w:tcW w:w="1320" w:type="dxa"/>
            <w:vAlign w:val="bottom"/>
            <w:tcBorders>
              <w:bottom w:val="single" w:sz="8" w:color="376DB5"/>
            </w:tcBorders>
          </w:tcPr>
          <w:p>
            <w:pPr>
              <w:spacing w:after="0"/>
              <w:rPr>
                <w:sz w:val="3"/>
                <w:szCs w:val="3"/>
                <w:color w:val="auto"/>
              </w:rPr>
            </w:pPr>
          </w:p>
        </w:tc>
        <w:tc>
          <w:tcPr>
            <w:tcW w:w="280" w:type="dxa"/>
            <w:vAlign w:val="bottom"/>
            <w:tcBorders>
              <w:bottom w:val="single" w:sz="8" w:color="376DB5"/>
            </w:tcBorders>
          </w:tcPr>
          <w:p>
            <w:pPr>
              <w:spacing w:after="0"/>
              <w:rPr>
                <w:sz w:val="3"/>
                <w:szCs w:val="3"/>
                <w:color w:val="auto"/>
              </w:rPr>
            </w:pPr>
          </w:p>
        </w:tc>
        <w:tc>
          <w:tcPr>
            <w:tcW w:w="1360" w:type="dxa"/>
            <w:vAlign w:val="bottom"/>
            <w:tcBorders>
              <w:bottom w:val="single" w:sz="8" w:color="376DB5"/>
            </w:tcBorders>
          </w:tcPr>
          <w:p>
            <w:pPr>
              <w:spacing w:after="0"/>
              <w:rPr>
                <w:sz w:val="3"/>
                <w:szCs w:val="3"/>
                <w:color w:val="auto"/>
              </w:rPr>
            </w:pPr>
          </w:p>
        </w:tc>
        <w:tc>
          <w:tcPr>
            <w:tcW w:w="880" w:type="dxa"/>
            <w:vAlign w:val="bottom"/>
            <w:tcBorders>
              <w:bottom w:val="single" w:sz="8" w:color="376DB5"/>
            </w:tcBorders>
          </w:tcPr>
          <w:p>
            <w:pPr>
              <w:spacing w:after="0"/>
              <w:rPr>
                <w:sz w:val="3"/>
                <w:szCs w:val="3"/>
                <w:color w:val="auto"/>
              </w:rPr>
            </w:pPr>
          </w:p>
        </w:tc>
      </w:tr>
      <w:tr>
        <w:trPr>
          <w:trHeight w:val="128"/>
        </w:trPr>
        <w:tc>
          <w:tcPr>
            <w:tcW w:w="176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bl>
    <w:p>
      <w:pPr>
        <w:spacing w:after="0" w:line="99" w:lineRule="exact"/>
        <w:rPr>
          <w:sz w:val="20"/>
          <w:szCs w:val="20"/>
          <w:color w:val="auto"/>
        </w:rPr>
      </w:pPr>
    </w:p>
    <w:p>
      <w:pPr>
        <w:jc w:val="both"/>
        <w:ind w:left="120" w:hanging="4"/>
        <w:spacing w:after="0" w:line="226" w:lineRule="auto"/>
        <w:tabs>
          <w:tab w:leader="none" w:pos="295"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The actual number of MSUs granted in fiscal 2023 and earned in fiscal 2025 was calculated by multiplying the total number of target units in the applicable award agreement by the relative return factor of 200% for fiscal 2025, then subtracting the fiscal 2023 MSUs earned at the conclusion of the first and second performance periods. The total number of Mr. Lansing’s target fiscal 2023 MSUs was 12,585, and multiplying by the 200% relative return factor yielded 25,170. Subtracting the 16,780 MSUs earned for the first and second performance periods yields the remaining 8,390 MSUs earned for the third performance period. The total number of Mr. Deal’s and Mr. Scadina’s target fiscal 2023 MSUs was 2,493 each, and multiplying by the 200% relative return factor yielded 4,986 MSUs each. Subtracting the 3,324 MSUs earned by each for the first and second performance periods yields the remaining 1,662 MSUs earned by each for the third performance period.</w:t>
      </w:r>
    </w:p>
    <w:p>
      <w:pPr>
        <w:spacing w:after="0" w:line="4" w:lineRule="exact"/>
        <w:rPr>
          <w:rFonts w:ascii="Arial" w:cs="Arial" w:eastAsia="Arial" w:hAnsi="Arial"/>
          <w:sz w:val="22"/>
          <w:szCs w:val="22"/>
          <w:color w:val="auto"/>
          <w:vertAlign w:val="superscript"/>
        </w:rPr>
      </w:pPr>
    </w:p>
    <w:p>
      <w:pPr>
        <w:ind w:left="280" w:hanging="164"/>
        <w:spacing w:after="0" w:line="225" w:lineRule="auto"/>
        <w:tabs>
          <w:tab w:leader="none" w:pos="280" w:val="left"/>
        </w:tabs>
        <w:numPr>
          <w:ilvl w:val="0"/>
          <w:numId w:val="48"/>
        </w:numPr>
        <w:rPr>
          <w:rFonts w:ascii="Arial" w:cs="Arial" w:eastAsia="Arial" w:hAnsi="Arial"/>
          <w:sz w:val="20"/>
          <w:szCs w:val="20"/>
          <w:color w:val="auto"/>
          <w:vertAlign w:val="superscript"/>
        </w:rPr>
      </w:pPr>
      <w:r>
        <w:rPr>
          <w:rFonts w:ascii="Arial" w:cs="Arial" w:eastAsia="Arial" w:hAnsi="Arial"/>
          <w:sz w:val="14"/>
          <w:szCs w:val="14"/>
          <w:color w:val="auto"/>
        </w:rPr>
        <w:t>All outstanding and unearned MSUs granted to Mr. Wehmann in fiscal 2023, 2024 and 2025 were forfeited upon his retirement from the Company.</w:t>
      </w:r>
    </w:p>
    <w:p>
      <w:pPr>
        <w:spacing w:after="0" w:line="89" w:lineRule="exact"/>
        <w:rPr>
          <w:sz w:val="20"/>
          <w:szCs w:val="20"/>
          <w:color w:val="auto"/>
        </w:rPr>
      </w:pPr>
    </w:p>
    <w:p>
      <w:pPr>
        <w:jc w:val="both"/>
        <w:ind w:left="120" w:firstLine="551"/>
        <w:spacing w:after="0" w:line="242" w:lineRule="auto"/>
        <w:rPr>
          <w:sz w:val="20"/>
          <w:szCs w:val="20"/>
          <w:color w:val="auto"/>
        </w:rPr>
      </w:pPr>
      <w:r>
        <w:rPr>
          <w:rFonts w:ascii="Arial" w:cs="Arial" w:eastAsia="Arial" w:hAnsi="Arial"/>
          <w:sz w:val="18"/>
          <w:szCs w:val="18"/>
          <w:i w:val="1"/>
          <w:iCs w:val="1"/>
          <w:color w:val="auto"/>
        </w:rPr>
        <w:t>Restricted Stock Units (“RSUs”)</w:t>
      </w:r>
      <w:r>
        <w:rPr>
          <w:rFonts w:ascii="Arial" w:cs="Arial" w:eastAsia="Arial" w:hAnsi="Arial"/>
          <w:sz w:val="18"/>
          <w:szCs w:val="18"/>
          <w:color w:val="auto"/>
        </w:rPr>
        <w:t>. The RSUs granted in fiscal 2025 provide a link to our stock price performance and promote our</w:t>
      </w:r>
      <w:r>
        <w:rPr>
          <w:rFonts w:ascii="Arial" w:cs="Arial" w:eastAsia="Arial" w:hAnsi="Arial"/>
          <w:sz w:val="18"/>
          <w:szCs w:val="18"/>
          <w:i w:val="1"/>
          <w:iCs w:val="1"/>
          <w:color w:val="auto"/>
        </w:rPr>
        <w:t xml:space="preserve"> </w:t>
      </w:r>
      <w:r>
        <w:rPr>
          <w:rFonts w:ascii="Arial" w:cs="Arial" w:eastAsia="Arial" w:hAnsi="Arial"/>
          <w:sz w:val="18"/>
          <w:szCs w:val="18"/>
          <w:color w:val="auto"/>
        </w:rPr>
        <w:t>retention objectives over a multi-year vesting period. Generally, the RSUs granted by the LDCC to executive officers vest in four equal annual installments beginning on the first anniversary of the grant date.</w:t>
      </w:r>
    </w:p>
    <w:p>
      <w:pPr>
        <w:spacing w:after="0" w:line="71" w:lineRule="exact"/>
        <w:rPr>
          <w:sz w:val="20"/>
          <w:szCs w:val="20"/>
          <w:color w:val="auto"/>
        </w:rPr>
      </w:pPr>
    </w:p>
    <w:p>
      <w:pPr>
        <w:jc w:val="both"/>
        <w:ind w:left="120" w:firstLine="551"/>
        <w:spacing w:after="0" w:line="242" w:lineRule="auto"/>
        <w:rPr>
          <w:sz w:val="20"/>
          <w:szCs w:val="20"/>
          <w:color w:val="auto"/>
        </w:rPr>
      </w:pPr>
      <w:r>
        <w:rPr>
          <w:rFonts w:ascii="Arial" w:cs="Arial" w:eastAsia="Arial" w:hAnsi="Arial"/>
          <w:sz w:val="18"/>
          <w:szCs w:val="18"/>
          <w:color w:val="auto"/>
        </w:rPr>
        <w:t>As in prior fiscal years, the LDCC permitted our executive officers to exchange up to 100% of their annual time-vested RSUs for non-qualified stock options (“NQSOs”) on an economically equivalent basis, while maintaining the existing four-year annual vesting requirement. We have provided executives with this flexibility of choice since fiscal 2015 as a retention tool, as the LDCC believes that NQSOs provide attractive leverage to the recipient and permit the holder to determine when taxable income events occur via a decision to exercise their NQSOs. In fiscal 2025, however, none of our named executive officers elected to receive a NQSO in exchange for an RSU award.</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COMPENSATION-SETTING PROCESS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LDCC Process</w:t>
      </w:r>
    </w:p>
    <w:p>
      <w:pPr>
        <w:spacing w:after="0" w:line="104"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Members of executive management participate in the LDCC’s meetings at the LDCC’s request. Management’s role is to contribute input and analysis, which the LDCC considers in making its decisions. The LDCC is not bound by management’s recommendations, but the LDCC relies on the insights of our CEO and Chief Human Resources Officer in determining compensation for our executive officers, other than our CEO. The LDCC also consults with its independent compensation consultant during its review of executive officer compensation. Prior to making decisions on executive compensation, the LDCC refers to comprehensive statements and reports prepared by its compensation consultant and management that reflect the amount and elements of each executive officer’s target total direct compensation opportunity relative to competitive market practices.</w:t>
      </w:r>
    </w:p>
    <w:p>
      <w:pPr>
        <w:spacing w:after="0" w:line="185"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The LDCC conducts an annual performance review of our CEO in connection with the determination of his compensation. As part of this process, one or more LDCC members and/or the Chairman of our Board of Directors meet with each senior executive to discuss our CEO’s performance using a structured interview approach. In addition, each Board member completes a written evaluation of our CEO and submits it to the LDCC. Based on these interviews and written evaluations, as well as on its own determinations regarding our CEO’s performance, the LDCC prepares a final performance review for our CEO. The LDCC then submits a recommendation for our CEO’s compensation to our Board of Directors for discussion. Following such discussion, the LDCC finalizes its determination of our CEO’s compensation and informs our CEO of such determination, together with the final performance review.</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53</w:t>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jc w:val="both"/>
        <w:ind w:left="120" w:firstLine="551"/>
        <w:spacing w:after="0" w:line="239" w:lineRule="auto"/>
        <w:rPr>
          <w:sz w:val="20"/>
          <w:szCs w:val="20"/>
          <w:color w:val="auto"/>
        </w:rPr>
      </w:pPr>
      <w:r>
        <w:rPr>
          <w:rFonts w:ascii="Arial" w:cs="Arial" w:eastAsia="Arial" w:hAnsi="Arial"/>
          <w:sz w:val="18"/>
          <w:szCs w:val="18"/>
          <w:color w:val="auto"/>
        </w:rPr>
        <w:t>For each named executive officer, in determining an individual’s compensation levels, the LDCC considers a number of factors, including the executive officer’s role within the Company, experience, performance, and potential for development, the cost to the Company of replacing the individual, and compensation peer group data for comparable roles within the peer group companies. The LDCC does not benchmark total compensation or individual elements of compensation to particular percentiles within the Company’s compensation peer group, but aims to create competitive pay packages that reflect the Company’s and individuals’ performance and that are generally intended to deliver above market median compensation if long-term equity incentive awards pay out at or above target based on challenging required levels of performance. In connection with our fiscal 2025 executive compensation program, the LDCC reviewed summary reports prepared by its compensation consultant and by management reflecting current and proposed base salary, short-term cash incentive and equity award levels for our executive officers. Each element was analyzed relative to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7029450" cy="65747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029450" cy="6574790"/>
                    </a:xfrm>
                    <a:prstGeom prst="rect">
                      <a:avLst/>
                    </a:prstGeom>
                    <a:noFill/>
                  </pic:spPr>
                </pic:pic>
              </a:graphicData>
            </a:graphic>
          </wp:anchor>
        </w:drawing>
      </w:r>
    </w:p>
    <w:p>
      <w:pPr>
        <w:sectPr>
          <w:pgSz w:w="11900" w:h="16838" w:orient="portrait"/>
          <w:cols w:equalWidth="0" w:num="1">
            <w:col w:w="11140"/>
          </w:cols>
          <w:pgMar w:left="320" w:top="482" w:right="439" w:bottom="11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54</w:t>
      </w:r>
    </w:p>
    <w:p>
      <w:pPr>
        <w:sectPr>
          <w:pgSz w:w="11900" w:h="16838" w:orient="portrait"/>
          <w:cols w:equalWidth="0" w:num="1">
            <w:col w:w="11140"/>
          </w:cols>
          <w:pgMar w:left="320" w:top="482" w:right="439" w:bottom="1134"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Specific information with respect to the Company’s relative position follows, using values available at the time the compensation levels were being determined in November 2024:</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2940" w:type="dxa"/>
            <w:vAlign w:val="bottom"/>
            <w:tcBorders>
              <w:top w:val="single" w:sz="8" w:color="376DB5"/>
            </w:tcBorders>
          </w:tcPr>
          <w:p>
            <w:pPr>
              <w:spacing w:after="0"/>
              <w:rPr>
                <w:sz w:val="17"/>
                <w:szCs w:val="17"/>
                <w:color w:val="auto"/>
              </w:rPr>
            </w:pPr>
          </w:p>
        </w:tc>
        <w:tc>
          <w:tcPr>
            <w:tcW w:w="1540" w:type="dxa"/>
            <w:vAlign w:val="bottom"/>
            <w:tcBorders>
              <w:top w:val="single" w:sz="8" w:color="376DB5"/>
            </w:tcBorders>
          </w:tcPr>
          <w:p>
            <w:pPr>
              <w:spacing w:after="0"/>
              <w:rPr>
                <w:sz w:val="17"/>
                <w:szCs w:val="17"/>
                <w:color w:val="auto"/>
              </w:rPr>
            </w:pPr>
          </w:p>
        </w:tc>
        <w:tc>
          <w:tcPr>
            <w:tcW w:w="1440" w:type="dxa"/>
            <w:vAlign w:val="bottom"/>
            <w:tcBorders>
              <w:top w:val="single" w:sz="8" w:color="376DB5"/>
            </w:tcBorders>
          </w:tcPr>
          <w:p>
            <w:pPr>
              <w:jc w:val="right"/>
              <w:ind w:right="90"/>
              <w:spacing w:after="0" w:line="197" w:lineRule="exact"/>
              <w:rPr>
                <w:sz w:val="20"/>
                <w:szCs w:val="20"/>
                <w:color w:val="auto"/>
              </w:rPr>
            </w:pPr>
            <w:r>
              <w:rPr>
                <w:rFonts w:ascii="Arial" w:cs="Arial" w:eastAsia="Arial" w:hAnsi="Arial"/>
                <w:sz w:val="18"/>
                <w:szCs w:val="18"/>
                <w:color w:val="376DB5"/>
              </w:rPr>
              <w:t>Market</w:t>
            </w:r>
          </w:p>
        </w:tc>
        <w:tc>
          <w:tcPr>
            <w:tcW w:w="1420" w:type="dxa"/>
            <w:vAlign w:val="bottom"/>
            <w:tcBorders>
              <w:top w:val="single" w:sz="8" w:color="376DB5"/>
            </w:tcBorders>
          </w:tcPr>
          <w:p>
            <w:pPr>
              <w:jc w:val="right"/>
              <w:ind w:right="90"/>
              <w:spacing w:after="0" w:line="197" w:lineRule="exact"/>
              <w:rPr>
                <w:sz w:val="20"/>
                <w:szCs w:val="20"/>
                <w:color w:val="auto"/>
              </w:rPr>
            </w:pPr>
            <w:r>
              <w:rPr>
                <w:rFonts w:ascii="Arial" w:cs="Arial" w:eastAsia="Arial" w:hAnsi="Arial"/>
                <w:sz w:val="18"/>
                <w:szCs w:val="18"/>
                <w:color w:val="376DB5"/>
              </w:rPr>
              <w:t>Operating</w:t>
            </w:r>
          </w:p>
        </w:tc>
        <w:tc>
          <w:tcPr>
            <w:tcW w:w="1420" w:type="dxa"/>
            <w:vAlign w:val="bottom"/>
            <w:tcBorders>
              <w:top w:val="single" w:sz="8" w:color="376DB5"/>
            </w:tcBorders>
          </w:tcPr>
          <w:p>
            <w:pPr>
              <w:spacing w:after="0"/>
              <w:rPr>
                <w:sz w:val="17"/>
                <w:szCs w:val="17"/>
                <w:color w:val="auto"/>
              </w:rPr>
            </w:pPr>
          </w:p>
        </w:tc>
        <w:tc>
          <w:tcPr>
            <w:tcW w:w="1120" w:type="dxa"/>
            <w:vAlign w:val="bottom"/>
            <w:tcBorders>
              <w:top w:val="single" w:sz="8" w:color="376DB5"/>
            </w:tcBorders>
          </w:tcPr>
          <w:p>
            <w:pPr>
              <w:spacing w:after="0"/>
              <w:rPr>
                <w:sz w:val="17"/>
                <w:szCs w:val="17"/>
                <w:color w:val="auto"/>
              </w:rPr>
            </w:pPr>
          </w:p>
        </w:tc>
        <w:tc>
          <w:tcPr>
            <w:tcW w:w="1140" w:type="dxa"/>
            <w:vAlign w:val="bottom"/>
            <w:tcBorders>
              <w:top w:val="single" w:sz="8" w:color="376DB5"/>
            </w:tcBorders>
          </w:tcPr>
          <w:p>
            <w:pPr>
              <w:spacing w:after="0"/>
              <w:rPr>
                <w:sz w:val="17"/>
                <w:szCs w:val="17"/>
                <w:color w:val="auto"/>
              </w:rPr>
            </w:pPr>
          </w:p>
        </w:tc>
      </w:tr>
      <w:tr>
        <w:trPr>
          <w:trHeight w:val="203"/>
        </w:trPr>
        <w:tc>
          <w:tcPr>
            <w:tcW w:w="2940" w:type="dxa"/>
            <w:vAlign w:val="bottom"/>
          </w:tcPr>
          <w:p>
            <w:pPr>
              <w:spacing w:after="0"/>
              <w:rPr>
                <w:sz w:val="17"/>
                <w:szCs w:val="17"/>
                <w:color w:val="auto"/>
              </w:rPr>
            </w:pPr>
          </w:p>
        </w:tc>
        <w:tc>
          <w:tcPr>
            <w:tcW w:w="1540" w:type="dxa"/>
            <w:vAlign w:val="bottom"/>
          </w:tcPr>
          <w:p>
            <w:pPr>
              <w:jc w:val="right"/>
              <w:ind w:right="90"/>
              <w:spacing w:after="0" w:line="202" w:lineRule="exact"/>
              <w:rPr>
                <w:sz w:val="20"/>
                <w:szCs w:val="20"/>
                <w:color w:val="auto"/>
              </w:rPr>
            </w:pPr>
            <w:r>
              <w:rPr>
                <w:rFonts w:ascii="Arial" w:cs="Arial" w:eastAsia="Arial" w:hAnsi="Arial"/>
                <w:sz w:val="18"/>
                <w:szCs w:val="18"/>
                <w:color w:val="376DB5"/>
              </w:rPr>
              <w:t>Revenue</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376DB5"/>
              </w:rPr>
              <w:t>Capitalization</w:t>
            </w:r>
          </w:p>
        </w:tc>
        <w:tc>
          <w:tcPr>
            <w:tcW w:w="1420" w:type="dxa"/>
            <w:vAlign w:val="bottom"/>
          </w:tcPr>
          <w:p>
            <w:pPr>
              <w:jc w:val="right"/>
              <w:ind w:right="90"/>
              <w:spacing w:after="0" w:line="202" w:lineRule="exact"/>
              <w:rPr>
                <w:sz w:val="20"/>
                <w:szCs w:val="20"/>
                <w:color w:val="auto"/>
              </w:rPr>
            </w:pPr>
            <w:r>
              <w:rPr>
                <w:rFonts w:ascii="Arial" w:cs="Arial" w:eastAsia="Arial" w:hAnsi="Arial"/>
                <w:sz w:val="18"/>
                <w:szCs w:val="18"/>
                <w:color w:val="376DB5"/>
              </w:rPr>
              <w:t>Income</w:t>
            </w:r>
          </w:p>
        </w:tc>
        <w:tc>
          <w:tcPr>
            <w:tcW w:w="1420" w:type="dxa"/>
            <w:vAlign w:val="bottom"/>
          </w:tcPr>
          <w:p>
            <w:pPr>
              <w:jc w:val="right"/>
              <w:ind w:right="90"/>
              <w:spacing w:after="0" w:line="202" w:lineRule="exact"/>
              <w:rPr>
                <w:sz w:val="20"/>
                <w:szCs w:val="20"/>
                <w:color w:val="auto"/>
              </w:rPr>
            </w:pPr>
            <w:r>
              <w:rPr>
                <w:rFonts w:ascii="Arial" w:cs="Arial" w:eastAsia="Arial" w:hAnsi="Arial"/>
                <w:sz w:val="18"/>
                <w:szCs w:val="18"/>
                <w:color w:val="376DB5"/>
              </w:rPr>
              <w:t>Net Income</w:t>
            </w:r>
          </w:p>
        </w:tc>
        <w:tc>
          <w:tcPr>
            <w:tcW w:w="1120" w:type="dxa"/>
            <w:vAlign w:val="bottom"/>
          </w:tcPr>
          <w:p>
            <w:pPr>
              <w:jc w:val="right"/>
              <w:ind w:right="90"/>
              <w:spacing w:after="0" w:line="202" w:lineRule="exact"/>
              <w:rPr>
                <w:sz w:val="20"/>
                <w:szCs w:val="20"/>
                <w:color w:val="auto"/>
              </w:rPr>
            </w:pPr>
            <w:r>
              <w:rPr>
                <w:rFonts w:ascii="Arial" w:cs="Arial" w:eastAsia="Arial" w:hAnsi="Arial"/>
                <w:sz w:val="18"/>
                <w:szCs w:val="18"/>
                <w:color w:val="376DB5"/>
              </w:rPr>
              <w:t>One-Year</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376DB5"/>
              </w:rPr>
              <w:t>Three-Year</w:t>
            </w:r>
          </w:p>
        </w:tc>
      </w:tr>
      <w:tr>
        <w:trPr>
          <w:trHeight w:val="221"/>
        </w:trPr>
        <w:tc>
          <w:tcPr>
            <w:tcW w:w="2940" w:type="dxa"/>
            <w:vAlign w:val="bottom"/>
            <w:tcBorders>
              <w:bottom w:val="single" w:sz="8" w:color="376DB5"/>
            </w:tcBorders>
          </w:tcPr>
          <w:p>
            <w:pPr>
              <w:spacing w:after="0"/>
              <w:rPr>
                <w:sz w:val="19"/>
                <w:szCs w:val="19"/>
                <w:color w:val="auto"/>
              </w:rPr>
            </w:pPr>
          </w:p>
        </w:tc>
        <w:tc>
          <w:tcPr>
            <w:tcW w:w="1540" w:type="dxa"/>
            <w:vAlign w:val="bottom"/>
            <w:tcBorders>
              <w:bottom w:val="single" w:sz="8" w:color="376DB5"/>
            </w:tcBorders>
          </w:tcPr>
          <w:p>
            <w:pPr>
              <w:jc w:val="right"/>
              <w:ind w:right="90"/>
              <w:spacing w:after="0"/>
              <w:rPr>
                <w:sz w:val="20"/>
                <w:szCs w:val="20"/>
                <w:color w:val="auto"/>
              </w:rPr>
            </w:pPr>
            <w:r>
              <w:rPr>
                <w:rFonts w:ascii="Arial" w:cs="Arial" w:eastAsia="Arial" w:hAnsi="Arial"/>
                <w:sz w:val="18"/>
                <w:szCs w:val="18"/>
                <w:color w:val="376DB5"/>
              </w:rPr>
              <w:t>($ in millions)</w:t>
            </w:r>
          </w:p>
        </w:tc>
        <w:tc>
          <w:tcPr>
            <w:tcW w:w="1440" w:type="dxa"/>
            <w:vAlign w:val="bottom"/>
            <w:tcBorders>
              <w:bottom w:val="single" w:sz="8" w:color="376DB5"/>
            </w:tcBorders>
          </w:tcPr>
          <w:p>
            <w:pPr>
              <w:jc w:val="right"/>
              <w:ind w:right="90"/>
              <w:spacing w:after="0"/>
              <w:rPr>
                <w:sz w:val="20"/>
                <w:szCs w:val="20"/>
                <w:color w:val="auto"/>
              </w:rPr>
            </w:pPr>
            <w:r>
              <w:rPr>
                <w:rFonts w:ascii="Arial" w:cs="Arial" w:eastAsia="Arial" w:hAnsi="Arial"/>
                <w:sz w:val="18"/>
                <w:szCs w:val="18"/>
                <w:color w:val="376DB5"/>
              </w:rPr>
              <w:t>($ in millions)</w:t>
            </w:r>
          </w:p>
        </w:tc>
        <w:tc>
          <w:tcPr>
            <w:tcW w:w="1420" w:type="dxa"/>
            <w:vAlign w:val="bottom"/>
            <w:tcBorders>
              <w:bottom w:val="single" w:sz="8" w:color="376DB5"/>
            </w:tcBorders>
          </w:tcPr>
          <w:p>
            <w:pPr>
              <w:jc w:val="right"/>
              <w:ind w:right="90"/>
              <w:spacing w:after="0"/>
              <w:rPr>
                <w:sz w:val="20"/>
                <w:szCs w:val="20"/>
                <w:color w:val="auto"/>
              </w:rPr>
            </w:pPr>
            <w:r>
              <w:rPr>
                <w:rFonts w:ascii="Arial" w:cs="Arial" w:eastAsia="Arial" w:hAnsi="Arial"/>
                <w:sz w:val="18"/>
                <w:szCs w:val="18"/>
                <w:color w:val="376DB5"/>
              </w:rPr>
              <w:t>($ in millions)</w:t>
            </w:r>
          </w:p>
        </w:tc>
        <w:tc>
          <w:tcPr>
            <w:tcW w:w="1420" w:type="dxa"/>
            <w:vAlign w:val="bottom"/>
            <w:tcBorders>
              <w:bottom w:val="single" w:sz="8" w:color="376DB5"/>
            </w:tcBorders>
          </w:tcPr>
          <w:p>
            <w:pPr>
              <w:jc w:val="right"/>
              <w:ind w:right="90"/>
              <w:spacing w:after="0"/>
              <w:rPr>
                <w:sz w:val="20"/>
                <w:szCs w:val="20"/>
                <w:color w:val="auto"/>
              </w:rPr>
            </w:pPr>
            <w:r>
              <w:rPr>
                <w:rFonts w:ascii="Arial" w:cs="Arial" w:eastAsia="Arial" w:hAnsi="Arial"/>
                <w:sz w:val="18"/>
                <w:szCs w:val="18"/>
                <w:color w:val="376DB5"/>
              </w:rPr>
              <w:t>($ in millions)</w:t>
            </w:r>
          </w:p>
        </w:tc>
        <w:tc>
          <w:tcPr>
            <w:tcW w:w="1120" w:type="dxa"/>
            <w:vAlign w:val="bottom"/>
            <w:tcBorders>
              <w:bottom w:val="single" w:sz="8" w:color="376DB5"/>
            </w:tcBorders>
          </w:tcPr>
          <w:p>
            <w:pPr>
              <w:jc w:val="right"/>
              <w:ind w:right="90"/>
              <w:spacing w:after="0"/>
              <w:rPr>
                <w:sz w:val="20"/>
                <w:szCs w:val="20"/>
                <w:color w:val="auto"/>
              </w:rPr>
            </w:pPr>
            <w:r>
              <w:rPr>
                <w:rFonts w:ascii="Arial" w:cs="Arial" w:eastAsia="Arial" w:hAnsi="Arial"/>
                <w:sz w:val="18"/>
                <w:szCs w:val="18"/>
                <w:color w:val="376DB5"/>
              </w:rPr>
              <w:t>TSR (%)</w:t>
            </w:r>
          </w:p>
        </w:tc>
        <w:tc>
          <w:tcPr>
            <w:tcW w:w="1140" w:type="dxa"/>
            <w:vAlign w:val="bottom"/>
            <w:tcBorders>
              <w:bottom w:val="single" w:sz="8" w:color="376DB5"/>
            </w:tcBorders>
          </w:tcPr>
          <w:p>
            <w:pPr>
              <w:jc w:val="right"/>
              <w:spacing w:after="0"/>
              <w:rPr>
                <w:sz w:val="20"/>
                <w:szCs w:val="20"/>
                <w:color w:val="auto"/>
              </w:rPr>
            </w:pPr>
            <w:r>
              <w:rPr>
                <w:rFonts w:ascii="Arial" w:cs="Arial" w:eastAsia="Arial" w:hAnsi="Arial"/>
                <w:sz w:val="18"/>
                <w:szCs w:val="18"/>
                <w:color w:val="376DB5"/>
              </w:rPr>
              <w:t>TSR (%)</w:t>
            </w:r>
          </w:p>
        </w:tc>
      </w:tr>
      <w:tr>
        <w:trPr>
          <w:trHeight w:val="263"/>
        </w:trPr>
        <w:tc>
          <w:tcPr>
            <w:tcW w:w="2940" w:type="dxa"/>
            <w:vAlign w:val="bottom"/>
          </w:tcPr>
          <w:p>
            <w:pPr>
              <w:spacing w:after="0" w:line="263" w:lineRule="exact"/>
              <w:rPr>
                <w:sz w:val="20"/>
                <w:szCs w:val="20"/>
                <w:color w:val="auto"/>
              </w:rPr>
            </w:pPr>
            <w:r>
              <w:rPr>
                <w:rFonts w:ascii="Arial" w:cs="Arial" w:eastAsia="Arial" w:hAnsi="Arial"/>
                <w:sz w:val="18"/>
                <w:szCs w:val="18"/>
                <w:b w:val="1"/>
                <w:bCs w:val="1"/>
                <w:color w:val="auto"/>
              </w:rPr>
              <w:t>  75</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percentile of peer group</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$3,864</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$37,084</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$1,104</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$730</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46%</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83"/>
        </w:trPr>
        <w:tc>
          <w:tcPr>
            <w:tcW w:w="2940" w:type="dxa"/>
            <w:vAlign w:val="bottom"/>
            <w:shd w:val="clear" w:color="auto" w:fill="F2F2F2"/>
          </w:tcPr>
          <w:p>
            <w:pPr>
              <w:spacing w:after="0" w:line="283" w:lineRule="exact"/>
              <w:rPr>
                <w:sz w:val="20"/>
                <w:szCs w:val="20"/>
                <w:color w:val="auto"/>
              </w:rPr>
            </w:pPr>
            <w:r>
              <w:rPr>
                <w:rFonts w:ascii="Arial" w:cs="Arial" w:eastAsia="Arial" w:hAnsi="Arial"/>
                <w:sz w:val="18"/>
                <w:szCs w:val="18"/>
                <w:b w:val="1"/>
                <w:bCs w:val="1"/>
                <w:color w:val="auto"/>
              </w:rPr>
              <w:t>  50</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percentile of peer group</w:t>
            </w:r>
          </w:p>
        </w:tc>
        <w:tc>
          <w:tcPr>
            <w:tcW w:w="1540" w:type="dxa"/>
            <w:vAlign w:val="bottom"/>
            <w:shd w:val="clear" w:color="auto" w:fill="F2F2F2"/>
          </w:tcPr>
          <w:p>
            <w:pPr>
              <w:jc w:val="right"/>
              <w:ind w:right="90"/>
              <w:spacing w:after="0"/>
              <w:rPr>
                <w:sz w:val="20"/>
                <w:szCs w:val="20"/>
                <w:color w:val="auto"/>
              </w:rPr>
            </w:pPr>
            <w:r>
              <w:rPr>
                <w:rFonts w:ascii="Arial" w:cs="Arial" w:eastAsia="Arial" w:hAnsi="Arial"/>
                <w:sz w:val="18"/>
                <w:szCs w:val="18"/>
                <w:color w:val="auto"/>
              </w:rPr>
              <w:t>$2,651</w:t>
            </w:r>
          </w:p>
        </w:tc>
        <w:tc>
          <w:tcPr>
            <w:tcW w:w="1440" w:type="dxa"/>
            <w:vAlign w:val="bottom"/>
            <w:shd w:val="clear" w:color="auto" w:fill="F2F2F2"/>
          </w:tcPr>
          <w:p>
            <w:pPr>
              <w:jc w:val="right"/>
              <w:ind w:right="90"/>
              <w:spacing w:after="0"/>
              <w:rPr>
                <w:sz w:val="20"/>
                <w:szCs w:val="20"/>
                <w:color w:val="auto"/>
              </w:rPr>
            </w:pPr>
            <w:r>
              <w:rPr>
                <w:rFonts w:ascii="Arial" w:cs="Arial" w:eastAsia="Arial" w:hAnsi="Arial"/>
                <w:sz w:val="18"/>
                <w:szCs w:val="18"/>
                <w:color w:val="auto"/>
              </w:rPr>
              <w:t>$24,939</w:t>
            </w:r>
          </w:p>
        </w:tc>
        <w:tc>
          <w:tcPr>
            <w:tcW w:w="1420" w:type="dxa"/>
            <w:vAlign w:val="bottom"/>
            <w:shd w:val="clear" w:color="auto" w:fill="F2F2F2"/>
          </w:tcPr>
          <w:p>
            <w:pPr>
              <w:jc w:val="right"/>
              <w:ind w:right="90"/>
              <w:spacing w:after="0"/>
              <w:rPr>
                <w:sz w:val="20"/>
                <w:szCs w:val="20"/>
                <w:color w:val="auto"/>
              </w:rPr>
            </w:pPr>
            <w:r>
              <w:rPr>
                <w:rFonts w:ascii="Arial" w:cs="Arial" w:eastAsia="Arial" w:hAnsi="Arial"/>
                <w:sz w:val="18"/>
                <w:szCs w:val="18"/>
                <w:color w:val="auto"/>
              </w:rPr>
              <w:t>$   561</w:t>
            </w:r>
          </w:p>
        </w:tc>
        <w:tc>
          <w:tcPr>
            <w:tcW w:w="1420" w:type="dxa"/>
            <w:vAlign w:val="bottom"/>
            <w:shd w:val="clear" w:color="auto" w:fill="F2F2F2"/>
          </w:tcPr>
          <w:p>
            <w:pPr>
              <w:jc w:val="right"/>
              <w:ind w:right="90"/>
              <w:spacing w:after="0"/>
              <w:rPr>
                <w:sz w:val="20"/>
                <w:szCs w:val="20"/>
                <w:color w:val="auto"/>
              </w:rPr>
            </w:pPr>
            <w:r>
              <w:rPr>
                <w:rFonts w:ascii="Arial" w:cs="Arial" w:eastAsia="Arial" w:hAnsi="Arial"/>
                <w:sz w:val="18"/>
                <w:szCs w:val="18"/>
                <w:color w:val="auto"/>
              </w:rPr>
              <w:t>$450</w:t>
            </w:r>
          </w:p>
        </w:tc>
        <w:tc>
          <w:tcPr>
            <w:tcW w:w="1120" w:type="dxa"/>
            <w:vAlign w:val="bottom"/>
            <w:shd w:val="clear" w:color="auto" w:fill="F2F2F2"/>
          </w:tcPr>
          <w:p>
            <w:pPr>
              <w:jc w:val="right"/>
              <w:ind w:right="90"/>
              <w:spacing w:after="0"/>
              <w:rPr>
                <w:sz w:val="20"/>
                <w:szCs w:val="20"/>
                <w:color w:val="auto"/>
              </w:rPr>
            </w:pPr>
            <w:r>
              <w:rPr>
                <w:rFonts w:ascii="Arial" w:cs="Arial" w:eastAsia="Arial" w:hAnsi="Arial"/>
                <w:sz w:val="18"/>
                <w:szCs w:val="18"/>
                <w:color w:val="auto"/>
              </w:rPr>
              <w:t>21%</w:t>
            </w:r>
          </w:p>
        </w:tc>
        <w:tc>
          <w:tcPr>
            <w:tcW w:w="11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w:t>
            </w:r>
          </w:p>
        </w:tc>
      </w:tr>
      <w:tr>
        <w:trPr>
          <w:trHeight w:val="283"/>
        </w:trPr>
        <w:tc>
          <w:tcPr>
            <w:tcW w:w="2940" w:type="dxa"/>
            <w:vAlign w:val="bottom"/>
          </w:tcPr>
          <w:p>
            <w:pPr>
              <w:spacing w:after="0" w:line="283" w:lineRule="exact"/>
              <w:rPr>
                <w:sz w:val="20"/>
                <w:szCs w:val="20"/>
                <w:color w:val="auto"/>
              </w:rPr>
            </w:pPr>
            <w:r>
              <w:rPr>
                <w:rFonts w:ascii="Arial" w:cs="Arial" w:eastAsia="Arial" w:hAnsi="Arial"/>
                <w:sz w:val="18"/>
                <w:szCs w:val="18"/>
                <w:b w:val="1"/>
                <w:bCs w:val="1"/>
                <w:color w:val="auto"/>
              </w:rPr>
              <w:t>  25</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percentile of peer group</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$2,218</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$15,820</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   121</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$196</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294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b w:val="1"/>
                <w:bCs w:val="1"/>
                <w:color w:val="auto"/>
              </w:rPr>
              <w:t>  FICO</w:t>
            </w:r>
          </w:p>
        </w:tc>
        <w:tc>
          <w:tcPr>
            <w:tcW w:w="1540" w:type="dxa"/>
            <w:vAlign w:val="bottom"/>
            <w:tcBorders>
              <w:bottom w:val="single" w:sz="8" w:color="F2F2F2"/>
            </w:tcBorders>
            <w:shd w:val="clear" w:color="auto" w:fill="F2F2F2"/>
          </w:tcPr>
          <w:p>
            <w:pPr>
              <w:jc w:val="right"/>
              <w:ind w:right="90"/>
              <w:spacing w:after="0"/>
              <w:rPr>
                <w:sz w:val="20"/>
                <w:szCs w:val="20"/>
                <w:color w:val="auto"/>
              </w:rPr>
            </w:pPr>
            <w:r>
              <w:rPr>
                <w:rFonts w:ascii="Arial" w:cs="Arial" w:eastAsia="Arial" w:hAnsi="Arial"/>
                <w:sz w:val="18"/>
                <w:szCs w:val="18"/>
                <w:color w:val="auto"/>
              </w:rPr>
              <w:t>$1,653</w:t>
            </w:r>
          </w:p>
        </w:tc>
        <w:tc>
          <w:tcPr>
            <w:tcW w:w="1440" w:type="dxa"/>
            <w:vAlign w:val="bottom"/>
            <w:tcBorders>
              <w:bottom w:val="single" w:sz="8" w:color="F2F2F2"/>
            </w:tcBorders>
            <w:shd w:val="clear" w:color="auto" w:fill="F2F2F2"/>
          </w:tcPr>
          <w:p>
            <w:pPr>
              <w:jc w:val="right"/>
              <w:ind w:right="90"/>
              <w:spacing w:after="0"/>
              <w:rPr>
                <w:sz w:val="20"/>
                <w:szCs w:val="20"/>
                <w:color w:val="auto"/>
              </w:rPr>
            </w:pPr>
            <w:r>
              <w:rPr>
                <w:rFonts w:ascii="Arial" w:cs="Arial" w:eastAsia="Arial" w:hAnsi="Arial"/>
                <w:sz w:val="18"/>
                <w:szCs w:val="18"/>
                <w:color w:val="auto"/>
              </w:rPr>
              <w:t>$43,318</w:t>
            </w:r>
          </w:p>
        </w:tc>
        <w:tc>
          <w:tcPr>
            <w:tcW w:w="1420" w:type="dxa"/>
            <w:vAlign w:val="bottom"/>
            <w:tcBorders>
              <w:bottom w:val="single" w:sz="8" w:color="F2F2F2"/>
            </w:tcBorders>
            <w:shd w:val="clear" w:color="auto" w:fill="F2F2F2"/>
          </w:tcPr>
          <w:p>
            <w:pPr>
              <w:jc w:val="right"/>
              <w:ind w:right="90"/>
              <w:spacing w:after="0"/>
              <w:rPr>
                <w:sz w:val="20"/>
                <w:szCs w:val="20"/>
                <w:color w:val="auto"/>
              </w:rPr>
            </w:pPr>
            <w:r>
              <w:rPr>
                <w:rFonts w:ascii="Arial" w:cs="Arial" w:eastAsia="Arial" w:hAnsi="Arial"/>
                <w:sz w:val="18"/>
                <w:szCs w:val="18"/>
                <w:color w:val="auto"/>
              </w:rPr>
              <w:t>$   702</w:t>
            </w:r>
          </w:p>
        </w:tc>
        <w:tc>
          <w:tcPr>
            <w:tcW w:w="1420" w:type="dxa"/>
            <w:vAlign w:val="bottom"/>
            <w:tcBorders>
              <w:bottom w:val="single" w:sz="8" w:color="F2F2F2"/>
            </w:tcBorders>
            <w:shd w:val="clear" w:color="auto" w:fill="F2F2F2"/>
          </w:tcPr>
          <w:p>
            <w:pPr>
              <w:jc w:val="right"/>
              <w:ind w:right="90"/>
              <w:spacing w:after="0"/>
              <w:rPr>
                <w:sz w:val="20"/>
                <w:szCs w:val="20"/>
                <w:color w:val="auto"/>
              </w:rPr>
            </w:pPr>
            <w:r>
              <w:rPr>
                <w:rFonts w:ascii="Arial" w:cs="Arial" w:eastAsia="Arial" w:hAnsi="Arial"/>
                <w:sz w:val="18"/>
                <w:szCs w:val="18"/>
                <w:color w:val="auto"/>
              </w:rPr>
              <w:t>$479</w:t>
            </w:r>
          </w:p>
        </w:tc>
        <w:tc>
          <w:tcPr>
            <w:tcW w:w="1120" w:type="dxa"/>
            <w:vAlign w:val="bottom"/>
            <w:tcBorders>
              <w:bottom w:val="single" w:sz="8" w:color="F2F2F2"/>
            </w:tcBorders>
            <w:shd w:val="clear" w:color="auto" w:fill="F2F2F2"/>
          </w:tcPr>
          <w:p>
            <w:pPr>
              <w:jc w:val="right"/>
              <w:ind w:right="90"/>
              <w:spacing w:after="0"/>
              <w:rPr>
                <w:sz w:val="20"/>
                <w:szCs w:val="20"/>
                <w:color w:val="auto"/>
              </w:rPr>
            </w:pPr>
            <w:r>
              <w:rPr>
                <w:rFonts w:ascii="Arial" w:cs="Arial" w:eastAsia="Arial" w:hAnsi="Arial"/>
                <w:sz w:val="18"/>
                <w:szCs w:val="18"/>
                <w:color w:val="auto"/>
              </w:rPr>
              <w:t>110%</w:t>
            </w:r>
          </w:p>
        </w:tc>
        <w:tc>
          <w:tcPr>
            <w:tcW w:w="11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8"/>
                <w:szCs w:val="18"/>
                <w:color w:val="auto"/>
              </w:rPr>
              <w:t>64%</w:t>
            </w:r>
          </w:p>
        </w:tc>
      </w:tr>
      <w:tr>
        <w:trPr>
          <w:trHeight w:val="255"/>
        </w:trPr>
        <w:tc>
          <w:tcPr>
            <w:tcW w:w="2940" w:type="dxa"/>
            <w:vAlign w:val="bottom"/>
          </w:tcPr>
          <w:p>
            <w:pPr>
              <w:spacing w:after="0"/>
              <w:rPr>
                <w:sz w:val="20"/>
                <w:szCs w:val="20"/>
                <w:color w:val="auto"/>
              </w:rPr>
            </w:pPr>
            <w:r>
              <w:rPr>
                <w:rFonts w:ascii="Arial" w:cs="Arial" w:eastAsia="Arial" w:hAnsi="Arial"/>
                <w:sz w:val="18"/>
                <w:szCs w:val="18"/>
                <w:b w:val="1"/>
                <w:bCs w:val="1"/>
                <w:color w:val="auto"/>
              </w:rPr>
              <w:t>  Percentile rank</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83%</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61%</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52%</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92%</w:t>
            </w: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9"/>
        </w:trPr>
        <w:tc>
          <w:tcPr>
            <w:tcW w:w="2940" w:type="dxa"/>
            <w:vAlign w:val="bottom"/>
            <w:tcBorders>
              <w:bottom w:val="single" w:sz="8" w:color="376DB5"/>
            </w:tcBorders>
          </w:tcPr>
          <w:p>
            <w:pPr>
              <w:spacing w:after="0"/>
              <w:rPr>
                <w:sz w:val="2"/>
                <w:szCs w:val="2"/>
                <w:color w:val="auto"/>
              </w:rPr>
            </w:pPr>
          </w:p>
        </w:tc>
        <w:tc>
          <w:tcPr>
            <w:tcW w:w="1540" w:type="dxa"/>
            <w:vAlign w:val="bottom"/>
            <w:tcBorders>
              <w:bottom w:val="single" w:sz="8" w:color="376DB5"/>
            </w:tcBorders>
          </w:tcPr>
          <w:p>
            <w:pPr>
              <w:spacing w:after="0"/>
              <w:rPr>
                <w:sz w:val="2"/>
                <w:szCs w:val="2"/>
                <w:color w:val="auto"/>
              </w:rPr>
            </w:pPr>
          </w:p>
        </w:tc>
        <w:tc>
          <w:tcPr>
            <w:tcW w:w="1440" w:type="dxa"/>
            <w:vAlign w:val="bottom"/>
            <w:tcBorders>
              <w:bottom w:val="single" w:sz="8" w:color="376DB5"/>
            </w:tcBorders>
          </w:tcPr>
          <w:p>
            <w:pPr>
              <w:spacing w:after="0"/>
              <w:rPr>
                <w:sz w:val="2"/>
                <w:szCs w:val="2"/>
                <w:color w:val="auto"/>
              </w:rPr>
            </w:pPr>
          </w:p>
        </w:tc>
        <w:tc>
          <w:tcPr>
            <w:tcW w:w="1420" w:type="dxa"/>
            <w:vAlign w:val="bottom"/>
            <w:tcBorders>
              <w:bottom w:val="single" w:sz="8" w:color="376DB5"/>
            </w:tcBorders>
          </w:tcPr>
          <w:p>
            <w:pPr>
              <w:spacing w:after="0"/>
              <w:rPr>
                <w:sz w:val="2"/>
                <w:szCs w:val="2"/>
                <w:color w:val="auto"/>
              </w:rPr>
            </w:pPr>
          </w:p>
        </w:tc>
        <w:tc>
          <w:tcPr>
            <w:tcW w:w="1420" w:type="dxa"/>
            <w:vAlign w:val="bottom"/>
            <w:tcBorders>
              <w:bottom w:val="single" w:sz="8" w:color="376DB5"/>
            </w:tcBorders>
          </w:tcPr>
          <w:p>
            <w:pPr>
              <w:spacing w:after="0"/>
              <w:rPr>
                <w:sz w:val="2"/>
                <w:szCs w:val="2"/>
                <w:color w:val="auto"/>
              </w:rPr>
            </w:pPr>
          </w:p>
        </w:tc>
        <w:tc>
          <w:tcPr>
            <w:tcW w:w="1120" w:type="dxa"/>
            <w:vAlign w:val="bottom"/>
            <w:tcBorders>
              <w:bottom w:val="single" w:sz="8" w:color="376DB5"/>
            </w:tcBorders>
          </w:tcPr>
          <w:p>
            <w:pPr>
              <w:spacing w:after="0"/>
              <w:rPr>
                <w:sz w:val="2"/>
                <w:szCs w:val="2"/>
                <w:color w:val="auto"/>
              </w:rPr>
            </w:pPr>
          </w:p>
        </w:tc>
        <w:tc>
          <w:tcPr>
            <w:tcW w:w="1140" w:type="dxa"/>
            <w:vAlign w:val="bottom"/>
            <w:tcBorders>
              <w:bottom w:val="single" w:sz="8" w:color="376DB5"/>
            </w:tcBorders>
          </w:tcPr>
          <w:p>
            <w:pPr>
              <w:spacing w:after="0"/>
              <w:rPr>
                <w:sz w:val="2"/>
                <w:szCs w:val="2"/>
                <w:color w:val="auto"/>
              </w:rPr>
            </w:pP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Compensation Consultant</w:t>
      </w:r>
    </w:p>
    <w:p>
      <w:pPr>
        <w:spacing w:after="0" w:line="104" w:lineRule="exact"/>
        <w:rPr>
          <w:sz w:val="20"/>
          <w:szCs w:val="20"/>
          <w:color w:val="auto"/>
        </w:rPr>
      </w:pPr>
    </w:p>
    <w:p>
      <w:pPr>
        <w:jc w:val="both"/>
        <w:ind w:left="120" w:firstLine="551"/>
        <w:spacing w:after="0" w:line="247" w:lineRule="auto"/>
        <w:rPr>
          <w:sz w:val="20"/>
          <w:szCs w:val="20"/>
          <w:color w:val="auto"/>
        </w:rPr>
      </w:pPr>
      <w:r>
        <w:rPr>
          <w:rFonts w:ascii="Arial" w:cs="Arial" w:eastAsia="Arial" w:hAnsi="Arial"/>
          <w:sz w:val="18"/>
          <w:szCs w:val="18"/>
          <w:color w:val="auto"/>
        </w:rPr>
        <w:t>The LDCC retains an external, independent compensation consultant to assist it in analyzing our executive compensation program and assessing market levels of compensation. For fiscal 2025, the LDCC engaged Compensia, Inc. to provide competitive practice and market compensation data, advice regarding the design of compensation programs for our executive officers and non-employee directors, input regarding specific compensation actions for our executive officers and analysis of the composition of our compensation peer group.</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Consultant Conflict of Interest Analysis</w:t>
      </w:r>
    </w:p>
    <w:p>
      <w:pPr>
        <w:spacing w:after="0" w:line="104"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The LDCC has considered the relationships that the compensation consultant it engaged in fiscal 2025 has had with the Company, the members of the LDCC and the Company’s executive officers, as well as the policies that the consultant has in place to maintain its independence and objectivity and has determined that no conflicts of interest arose from the work performed by such consultant.</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Arrangements</w:t>
      </w:r>
    </w:p>
    <w:p>
      <w:pPr>
        <w:spacing w:after="0" w:line="104" w:lineRule="exact"/>
        <w:rPr>
          <w:sz w:val="20"/>
          <w:szCs w:val="20"/>
          <w:color w:val="auto"/>
        </w:rPr>
      </w:pPr>
    </w:p>
    <w:p>
      <w:pPr>
        <w:jc w:val="both"/>
        <w:ind w:left="120" w:right="20" w:firstLine="551"/>
        <w:spacing w:after="0" w:line="242" w:lineRule="auto"/>
        <w:rPr>
          <w:sz w:val="20"/>
          <w:szCs w:val="20"/>
          <w:color w:val="auto"/>
        </w:rPr>
      </w:pPr>
      <w:r>
        <w:rPr>
          <w:rFonts w:ascii="Arial" w:cs="Arial" w:eastAsia="Arial" w:hAnsi="Arial"/>
          <w:sz w:val="18"/>
          <w:szCs w:val="18"/>
          <w:color w:val="auto"/>
        </w:rPr>
        <w:t>We offer a Section 401(k) plan for all eligible employees. Under this program, our executive officers (like all of our eligible employees) can receive a Company matching contribution on amounts they contribute to the Section 401(k) plan as follows: 100% match of the first 3% of eligible compensation contributed by the executive officer, followed by a 50% match of the next 2% of eligible compensation contributed by the executive officer. Our executive retirement and savings plan allows our vice presidents and more senior executive officers to defer up to 25% of their base salary and 75% of their short-term cash incentive awards into an investment account. Amounts in this account are payable upon certain employment termination events as specified in the plan.</w:t>
      </w:r>
    </w:p>
    <w:p>
      <w:pPr>
        <w:spacing w:after="0" w:line="71" w:lineRule="exact"/>
        <w:rPr>
          <w:sz w:val="20"/>
          <w:szCs w:val="20"/>
          <w:color w:val="auto"/>
        </w:rPr>
      </w:pPr>
    </w:p>
    <w:p>
      <w:pPr>
        <w:jc w:val="both"/>
        <w:ind w:left="120" w:firstLine="551"/>
        <w:spacing w:after="0" w:line="238" w:lineRule="auto"/>
        <w:rPr>
          <w:sz w:val="20"/>
          <w:szCs w:val="20"/>
          <w:color w:val="auto"/>
        </w:rPr>
      </w:pPr>
      <w:r>
        <w:rPr>
          <w:rFonts w:ascii="Arial" w:cs="Arial" w:eastAsia="Arial" w:hAnsi="Arial"/>
          <w:sz w:val="18"/>
          <w:szCs w:val="18"/>
          <w:color w:val="auto"/>
        </w:rPr>
        <w:t>In November 2018, the LDCC approved the inclusion of retirement provisions in the award agreements for the equity awards granted to our executive officers beginning in December 2018. In May 2023, the LDCC amended the retirement qualification provisions in such award agreements. Such provisions allow for continued vesting of outstanding equity awards upon an executive officer’s retirement provided that (i) such executive officer (a) is 55 or older, (b) has at least 5 years of continuous service as an employee (which must be immediately preceding the date of termination), and (c) has served at least five cumulative years as an Executive Vice President of the Company (while both (b) and (c) must be satisfied, periods of time served as an Executive Vice President under (c) may also be counted toward the five years of continuous service requirement under (b)), and (ii) the sum of such executive officer’s age as of the date of his or her termination plus their years of service as an employee equals at least 75. In order to qualify for continued vesting, the executive officer must provide at least one year’s notice of his or her retirement and must also be available to provide service to the Company, if requested, during the continued vesting period. In addition, during the continued vesting period, the executive officer may not become employed by another entity or organization. The LDCC believes the retirement provisions help enhance retention of our executive officers, improve the executive transition process by ensuring sufficient time to plan for a successor, and ensure continued support from the former executive officer following retirement.</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55</w:t>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Effective September 5, 2025, Mr. Wehmann retired from FICO. Mr. Wehmann did not meet the applicable qualification provisions for his termination to qualify as a “retirement” under his outstanding award agreements, and therefore he forfeited all outstanding equity awards held by him.</w:t>
      </w:r>
    </w:p>
    <w:p>
      <w:pPr>
        <w:spacing w:after="0" w:line="61" w:lineRule="exact"/>
        <w:rPr>
          <w:sz w:val="20"/>
          <w:szCs w:val="20"/>
          <w:color w:val="auto"/>
        </w:rPr>
      </w:pPr>
    </w:p>
    <w:p>
      <w:pPr>
        <w:jc w:val="both"/>
        <w:ind w:left="120" w:firstLine="551"/>
        <w:spacing w:after="0" w:line="271" w:lineRule="auto"/>
        <w:rPr>
          <w:sz w:val="20"/>
          <w:szCs w:val="20"/>
          <w:color w:val="auto"/>
        </w:rPr>
      </w:pPr>
      <w:r>
        <w:rPr>
          <w:rFonts w:ascii="Arial" w:cs="Arial" w:eastAsia="Arial" w:hAnsi="Arial"/>
          <w:sz w:val="18"/>
          <w:szCs w:val="18"/>
          <w:color w:val="auto"/>
        </w:rPr>
        <w:t>The special performance-based retention and leadership continuity awards of MSUs and NQSOs granted to Mr. Lansing in June 2023 provide that if Mr. Lansing retires, his retirement will not entitle him to acceleration or continued vesting of those MSUs and NQSOs.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Compensation Arrangements</w:t>
      </w:r>
    </w:p>
    <w:p>
      <w:pPr>
        <w:spacing w:after="0" w:line="104" w:lineRule="exact"/>
        <w:rPr>
          <w:sz w:val="20"/>
          <w:szCs w:val="20"/>
          <w:color w:val="auto"/>
        </w:rPr>
      </w:pPr>
    </w:p>
    <w:p>
      <w:pPr>
        <w:jc w:val="both"/>
        <w:ind w:left="120" w:firstLine="551"/>
        <w:spacing w:after="0" w:line="242" w:lineRule="auto"/>
        <w:rPr>
          <w:sz w:val="20"/>
          <w:szCs w:val="20"/>
          <w:color w:val="auto"/>
        </w:rPr>
      </w:pPr>
      <w:r>
        <w:rPr>
          <w:rFonts w:ascii="Arial" w:cs="Arial" w:eastAsia="Arial" w:hAnsi="Arial"/>
          <w:sz w:val="18"/>
          <w:szCs w:val="18"/>
          <w:color w:val="auto"/>
        </w:rPr>
        <w:t>We maintain the Fair Isaac Non-Qualified Deferred Compensation Plan, which provides that executives who meet minimum compensation requirements are eligible to defer up to 50% of their salaries (increased during 2025 from 25%) and up to 75% of their bonuses. We credit the participants’ contributions with earnings or losses that reflect the performance of certain independent investment funds. We do not guarantee above-market interest on account balances. We make annual employer matching credits to participants’ accounts on the same basis as provided under the Fair Isaac 401(k) Plan, based on the matching contribution formula available under that plan, reduced by the amount of matching contributions received by the participant under the 401(k) Plan.</w:t>
      </w:r>
    </w:p>
    <w:p>
      <w:pPr>
        <w:spacing w:after="0" w:line="71"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Benefits under the Non-Qualified Deferred Compensation Plan are unfunded (paid from the general assets of the Company), and plan participants are unsecured general creditors of the Company. Participants are eligible to receive payment of their vested benefit either in lump sum or installments of up to ten years, at their election, commencing after the earlier of their separation from service or a specific date while still employed.</w:t>
      </w:r>
    </w:p>
    <w:p>
      <w:pPr>
        <w:spacing w:after="0" w:line="66" w:lineRule="exact"/>
        <w:rPr>
          <w:sz w:val="20"/>
          <w:szCs w:val="20"/>
          <w:color w:val="auto"/>
        </w:rPr>
      </w:pPr>
    </w:p>
    <w:p>
      <w:pPr>
        <w:jc w:val="both"/>
        <w:ind w:left="120" w:firstLine="551"/>
        <w:spacing w:after="0" w:line="247" w:lineRule="auto"/>
        <w:rPr>
          <w:sz w:val="20"/>
          <w:szCs w:val="20"/>
          <w:color w:val="auto"/>
        </w:rPr>
      </w:pPr>
      <w:r>
        <w:rPr>
          <w:rFonts w:ascii="Arial" w:cs="Arial" w:eastAsia="Arial" w:hAnsi="Arial"/>
          <w:sz w:val="18"/>
          <w:szCs w:val="18"/>
          <w:color w:val="auto"/>
        </w:rPr>
        <w:t>Our executive officers participate in our general employee benefit plans and programs, including health and dental benefits, on the same terms as all of our other full-time employees. We also pay the premiums for group life, accidental death and dismemberment, and business travel accident insurance for all eligible employees, including our executive officers, in a coverage amount based upon their base salary.</w:t>
      </w:r>
    </w:p>
    <w:p>
      <w:pPr>
        <w:spacing w:after="0" w:line="66" w:lineRule="exact"/>
        <w:rPr>
          <w:sz w:val="20"/>
          <w:szCs w:val="20"/>
          <w:color w:val="auto"/>
        </w:rPr>
      </w:pPr>
    </w:p>
    <w:p>
      <w:pPr>
        <w:jc w:val="both"/>
        <w:ind w:left="120" w:firstLine="551"/>
        <w:spacing w:after="0" w:line="244" w:lineRule="auto"/>
        <w:rPr>
          <w:sz w:val="20"/>
          <w:szCs w:val="20"/>
          <w:color w:val="auto"/>
        </w:rPr>
      </w:pPr>
      <w:r>
        <w:rPr>
          <w:rFonts w:ascii="Arial" w:cs="Arial" w:eastAsia="Arial" w:hAnsi="Arial"/>
          <w:sz w:val="18"/>
          <w:szCs w:val="18"/>
          <w:color w:val="auto"/>
        </w:rPr>
        <w:t>We provide only limited perquisites. When an executive officer’s spouse is expected by the Company to accompany the officer to a Company event, the Company pays for the spouse’s related travel expenses. In addition, in the event that an executive officer is required to make a filing under the Hart-Scott-Rodino Antitrust Improvement Act of 1976 (“HSR”) due to their ownership level of FICO stock and our stock price performance, the Company, with approval from the LDCC, pays the related filing fee and preparation fees. The Company also provides tax reimbursement, or gross-up, payments on any spousal travel payments, HSR-related payments and relocation benefits.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Post-Employment Compensation Arrangements</w:t>
      </w:r>
    </w:p>
    <w:p>
      <w:pPr>
        <w:spacing w:after="0" w:line="123" w:lineRule="exact"/>
        <w:rPr>
          <w:sz w:val="20"/>
          <w:szCs w:val="20"/>
          <w:color w:val="auto"/>
        </w:rPr>
      </w:pPr>
    </w:p>
    <w:p>
      <w:pPr>
        <w:jc w:val="both"/>
        <w:ind w:left="120" w:firstLine="551"/>
        <w:spacing w:after="0" w:line="247" w:lineRule="auto"/>
        <w:rPr>
          <w:sz w:val="20"/>
          <w:szCs w:val="20"/>
          <w:color w:val="auto"/>
        </w:rPr>
      </w:pPr>
      <w:r>
        <w:rPr>
          <w:rFonts w:ascii="Arial" w:cs="Arial" w:eastAsia="Arial" w:hAnsi="Arial"/>
          <w:sz w:val="18"/>
          <w:szCs w:val="18"/>
          <w:color w:val="auto"/>
        </w:rPr>
        <w:t>Each of our named executive officers who is a current executive officer is party to a Letter Agreement that, among other things, provides for payments and benefits in the event of termination of employment by the Company without cause or by the executive officer for good reason, and a Management Agreement that provides for payments and benefits in the event of such a termination of employment in connection with a change in control of the Company. These agreements are described in detail later in this proxy statement.</w:t>
      </w:r>
    </w:p>
    <w:p>
      <w:pPr>
        <w:spacing w:after="0" w:line="66"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The LDCC believes that these severance and change-in-control arrangements are meaningful recruitment and retention devices, are important components in a competitive compensation package for our named executive officers, and will mitigate concerns that the executive officers may have regarding their continued employment prior to or following a change in control of the Company, thereby allowing them to focus their undivided attention on advancing the interests of the Company and its stockholders. The change-in-control arrangements are “double-trigger” (that is, they require both a change in control of the Company and a termination of employment without cause or by the executive officer for good reason within 24 months of the change in control) and the named executive officers are not eligible to receive tax payments or gross-ups in connection with any change-in-control arrangement.</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56</w:t>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Policies and Procedures Related to the Grant of Certain Equity Awards</w:t>
      </w:r>
    </w:p>
    <w:p>
      <w:pPr>
        <w:spacing w:after="0" w:line="123" w:lineRule="exact"/>
        <w:rPr>
          <w:sz w:val="20"/>
          <w:szCs w:val="20"/>
          <w:color w:val="auto"/>
        </w:rPr>
      </w:pPr>
    </w:p>
    <w:p>
      <w:pPr>
        <w:jc w:val="both"/>
        <w:ind w:left="120" w:firstLine="551"/>
        <w:spacing w:after="0" w:line="244" w:lineRule="auto"/>
        <w:rPr>
          <w:sz w:val="20"/>
          <w:szCs w:val="20"/>
          <w:color w:val="auto"/>
        </w:rPr>
      </w:pPr>
      <w:r>
        <w:rPr>
          <w:rFonts w:ascii="Arial" w:cs="Arial" w:eastAsia="Arial" w:hAnsi="Arial"/>
          <w:sz w:val="18"/>
          <w:szCs w:val="18"/>
          <w:color w:val="auto"/>
        </w:rPr>
        <w:t>Equity awards granted to our named executive officers in fiscal 2025 were granted under the 2021 Long-Term Incentive Plan (“2021 LTIP”), which authorizes the issuance of equity awards, including stock options, stock appreciation rights, restricted stock awards, stock unit awards and other stock-based awards. Equity awards for all executive officers are approved by the LDCC. The LDCC has delegated authority to our CEO to approve the granting of equity awards to employees who are not executive officers, subject to certain parameters approved by the LDCC.</w:t>
      </w:r>
    </w:p>
    <w:p>
      <w:pPr>
        <w:spacing w:after="0" w:line="176"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The exercise price of stock options is set at fair market value of our common stock on the date of grant, with annual equity awards generally granted by the LDCC on a pre-determined day in December of each fiscal year, consistent with our annual compensation cycle. The dates for these grants are typically set in advance on a fairly consistent cadence year over year.</w:t>
      </w:r>
    </w:p>
    <w:p>
      <w:pPr>
        <w:spacing w:after="0" w:line="169"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The timing of any equity grants to executive officers in connection with new hires, promotions, or other non-routine grants is tied to the event giving rise to the award (such as an executive officer’s commencement of employment or promotion effective date), and such awards are typically accumulated and granted together early in the month following the triggering event.</w:t>
      </w:r>
    </w:p>
    <w:p>
      <w:pPr>
        <w:spacing w:after="0" w:line="169"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As a result, in all cases, the timing of grants of equity awards, including stock options, occurs independent of the release of any material nonpublic information, and the LDCC does not time the disclosure of material nonpublic information for the purpose of affecting the value of equity-based compensation.</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57</w:t>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Executive Stock Ownership Guidelines</w:t>
      </w:r>
    </w:p>
    <w:p>
      <w:pPr>
        <w:spacing w:after="0" w:line="150"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Our Board of Directors has adopted stock ownership guidelines for our executive officers. Our CEO is required to own at least 100,000 shares of our common stock, and our Executive Vice Presidents are required to own shares valued at least five times their annual base salary. Our guidelines provide that only shares owned outright and unvested time-based RSUs are counted for purposes of determining compliance with these guidelines (stock options and unachieved performance-based equity awards do not count towards ownership). The guidelines provide that executive officers should achieve the stated guidelines within five years of appointment. As of the end of fiscal 2025, all of our executive officers had met or exceeded their required stock ownership level or were making acceptable progress to their required level.</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Executive Officer Incentive Compensation Recovery Policies</w:t>
      </w:r>
    </w:p>
    <w:p>
      <w:pPr>
        <w:spacing w:after="0" w:line="164" w:lineRule="exact"/>
        <w:rPr>
          <w:sz w:val="20"/>
          <w:szCs w:val="20"/>
          <w:color w:val="auto"/>
        </w:rPr>
      </w:pPr>
    </w:p>
    <w:p>
      <w:pPr>
        <w:jc w:val="both"/>
        <w:ind w:left="120" w:firstLine="551"/>
        <w:spacing w:after="0" w:line="238" w:lineRule="auto"/>
        <w:rPr>
          <w:sz w:val="20"/>
          <w:szCs w:val="20"/>
          <w:color w:val="auto"/>
        </w:rPr>
      </w:pPr>
      <w:r>
        <w:rPr>
          <w:rFonts w:ascii="Arial" w:cs="Arial" w:eastAsia="Arial" w:hAnsi="Arial"/>
          <w:sz w:val="18"/>
          <w:szCs w:val="18"/>
          <w:color w:val="auto"/>
        </w:rPr>
        <w:t>We have a Compensation Recovery Policy as required by the listing standards of the New York Stock Exchange (the “Required Clawback Policy”). The Required Clawback Policy applies to all incentive-based compensation, which is any compensation that is granted, earned, or vested based wholly or in part upon the attainment of a financial reporting measure, received by our executive officers, including our named executive officers. The Required Clawback Policy applies in the case of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Required Clawback Policy provides that promptly following such an accounting restatement, the LDCC will determine the amount of the erroneously awarded compensation, which is the excess of the amount of incentive-based compensation received by current and former executive officers during the three completed fiscal years immediately preceding the required restatement date over the amount of incentive-based compensation that otherwise would have been received had it been determined based on the restated amounts. The Company will provide each such executive officer with a written notice of such amount and a demand for repayment or return.</w:t>
      </w:r>
    </w:p>
    <w:p>
      <w:pPr>
        <w:spacing w:after="0" w:line="72" w:lineRule="exact"/>
        <w:rPr>
          <w:sz w:val="20"/>
          <w:szCs w:val="20"/>
          <w:color w:val="auto"/>
        </w:rPr>
      </w:pPr>
    </w:p>
    <w:p>
      <w:pPr>
        <w:jc w:val="both"/>
        <w:ind w:left="120" w:firstLine="551"/>
        <w:spacing w:after="0" w:line="239" w:lineRule="auto"/>
        <w:rPr>
          <w:sz w:val="20"/>
          <w:szCs w:val="20"/>
          <w:color w:val="auto"/>
        </w:rPr>
      </w:pPr>
      <w:r>
        <w:rPr>
          <w:rFonts w:ascii="Arial" w:cs="Arial" w:eastAsia="Arial" w:hAnsi="Arial"/>
          <w:sz w:val="18"/>
          <w:szCs w:val="18"/>
          <w:color w:val="auto"/>
        </w:rPr>
        <w:t>We also have a Supplemental Compensation Recovery Policy (the “Supplemental Clawback Policy”). The Supplemental Clawback Policy applies to any annual or long-term incentive compensation, including equity-based compensation, whether based on performance metrics or time-based or service-based metrics, as well as any severance compensation, received by our executive officers, including our named executive officers. Under the Supplemental Clawback Policy, in the event of a felony-level conviction of an executive officer that results in material financial or reputational harm to the Company or a violation by an executive officer of his or her Proprietary Information and Invention Agreement or his or her Post-Employment Restrictions Agreement that results in material financial or reputational harm to the Company, then the Company’s independent directors may determine to seek recovery of all or any portion of any annual or long-term incentive compensation received by, granted to, vested or earned by the officer in the fiscal year in which the misconduct occurred and in any subsequent period.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No Hedging</w:t>
      </w:r>
    </w:p>
    <w:p>
      <w:pPr>
        <w:spacing w:after="0" w:line="164"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Under the terms of our insider trading policy, the members of the Board of Directors, officers and employees may not buy or sell puts or calls on Company stock, trade options on any of the stock exchanges or futures exchanges relating to Company stock, enter into equity swaps, prepaid variable forward contracts, collars or exchange funds involving Company stock and other transactions that are designed to hedge or offset decreases in the price of Company stock.</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Tax Matters</w:t>
      </w:r>
    </w:p>
    <w:p>
      <w:pPr>
        <w:spacing w:after="0" w:line="150"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Section 162(m) of the Code generally disallows a tax deduction to public companies for compensation of more than $ 1 million paid in any taxable year to certain current and former named executive officers. As a general matter, while the LDCC is mindful of the benefit to the Company of the full deductibility of compensation, it believes that it should maintain flexibility in compensating the Company’s executive officers in a manner that can best promote our corporate objectives.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58</w:t>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Leadership Development and Compensation Committee Report</w:t>
      </w:r>
    </w:p>
    <w:p>
      <w:pPr>
        <w:spacing w:after="0" w:line="150"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The LDCC has discussed and reviewed the “Compensation Discussion and Analysis” with management. Based upon this review and discussion, the LDCC recommended to our Board of Directors that the “Compensation Discussion and Analysis” be included in this proxy statement and incorporated by reference in our Annual Report on Form 10-K.</w:t>
      </w:r>
    </w:p>
    <w:p>
      <w:pPr>
        <w:spacing w:after="0" w:line="19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Submitted by the Leadership Development and</w:t>
      </w:r>
    </w:p>
    <w:p>
      <w:pPr>
        <w:spacing w:after="0" w:line="14"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 xml:space="preserve">Compensation Committee:                         </w:t>
      </w:r>
    </w:p>
    <w:p>
      <w:pPr>
        <w:spacing w:after="0" w:line="230" w:lineRule="exact"/>
        <w:rPr>
          <w:sz w:val="20"/>
          <w:szCs w:val="20"/>
          <w:color w:val="auto"/>
        </w:rPr>
      </w:pPr>
    </w:p>
    <w:tbl>
      <w:tblPr>
        <w:tblLayout w:type="fixed"/>
        <w:tblInd w:w="6880" w:type="dxa"/>
        <w:tblCellMar>
          <w:top w:w="0" w:type="dxa"/>
          <w:left w:w="0" w:type="dxa"/>
          <w:bottom w:w="0" w:type="dxa"/>
          <w:right w:w="0" w:type="dxa"/>
        </w:tblCellMar>
      </w:tblPr>
      <w:tr>
        <w:trPr>
          <w:trHeight w:val="207"/>
        </w:trPr>
        <w:tc>
          <w:tcPr>
            <w:tcW w:w="2260" w:type="dxa"/>
            <w:vAlign w:val="bottom"/>
            <w:gridSpan w:val="3"/>
          </w:tcPr>
          <w:p>
            <w:pPr>
              <w:ind w:left="500"/>
              <w:spacing w:after="0"/>
              <w:rPr>
                <w:sz w:val="20"/>
                <w:szCs w:val="20"/>
                <w:color w:val="auto"/>
              </w:rPr>
            </w:pPr>
            <w:r>
              <w:rPr>
                <w:rFonts w:ascii="Arial" w:cs="Arial" w:eastAsia="Arial" w:hAnsi="Arial"/>
                <w:sz w:val="18"/>
                <w:szCs w:val="18"/>
                <w:color w:val="auto"/>
                <w:w w:val="98"/>
              </w:rPr>
              <w:t>Joanna Rees, Chair 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60" w:type="dxa"/>
            <w:vAlign w:val="bottom"/>
          </w:tcPr>
          <w:p>
            <w:pPr>
              <w:spacing w:after="0"/>
              <w:rPr>
                <w:sz w:val="17"/>
                <w:szCs w:val="17"/>
                <w:color w:val="auto"/>
              </w:rPr>
            </w:pPr>
          </w:p>
        </w:tc>
        <w:tc>
          <w:tcPr>
            <w:tcW w:w="200" w:type="dxa"/>
            <w:vAlign w:val="bottom"/>
          </w:tcPr>
          <w:p>
            <w:pPr>
              <w:jc w:val="right"/>
              <w:ind w:right="67"/>
              <w:spacing w:after="0"/>
              <w:rPr>
                <w:sz w:val="20"/>
                <w:szCs w:val="20"/>
                <w:color w:val="auto"/>
              </w:rPr>
            </w:pPr>
            <w:r>
              <w:rPr>
                <w:rFonts w:ascii="Arial" w:cs="Arial" w:eastAsia="Arial" w:hAnsi="Arial"/>
                <w:sz w:val="4"/>
                <w:szCs w:val="4"/>
                <w:color w:val="auto"/>
                <w:w w:val="98"/>
              </w:rPr>
              <w:t> </w:t>
            </w:r>
          </w:p>
        </w:tc>
      </w:tr>
      <w:tr>
        <w:trPr>
          <w:trHeight w:val="203"/>
        </w:trPr>
        <w:tc>
          <w:tcPr>
            <w:tcW w:w="2260" w:type="dxa"/>
            <w:vAlign w:val="bottom"/>
            <w:gridSpan w:val="3"/>
          </w:tcPr>
          <w:p>
            <w:pPr>
              <w:ind w:left="520"/>
              <w:spacing w:after="0" w:line="202" w:lineRule="exact"/>
              <w:rPr>
                <w:sz w:val="20"/>
                <w:szCs w:val="20"/>
                <w:color w:val="auto"/>
              </w:rPr>
            </w:pPr>
            <w:r>
              <w:rPr>
                <w:rFonts w:ascii="Arial" w:cs="Arial" w:eastAsia="Arial" w:hAnsi="Arial"/>
                <w:sz w:val="18"/>
                <w:szCs w:val="18"/>
                <w:color w:val="auto"/>
                <w:w w:val="90"/>
              </w:rPr>
              <w:t>Fabiola R. Arredondo </w:t>
            </w:r>
          </w:p>
        </w:tc>
        <w:tc>
          <w:tcPr>
            <w:tcW w:w="120" w:type="dxa"/>
            <w:vAlign w:val="bottom"/>
          </w:tcPr>
          <w:p>
            <w:pPr>
              <w:spacing w:after="0"/>
              <w:rPr>
                <w:sz w:val="17"/>
                <w:szCs w:val="17"/>
                <w:color w:val="auto"/>
              </w:rPr>
            </w:pPr>
          </w:p>
        </w:tc>
        <w:tc>
          <w:tcPr>
            <w:tcW w:w="180" w:type="dxa"/>
            <w:vAlign w:val="bottom"/>
          </w:tcPr>
          <w:p>
            <w:pPr>
              <w:ind w:left="20"/>
              <w:spacing w:after="0" w:line="202" w:lineRule="exact"/>
              <w:rPr>
                <w:sz w:val="20"/>
                <w:szCs w:val="20"/>
                <w:color w:val="auto"/>
              </w:rPr>
            </w:pPr>
            <w:r>
              <w:rPr>
                <w:rFonts w:ascii="Arial" w:cs="Arial" w:eastAsia="Arial" w:hAnsi="Arial"/>
                <w:sz w:val="18"/>
                <w:szCs w:val="18"/>
                <w:color w:val="auto"/>
                <w:w w:val="77"/>
              </w:rPr>
              <w:t> </w:t>
            </w:r>
          </w:p>
        </w:tc>
        <w:tc>
          <w:tcPr>
            <w:tcW w:w="180" w:type="dxa"/>
            <w:vAlign w:val="bottom"/>
          </w:tcPr>
          <w:p>
            <w:pPr>
              <w:ind w:left="20"/>
              <w:spacing w:after="0" w:line="202" w:lineRule="exact"/>
              <w:rPr>
                <w:sz w:val="20"/>
                <w:szCs w:val="20"/>
                <w:color w:val="auto"/>
              </w:rPr>
            </w:pPr>
            <w:r>
              <w:rPr>
                <w:rFonts w:ascii="Arial" w:cs="Arial" w:eastAsia="Arial" w:hAnsi="Arial"/>
                <w:sz w:val="18"/>
                <w:szCs w:val="18"/>
                <w:color w:val="auto"/>
                <w:w w:val="77"/>
              </w:rPr>
              <w:t> </w:t>
            </w:r>
          </w:p>
        </w:tc>
        <w:tc>
          <w:tcPr>
            <w:tcW w:w="180" w:type="dxa"/>
            <w:vAlign w:val="bottom"/>
          </w:tcPr>
          <w:p>
            <w:pPr>
              <w:ind w:left="20"/>
              <w:spacing w:after="0" w:line="202" w:lineRule="exact"/>
              <w:rPr>
                <w:sz w:val="20"/>
                <w:szCs w:val="20"/>
                <w:color w:val="auto"/>
              </w:rPr>
            </w:pPr>
            <w:r>
              <w:rPr>
                <w:rFonts w:ascii="Arial" w:cs="Arial" w:eastAsia="Arial" w:hAnsi="Arial"/>
                <w:sz w:val="18"/>
                <w:szCs w:val="18"/>
                <w:color w:val="auto"/>
                <w:w w:val="77"/>
              </w:rPr>
              <w:t> </w:t>
            </w:r>
          </w:p>
        </w:tc>
        <w:tc>
          <w:tcPr>
            <w:tcW w:w="180" w:type="dxa"/>
            <w:vAlign w:val="bottom"/>
          </w:tcPr>
          <w:p>
            <w:pPr>
              <w:ind w:left="20"/>
              <w:spacing w:after="0" w:line="202" w:lineRule="exact"/>
              <w:rPr>
                <w:sz w:val="20"/>
                <w:szCs w:val="20"/>
                <w:color w:val="auto"/>
              </w:rPr>
            </w:pPr>
            <w:r>
              <w:rPr>
                <w:rFonts w:ascii="Arial" w:cs="Arial" w:eastAsia="Arial" w:hAnsi="Arial"/>
                <w:sz w:val="18"/>
                <w:szCs w:val="18"/>
                <w:color w:val="auto"/>
                <w:w w:val="77"/>
              </w:rPr>
              <w:t> </w:t>
            </w:r>
          </w:p>
        </w:tc>
        <w:tc>
          <w:tcPr>
            <w:tcW w:w="180" w:type="dxa"/>
            <w:vAlign w:val="bottom"/>
          </w:tcPr>
          <w:p>
            <w:pPr>
              <w:ind w:left="20"/>
              <w:spacing w:after="0" w:line="202" w:lineRule="exact"/>
              <w:rPr>
                <w:sz w:val="20"/>
                <w:szCs w:val="20"/>
                <w:color w:val="auto"/>
              </w:rPr>
            </w:pPr>
            <w:r>
              <w:rPr>
                <w:rFonts w:ascii="Arial" w:cs="Arial" w:eastAsia="Arial" w:hAnsi="Arial"/>
                <w:sz w:val="18"/>
                <w:szCs w:val="18"/>
                <w:color w:val="auto"/>
                <w:w w:val="77"/>
              </w:rPr>
              <w:t> </w:t>
            </w:r>
          </w:p>
        </w:tc>
        <w:tc>
          <w:tcPr>
            <w:tcW w:w="180" w:type="dxa"/>
            <w:vAlign w:val="bottom"/>
          </w:tcPr>
          <w:p>
            <w:pPr>
              <w:ind w:left="20"/>
              <w:spacing w:after="0" w:line="202" w:lineRule="exact"/>
              <w:rPr>
                <w:sz w:val="20"/>
                <w:szCs w:val="20"/>
                <w:color w:val="auto"/>
              </w:rPr>
            </w:pPr>
            <w:r>
              <w:rPr>
                <w:rFonts w:ascii="Arial" w:cs="Arial" w:eastAsia="Arial" w:hAnsi="Arial"/>
                <w:sz w:val="18"/>
                <w:szCs w:val="18"/>
                <w:color w:val="auto"/>
                <w:w w:val="77"/>
              </w:rPr>
              <w:t> </w:t>
            </w:r>
          </w:p>
        </w:tc>
        <w:tc>
          <w:tcPr>
            <w:tcW w:w="180" w:type="dxa"/>
            <w:vAlign w:val="bottom"/>
          </w:tcPr>
          <w:p>
            <w:pPr>
              <w:ind w:left="20"/>
              <w:spacing w:after="0" w:line="202" w:lineRule="exact"/>
              <w:rPr>
                <w:sz w:val="20"/>
                <w:szCs w:val="20"/>
                <w:color w:val="auto"/>
              </w:rPr>
            </w:pPr>
            <w:r>
              <w:rPr>
                <w:rFonts w:ascii="Arial" w:cs="Arial" w:eastAsia="Arial" w:hAnsi="Arial"/>
                <w:sz w:val="18"/>
                <w:szCs w:val="18"/>
                <w:color w:val="auto"/>
                <w:w w:val="77"/>
              </w:rPr>
              <w:t> </w:t>
            </w:r>
          </w:p>
        </w:tc>
        <w:tc>
          <w:tcPr>
            <w:tcW w:w="180" w:type="dxa"/>
            <w:vAlign w:val="bottom"/>
          </w:tcPr>
          <w:p>
            <w:pPr>
              <w:ind w:left="20"/>
              <w:spacing w:after="0" w:line="202" w:lineRule="exact"/>
              <w:rPr>
                <w:sz w:val="20"/>
                <w:szCs w:val="20"/>
                <w:color w:val="auto"/>
              </w:rPr>
            </w:pPr>
            <w:r>
              <w:rPr>
                <w:rFonts w:ascii="Arial" w:cs="Arial" w:eastAsia="Arial" w:hAnsi="Arial"/>
                <w:sz w:val="18"/>
                <w:szCs w:val="18"/>
                <w:color w:val="auto"/>
                <w:w w:val="77"/>
              </w:rPr>
              <w:t> </w:t>
            </w:r>
          </w:p>
        </w:tc>
        <w:tc>
          <w:tcPr>
            <w:tcW w:w="180" w:type="dxa"/>
            <w:vAlign w:val="bottom"/>
          </w:tcPr>
          <w:p>
            <w:pPr>
              <w:ind w:left="20"/>
              <w:spacing w:after="0" w:line="202" w:lineRule="exact"/>
              <w:rPr>
                <w:sz w:val="20"/>
                <w:szCs w:val="20"/>
                <w:color w:val="auto"/>
              </w:rPr>
            </w:pPr>
            <w:r>
              <w:rPr>
                <w:rFonts w:ascii="Arial" w:cs="Arial" w:eastAsia="Arial" w:hAnsi="Arial"/>
                <w:sz w:val="18"/>
                <w:szCs w:val="18"/>
                <w:color w:val="auto"/>
                <w:w w:val="77"/>
              </w:rPr>
              <w:t> </w:t>
            </w:r>
          </w:p>
        </w:tc>
        <w:tc>
          <w:tcPr>
            <w:tcW w:w="60" w:type="dxa"/>
            <w:vAlign w:val="bottom"/>
          </w:tcPr>
          <w:p>
            <w:pPr>
              <w:ind w:left="20"/>
              <w:spacing w:after="0"/>
              <w:rPr>
                <w:sz w:val="20"/>
                <w:szCs w:val="20"/>
                <w:color w:val="auto"/>
              </w:rPr>
            </w:pPr>
            <w:r>
              <w:rPr>
                <w:rFonts w:ascii="Arial" w:cs="Arial" w:eastAsia="Arial" w:hAnsi="Arial"/>
                <w:sz w:val="2"/>
                <w:szCs w:val="2"/>
                <w:color w:val="auto"/>
                <w:w w:val="97"/>
              </w:rPr>
              <w:t> </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r>
      <w:tr>
        <w:trPr>
          <w:trHeight w:val="203"/>
        </w:trPr>
        <w:tc>
          <w:tcPr>
            <w:tcW w:w="1920" w:type="dxa"/>
            <w:vAlign w:val="bottom"/>
          </w:tcPr>
          <w:p>
            <w:pPr>
              <w:ind w:left="520"/>
              <w:spacing w:after="0" w:line="202" w:lineRule="exact"/>
              <w:rPr>
                <w:sz w:val="20"/>
                <w:szCs w:val="20"/>
                <w:color w:val="auto"/>
              </w:rPr>
            </w:pPr>
            <w:r>
              <w:rPr>
                <w:rFonts w:ascii="Arial" w:cs="Arial" w:eastAsia="Arial" w:hAnsi="Arial"/>
                <w:sz w:val="18"/>
                <w:szCs w:val="18"/>
                <w:color w:val="auto"/>
                <w:w w:val="96"/>
              </w:rPr>
              <w:t>Braden R. Kelly </w:t>
            </w:r>
          </w:p>
        </w:tc>
        <w:tc>
          <w:tcPr>
            <w:tcW w:w="180" w:type="dxa"/>
            <w:vAlign w:val="bottom"/>
          </w:tcPr>
          <w:p>
            <w:pPr>
              <w:ind w:left="20"/>
              <w:spacing w:after="0" w:line="202" w:lineRule="exact"/>
              <w:rPr>
                <w:sz w:val="20"/>
                <w:szCs w:val="20"/>
                <w:color w:val="auto"/>
              </w:rPr>
            </w:pPr>
            <w:r>
              <w:rPr>
                <w:rFonts w:ascii="Arial" w:cs="Arial" w:eastAsia="Arial" w:hAnsi="Arial"/>
                <w:sz w:val="18"/>
                <w:szCs w:val="18"/>
                <w:color w:val="auto"/>
                <w:w w:val="77"/>
              </w:rPr>
              <w:t> </w:t>
            </w:r>
          </w:p>
        </w:tc>
        <w:tc>
          <w:tcPr>
            <w:tcW w:w="160" w:type="dxa"/>
            <w:vAlign w:val="bottom"/>
          </w:tcPr>
          <w:p>
            <w:pPr>
              <w:ind w:left="20"/>
              <w:spacing w:after="0"/>
              <w:rPr>
                <w:sz w:val="20"/>
                <w:szCs w:val="20"/>
                <w:color w:val="auto"/>
              </w:rPr>
            </w:pPr>
            <w:r>
              <w:rPr>
                <w:rFonts w:ascii="Arial" w:cs="Arial" w:eastAsia="Arial" w:hAnsi="Arial"/>
                <w:sz w:val="17"/>
                <w:szCs w:val="17"/>
                <w:color w:val="auto"/>
                <w:w w:val="70"/>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80" w:type="dxa"/>
            <w:vAlign w:val="bottom"/>
          </w:tcPr>
          <w:p>
            <w:pPr>
              <w:ind w:left="100"/>
              <w:spacing w:after="0"/>
              <w:rPr>
                <w:sz w:val="20"/>
                <w:szCs w:val="20"/>
                <w:color w:val="auto"/>
              </w:rPr>
            </w:pPr>
            <w:r>
              <w:rPr>
                <w:rFonts w:ascii="Arial" w:cs="Arial" w:eastAsia="Arial" w:hAnsi="Arial"/>
                <w:sz w:val="8"/>
                <w:szCs w:val="8"/>
                <w:color w:val="auto"/>
                <w:w w:val="74"/>
              </w:rPr>
              <w:t> </w:t>
            </w:r>
          </w:p>
        </w:tc>
        <w:tc>
          <w:tcPr>
            <w:tcW w:w="180" w:type="dxa"/>
            <w:vAlign w:val="bottom"/>
          </w:tcPr>
          <w:p>
            <w:pPr>
              <w:ind w:left="100"/>
              <w:spacing w:after="0"/>
              <w:rPr>
                <w:sz w:val="20"/>
                <w:szCs w:val="20"/>
                <w:color w:val="auto"/>
              </w:rPr>
            </w:pPr>
            <w:r>
              <w:rPr>
                <w:rFonts w:ascii="Arial" w:cs="Arial" w:eastAsia="Arial" w:hAnsi="Arial"/>
                <w:sz w:val="8"/>
                <w:szCs w:val="8"/>
                <w:color w:val="auto"/>
                <w:w w:val="74"/>
              </w:rPr>
              <w:t> </w:t>
            </w:r>
          </w:p>
        </w:tc>
        <w:tc>
          <w:tcPr>
            <w:tcW w:w="180" w:type="dxa"/>
            <w:vAlign w:val="bottom"/>
          </w:tcPr>
          <w:p>
            <w:pPr>
              <w:ind w:left="100"/>
              <w:spacing w:after="0"/>
              <w:rPr>
                <w:sz w:val="20"/>
                <w:szCs w:val="20"/>
                <w:color w:val="auto"/>
              </w:rPr>
            </w:pPr>
            <w:r>
              <w:rPr>
                <w:rFonts w:ascii="Arial" w:cs="Arial" w:eastAsia="Arial" w:hAnsi="Arial"/>
                <w:sz w:val="8"/>
                <w:szCs w:val="8"/>
                <w:color w:val="auto"/>
                <w:w w:val="74"/>
              </w:rPr>
              <w:t> </w:t>
            </w:r>
          </w:p>
        </w:tc>
        <w:tc>
          <w:tcPr>
            <w:tcW w:w="180" w:type="dxa"/>
            <w:vAlign w:val="bottom"/>
          </w:tcPr>
          <w:p>
            <w:pPr>
              <w:ind w:left="100"/>
              <w:spacing w:after="0"/>
              <w:rPr>
                <w:sz w:val="20"/>
                <w:szCs w:val="20"/>
                <w:color w:val="auto"/>
              </w:rPr>
            </w:pPr>
            <w:r>
              <w:rPr>
                <w:rFonts w:ascii="Arial" w:cs="Arial" w:eastAsia="Arial" w:hAnsi="Arial"/>
                <w:sz w:val="8"/>
                <w:szCs w:val="8"/>
                <w:color w:val="auto"/>
                <w:w w:val="74"/>
              </w:rPr>
              <w:t> </w:t>
            </w:r>
          </w:p>
        </w:tc>
        <w:tc>
          <w:tcPr>
            <w:tcW w:w="180" w:type="dxa"/>
            <w:vAlign w:val="bottom"/>
          </w:tcPr>
          <w:p>
            <w:pPr>
              <w:ind w:left="100"/>
              <w:spacing w:after="0"/>
              <w:rPr>
                <w:sz w:val="20"/>
                <w:szCs w:val="20"/>
                <w:color w:val="auto"/>
              </w:rPr>
            </w:pPr>
            <w:r>
              <w:rPr>
                <w:rFonts w:ascii="Arial" w:cs="Arial" w:eastAsia="Arial" w:hAnsi="Arial"/>
                <w:sz w:val="8"/>
                <w:szCs w:val="8"/>
                <w:color w:val="auto"/>
                <w:w w:val="74"/>
              </w:rPr>
              <w:t> </w:t>
            </w:r>
          </w:p>
        </w:tc>
        <w:tc>
          <w:tcPr>
            <w:tcW w:w="180" w:type="dxa"/>
            <w:vAlign w:val="bottom"/>
          </w:tcPr>
          <w:p>
            <w:pPr>
              <w:ind w:left="100"/>
              <w:spacing w:after="0"/>
              <w:rPr>
                <w:sz w:val="20"/>
                <w:szCs w:val="20"/>
                <w:color w:val="auto"/>
              </w:rPr>
            </w:pPr>
            <w:r>
              <w:rPr>
                <w:rFonts w:ascii="Arial" w:cs="Arial" w:eastAsia="Arial" w:hAnsi="Arial"/>
                <w:sz w:val="8"/>
                <w:szCs w:val="8"/>
                <w:color w:val="auto"/>
                <w:w w:val="74"/>
              </w:rPr>
              <w:t> </w:t>
            </w:r>
          </w:p>
        </w:tc>
        <w:tc>
          <w:tcPr>
            <w:tcW w:w="180" w:type="dxa"/>
            <w:vAlign w:val="bottom"/>
          </w:tcPr>
          <w:p>
            <w:pPr>
              <w:ind w:left="100"/>
              <w:spacing w:after="0"/>
              <w:rPr>
                <w:sz w:val="20"/>
                <w:szCs w:val="20"/>
                <w:color w:val="auto"/>
              </w:rPr>
            </w:pPr>
            <w:r>
              <w:rPr>
                <w:rFonts w:ascii="Arial" w:cs="Arial" w:eastAsia="Arial" w:hAnsi="Arial"/>
                <w:sz w:val="8"/>
                <w:szCs w:val="8"/>
                <w:color w:val="auto"/>
                <w:w w:val="74"/>
              </w:rPr>
              <w:t> </w:t>
            </w:r>
          </w:p>
        </w:tc>
        <w:tc>
          <w:tcPr>
            <w:tcW w:w="180" w:type="dxa"/>
            <w:vAlign w:val="bottom"/>
          </w:tcPr>
          <w:p>
            <w:pPr>
              <w:ind w:left="100"/>
              <w:spacing w:after="0"/>
              <w:rPr>
                <w:sz w:val="20"/>
                <w:szCs w:val="20"/>
                <w:color w:val="auto"/>
              </w:rPr>
            </w:pPr>
            <w:r>
              <w:rPr>
                <w:rFonts w:ascii="Arial" w:cs="Arial" w:eastAsia="Arial" w:hAnsi="Arial"/>
                <w:sz w:val="8"/>
                <w:szCs w:val="8"/>
                <w:color w:val="auto"/>
                <w:w w:val="74"/>
              </w:rPr>
              <w:t> </w:t>
            </w:r>
          </w:p>
        </w:tc>
        <w:tc>
          <w:tcPr>
            <w:tcW w:w="180" w:type="dxa"/>
            <w:vAlign w:val="bottom"/>
          </w:tcPr>
          <w:p>
            <w:pPr>
              <w:ind w:left="100"/>
              <w:spacing w:after="0"/>
              <w:rPr>
                <w:sz w:val="20"/>
                <w:szCs w:val="20"/>
                <w:color w:val="auto"/>
              </w:rPr>
            </w:pPr>
            <w:r>
              <w:rPr>
                <w:rFonts w:ascii="Arial" w:cs="Arial" w:eastAsia="Arial" w:hAnsi="Arial"/>
                <w:sz w:val="8"/>
                <w:szCs w:val="8"/>
                <w:color w:val="auto"/>
                <w:w w:val="74"/>
              </w:rPr>
              <w:t> </w:t>
            </w:r>
          </w:p>
        </w:tc>
        <w:tc>
          <w:tcPr>
            <w:tcW w:w="6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 xml:space="preserve">   </w:t>
            </w:r>
          </w:p>
        </w:tc>
      </w:tr>
      <w:tr>
        <w:trPr>
          <w:trHeight w:val="239"/>
        </w:trPr>
        <w:tc>
          <w:tcPr>
            <w:tcW w:w="1920" w:type="dxa"/>
            <w:vAlign w:val="bottom"/>
          </w:tcPr>
          <w:p>
            <w:pPr>
              <w:ind w:left="520"/>
              <w:spacing w:after="0"/>
              <w:rPr>
                <w:sz w:val="20"/>
                <w:szCs w:val="20"/>
                <w:color w:val="auto"/>
              </w:rPr>
            </w:pPr>
            <w:r>
              <w:rPr>
                <w:rFonts w:ascii="Arial" w:cs="Arial" w:eastAsia="Arial" w:hAnsi="Arial"/>
                <w:sz w:val="18"/>
                <w:szCs w:val="18"/>
                <w:color w:val="auto"/>
              </w:rPr>
              <w:t xml:space="preserve">Eva Manolis       </w:t>
            </w:r>
          </w:p>
        </w:tc>
        <w:tc>
          <w:tcPr>
            <w:tcW w:w="180" w:type="dxa"/>
            <w:vAlign w:val="bottom"/>
          </w:tcPr>
          <w:p>
            <w:pPr>
              <w:ind w:left="120"/>
              <w:spacing w:after="0"/>
              <w:rPr>
                <w:sz w:val="20"/>
                <w:szCs w:val="20"/>
                <w:color w:val="auto"/>
              </w:rPr>
            </w:pPr>
            <w:r>
              <w:rPr>
                <w:rFonts w:ascii="Arial" w:cs="Arial" w:eastAsia="Arial" w:hAnsi="Arial"/>
                <w:sz w:val="4"/>
                <w:szCs w:val="4"/>
                <w:color w:val="auto"/>
                <w:w w:val="98"/>
              </w:rPr>
              <w:t> </w:t>
            </w:r>
          </w:p>
        </w:tc>
        <w:tc>
          <w:tcPr>
            <w:tcW w:w="160" w:type="dxa"/>
            <w:vAlign w:val="bottom"/>
          </w:tcPr>
          <w:p>
            <w:pPr>
              <w:ind w:left="120"/>
              <w:spacing w:after="0"/>
              <w:rPr>
                <w:sz w:val="20"/>
                <w:szCs w:val="20"/>
                <w:color w:val="auto"/>
              </w:rPr>
            </w:pPr>
            <w:r>
              <w:rPr>
                <w:rFonts w:ascii="Arial" w:cs="Arial" w:eastAsia="Arial" w:hAnsi="Arial"/>
                <w:sz w:val="2"/>
                <w:szCs w:val="2"/>
                <w:color w:val="auto"/>
                <w:w w:val="97"/>
              </w:rPr>
              <w:t> </w:t>
            </w:r>
          </w:p>
        </w:tc>
        <w:tc>
          <w:tcPr>
            <w:tcW w:w="12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w w:val="77"/>
              </w:rPr>
              <w:t> </w:t>
            </w:r>
          </w:p>
        </w:tc>
        <w:tc>
          <w:tcPr>
            <w:tcW w:w="180" w:type="dxa"/>
            <w:vAlign w:val="bottom"/>
          </w:tcPr>
          <w:p>
            <w:pPr>
              <w:ind w:left="20"/>
              <w:spacing w:after="0"/>
              <w:rPr>
                <w:sz w:val="20"/>
                <w:szCs w:val="20"/>
                <w:color w:val="auto"/>
              </w:rPr>
            </w:pPr>
            <w:r>
              <w:rPr>
                <w:rFonts w:ascii="Arial" w:cs="Arial" w:eastAsia="Arial" w:hAnsi="Arial"/>
                <w:sz w:val="18"/>
                <w:szCs w:val="18"/>
                <w:color w:val="auto"/>
                <w:w w:val="77"/>
              </w:rPr>
              <w:t> </w:t>
            </w:r>
          </w:p>
        </w:tc>
        <w:tc>
          <w:tcPr>
            <w:tcW w:w="180" w:type="dxa"/>
            <w:vAlign w:val="bottom"/>
          </w:tcPr>
          <w:p>
            <w:pPr>
              <w:ind w:left="20"/>
              <w:spacing w:after="0"/>
              <w:rPr>
                <w:sz w:val="20"/>
                <w:szCs w:val="20"/>
                <w:color w:val="auto"/>
              </w:rPr>
            </w:pPr>
            <w:r>
              <w:rPr>
                <w:rFonts w:ascii="Arial" w:cs="Arial" w:eastAsia="Arial" w:hAnsi="Arial"/>
                <w:sz w:val="18"/>
                <w:szCs w:val="18"/>
                <w:color w:val="auto"/>
                <w:w w:val="77"/>
              </w:rPr>
              <w:t> </w:t>
            </w:r>
          </w:p>
        </w:tc>
        <w:tc>
          <w:tcPr>
            <w:tcW w:w="180" w:type="dxa"/>
            <w:vAlign w:val="bottom"/>
          </w:tcPr>
          <w:p>
            <w:pPr>
              <w:ind w:left="20"/>
              <w:spacing w:after="0"/>
              <w:rPr>
                <w:sz w:val="20"/>
                <w:szCs w:val="20"/>
                <w:color w:val="auto"/>
              </w:rPr>
            </w:pPr>
            <w:r>
              <w:rPr>
                <w:rFonts w:ascii="Arial" w:cs="Arial" w:eastAsia="Arial" w:hAnsi="Arial"/>
                <w:sz w:val="18"/>
                <w:szCs w:val="18"/>
                <w:color w:val="auto"/>
                <w:w w:val="77"/>
              </w:rPr>
              <w:t> </w:t>
            </w:r>
          </w:p>
        </w:tc>
        <w:tc>
          <w:tcPr>
            <w:tcW w:w="180" w:type="dxa"/>
            <w:vAlign w:val="bottom"/>
          </w:tcPr>
          <w:p>
            <w:pPr>
              <w:ind w:left="20"/>
              <w:spacing w:after="0"/>
              <w:rPr>
                <w:sz w:val="20"/>
                <w:szCs w:val="20"/>
                <w:color w:val="auto"/>
              </w:rPr>
            </w:pPr>
            <w:r>
              <w:rPr>
                <w:rFonts w:ascii="Arial" w:cs="Arial" w:eastAsia="Arial" w:hAnsi="Arial"/>
                <w:sz w:val="18"/>
                <w:szCs w:val="18"/>
                <w:color w:val="auto"/>
                <w:w w:val="77"/>
              </w:rPr>
              <w:t> </w:t>
            </w:r>
          </w:p>
        </w:tc>
        <w:tc>
          <w:tcPr>
            <w:tcW w:w="180" w:type="dxa"/>
            <w:vAlign w:val="bottom"/>
          </w:tcPr>
          <w:p>
            <w:pPr>
              <w:ind w:left="20"/>
              <w:spacing w:after="0"/>
              <w:rPr>
                <w:sz w:val="20"/>
                <w:szCs w:val="20"/>
                <w:color w:val="auto"/>
              </w:rPr>
            </w:pPr>
            <w:r>
              <w:rPr>
                <w:rFonts w:ascii="Arial" w:cs="Arial" w:eastAsia="Arial" w:hAnsi="Arial"/>
                <w:sz w:val="18"/>
                <w:szCs w:val="18"/>
                <w:color w:val="auto"/>
                <w:w w:val="77"/>
              </w:rPr>
              <w:t> </w:t>
            </w:r>
          </w:p>
        </w:tc>
        <w:tc>
          <w:tcPr>
            <w:tcW w:w="180" w:type="dxa"/>
            <w:vAlign w:val="bottom"/>
          </w:tcPr>
          <w:p>
            <w:pPr>
              <w:ind w:left="20"/>
              <w:spacing w:after="0"/>
              <w:rPr>
                <w:sz w:val="20"/>
                <w:szCs w:val="20"/>
                <w:color w:val="auto"/>
              </w:rPr>
            </w:pPr>
            <w:r>
              <w:rPr>
                <w:rFonts w:ascii="Arial" w:cs="Arial" w:eastAsia="Arial" w:hAnsi="Arial"/>
                <w:sz w:val="18"/>
                <w:szCs w:val="18"/>
                <w:color w:val="auto"/>
                <w:w w:val="77"/>
              </w:rPr>
              <w:t> </w:t>
            </w:r>
          </w:p>
        </w:tc>
        <w:tc>
          <w:tcPr>
            <w:tcW w:w="180" w:type="dxa"/>
            <w:vAlign w:val="bottom"/>
          </w:tcPr>
          <w:p>
            <w:pPr>
              <w:ind w:left="20"/>
              <w:spacing w:after="0"/>
              <w:rPr>
                <w:sz w:val="20"/>
                <w:szCs w:val="20"/>
                <w:color w:val="auto"/>
              </w:rPr>
            </w:pPr>
            <w:r>
              <w:rPr>
                <w:rFonts w:ascii="Arial" w:cs="Arial" w:eastAsia="Arial" w:hAnsi="Arial"/>
                <w:sz w:val="18"/>
                <w:szCs w:val="18"/>
                <w:color w:val="auto"/>
                <w:w w:val="77"/>
              </w:rPr>
              <w:t> </w:t>
            </w:r>
          </w:p>
        </w:tc>
        <w:tc>
          <w:tcPr>
            <w:tcW w:w="180" w:type="dxa"/>
            <w:vAlign w:val="bottom"/>
          </w:tcPr>
          <w:p>
            <w:pPr>
              <w:ind w:left="20"/>
              <w:spacing w:after="0"/>
              <w:rPr>
                <w:sz w:val="20"/>
                <w:szCs w:val="20"/>
                <w:color w:val="auto"/>
              </w:rPr>
            </w:pPr>
            <w:r>
              <w:rPr>
                <w:rFonts w:ascii="Arial" w:cs="Arial" w:eastAsia="Arial" w:hAnsi="Arial"/>
                <w:sz w:val="18"/>
                <w:szCs w:val="18"/>
                <w:color w:val="auto"/>
                <w:w w:val="77"/>
              </w:rPr>
              <w:t> </w:t>
            </w:r>
          </w:p>
        </w:tc>
        <w:tc>
          <w:tcPr>
            <w:tcW w:w="60" w:type="dxa"/>
            <w:vAlign w:val="bottom"/>
          </w:tcPr>
          <w:p>
            <w:pPr>
              <w:ind w:left="20"/>
              <w:spacing w:after="0"/>
              <w:rPr>
                <w:sz w:val="20"/>
                <w:szCs w:val="20"/>
                <w:color w:val="auto"/>
              </w:rPr>
            </w:pPr>
            <w:r>
              <w:rPr>
                <w:rFonts w:ascii="Arial" w:cs="Arial" w:eastAsia="Arial" w:hAnsi="Arial"/>
                <w:sz w:val="2"/>
                <w:szCs w:val="2"/>
                <w:color w:val="auto"/>
                <w:w w:val="97"/>
              </w:rPr>
              <w:t> </w:t>
            </w: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365"/>
        </w:trPr>
        <w:tc>
          <w:tcPr>
            <w:tcW w:w="3820" w:type="dxa"/>
            <w:vAlign w:val="bottom"/>
            <w:gridSpan w:val="12"/>
          </w:tcPr>
          <w:p>
            <w:pPr>
              <w:spacing w:after="0"/>
              <w:rPr>
                <w:sz w:val="20"/>
                <w:szCs w:val="20"/>
                <w:color w:val="auto"/>
              </w:rPr>
            </w:pPr>
            <w:r>
              <w:rPr>
                <w:rFonts w:ascii="Arial" w:cs="Arial" w:eastAsia="Arial" w:hAnsi="Arial"/>
                <w:sz w:val="18"/>
                <w:szCs w:val="18"/>
                <w:color w:val="376DB5"/>
                <w:w w:val="97"/>
              </w:rPr>
              <w:t xml:space="preserve">Fair Isaac Corporation </w:t>
            </w:r>
            <w:r>
              <w:rPr>
                <w:rFonts w:ascii="Arial" w:cs="Arial" w:eastAsia="Arial" w:hAnsi="Arial"/>
                <w:sz w:val="18"/>
                <w:szCs w:val="18"/>
                <w:color w:val="000000"/>
                <w:w w:val="97"/>
              </w:rPr>
              <w:t>l 2026 Proxy Statement 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Compensation Tables</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COMPENSATION TABLE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all compensation earned in fiscal 2025, 2024 and 2023 by our named executive officers.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31"/>
        </w:trPr>
        <w:tc>
          <w:tcPr>
            <w:tcW w:w="1760" w:type="dxa"/>
            <w:vAlign w:val="bottom"/>
            <w:tcBorders>
              <w:top w:val="single" w:sz="8" w:color="376DB5"/>
            </w:tcBorders>
          </w:tcPr>
          <w:p>
            <w:pPr>
              <w:spacing w:after="0"/>
              <w:rPr>
                <w:sz w:val="11"/>
                <w:szCs w:val="11"/>
                <w:color w:val="auto"/>
              </w:rPr>
            </w:pPr>
          </w:p>
        </w:tc>
        <w:tc>
          <w:tcPr>
            <w:tcW w:w="1320" w:type="dxa"/>
            <w:vAlign w:val="bottom"/>
            <w:tcBorders>
              <w:top w:val="single" w:sz="8" w:color="376DB5"/>
            </w:tcBorders>
          </w:tcPr>
          <w:p>
            <w:pPr>
              <w:spacing w:after="0"/>
              <w:rPr>
                <w:sz w:val="11"/>
                <w:szCs w:val="11"/>
                <w:color w:val="auto"/>
              </w:rPr>
            </w:pPr>
          </w:p>
        </w:tc>
        <w:tc>
          <w:tcPr>
            <w:tcW w:w="180" w:type="dxa"/>
            <w:vAlign w:val="bottom"/>
            <w:tcBorders>
              <w:top w:val="single" w:sz="8" w:color="376DB5"/>
            </w:tcBorders>
          </w:tcPr>
          <w:p>
            <w:pPr>
              <w:spacing w:after="0"/>
              <w:rPr>
                <w:sz w:val="11"/>
                <w:szCs w:val="11"/>
                <w:color w:val="auto"/>
              </w:rPr>
            </w:pPr>
          </w:p>
        </w:tc>
        <w:tc>
          <w:tcPr>
            <w:tcW w:w="400" w:type="dxa"/>
            <w:vAlign w:val="bottom"/>
            <w:tcBorders>
              <w:top w:val="single" w:sz="8" w:color="376DB5"/>
            </w:tcBorders>
          </w:tcPr>
          <w:p>
            <w:pPr>
              <w:spacing w:after="0"/>
              <w:rPr>
                <w:sz w:val="11"/>
                <w:szCs w:val="11"/>
                <w:color w:val="auto"/>
              </w:rPr>
            </w:pPr>
          </w:p>
        </w:tc>
        <w:tc>
          <w:tcPr>
            <w:tcW w:w="860" w:type="dxa"/>
            <w:vAlign w:val="bottom"/>
            <w:tcBorders>
              <w:top w:val="single" w:sz="8" w:color="376DB5"/>
            </w:tcBorders>
          </w:tcPr>
          <w:p>
            <w:pPr>
              <w:spacing w:after="0"/>
              <w:rPr>
                <w:sz w:val="11"/>
                <w:szCs w:val="11"/>
                <w:color w:val="auto"/>
              </w:rPr>
            </w:pPr>
          </w:p>
        </w:tc>
        <w:tc>
          <w:tcPr>
            <w:tcW w:w="600" w:type="dxa"/>
            <w:vAlign w:val="bottom"/>
            <w:tcBorders>
              <w:top w:val="single" w:sz="8" w:color="376DB5"/>
            </w:tcBorders>
          </w:tcPr>
          <w:p>
            <w:pPr>
              <w:spacing w:after="0"/>
              <w:rPr>
                <w:sz w:val="11"/>
                <w:szCs w:val="11"/>
                <w:color w:val="auto"/>
              </w:rPr>
            </w:pPr>
          </w:p>
        </w:tc>
        <w:tc>
          <w:tcPr>
            <w:tcW w:w="980" w:type="dxa"/>
            <w:vAlign w:val="bottom"/>
            <w:tcBorders>
              <w:top w:val="single" w:sz="8" w:color="376DB5"/>
            </w:tcBorders>
          </w:tcPr>
          <w:p>
            <w:pPr>
              <w:spacing w:after="0"/>
              <w:rPr>
                <w:sz w:val="11"/>
                <w:szCs w:val="11"/>
                <w:color w:val="auto"/>
              </w:rPr>
            </w:pPr>
          </w:p>
        </w:tc>
        <w:tc>
          <w:tcPr>
            <w:tcW w:w="980" w:type="dxa"/>
            <w:vAlign w:val="bottom"/>
            <w:tcBorders>
              <w:top w:val="single" w:sz="8" w:color="376DB5"/>
            </w:tcBorders>
          </w:tcPr>
          <w:p>
            <w:pPr>
              <w:spacing w:after="0"/>
              <w:rPr>
                <w:sz w:val="11"/>
                <w:szCs w:val="11"/>
                <w:color w:val="auto"/>
              </w:rPr>
            </w:pPr>
          </w:p>
        </w:tc>
        <w:tc>
          <w:tcPr>
            <w:tcW w:w="900" w:type="dxa"/>
            <w:vAlign w:val="bottom"/>
            <w:tcBorders>
              <w:top w:val="single" w:sz="8" w:color="376DB5"/>
            </w:tcBorders>
          </w:tcPr>
          <w:p>
            <w:pPr>
              <w:spacing w:after="0"/>
              <w:rPr>
                <w:sz w:val="11"/>
                <w:szCs w:val="11"/>
                <w:color w:val="auto"/>
              </w:rPr>
            </w:pPr>
          </w:p>
        </w:tc>
        <w:tc>
          <w:tcPr>
            <w:tcW w:w="1060" w:type="dxa"/>
            <w:vAlign w:val="bottom"/>
            <w:tcBorders>
              <w:top w:val="single" w:sz="8" w:color="376DB5"/>
            </w:tcBorders>
          </w:tcPr>
          <w:p>
            <w:pPr>
              <w:jc w:val="center"/>
              <w:spacing w:after="0" w:line="131" w:lineRule="exact"/>
              <w:rPr>
                <w:sz w:val="20"/>
                <w:szCs w:val="20"/>
                <w:color w:val="auto"/>
              </w:rPr>
            </w:pPr>
            <w:r>
              <w:rPr>
                <w:rFonts w:ascii="Arial" w:cs="Arial" w:eastAsia="Arial" w:hAnsi="Arial"/>
                <w:sz w:val="13"/>
                <w:szCs w:val="13"/>
                <w:color w:val="376DB5"/>
                <w:w w:val="97"/>
              </w:rPr>
              <w:t>Change in</w:t>
            </w:r>
          </w:p>
        </w:tc>
        <w:tc>
          <w:tcPr>
            <w:tcW w:w="1080" w:type="dxa"/>
            <w:vAlign w:val="bottom"/>
            <w:tcBorders>
              <w:top w:val="single" w:sz="8" w:color="376DB5"/>
            </w:tcBorders>
          </w:tcPr>
          <w:p>
            <w:pPr>
              <w:spacing w:after="0"/>
              <w:rPr>
                <w:sz w:val="11"/>
                <w:szCs w:val="11"/>
                <w:color w:val="auto"/>
              </w:rPr>
            </w:pPr>
          </w:p>
        </w:tc>
        <w:tc>
          <w:tcPr>
            <w:tcW w:w="900" w:type="dxa"/>
            <w:vAlign w:val="bottom"/>
            <w:tcBorders>
              <w:top w:val="single" w:sz="8" w:color="376DB5"/>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376DB5"/>
                <w:w w:val="97"/>
              </w:rPr>
              <w:t>Pension</w:t>
            </w: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376DB5"/>
                <w:w w:val="90"/>
              </w:rPr>
              <w:t>Value</w:t>
            </w: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376DB5"/>
                <w:w w:val="97"/>
              </w:rPr>
              <w:t>and Non-</w:t>
            </w: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376DB5"/>
                <w:w w:val="97"/>
              </w:rPr>
              <w:t>Qualified</w:t>
            </w: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376DB5"/>
                <w:w w:val="96"/>
              </w:rPr>
              <w:t>Non-Equity</w:t>
            </w: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376DB5"/>
                <w:w w:val="98"/>
              </w:rPr>
              <w:t>Deferred</w:t>
            </w: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jc w:val="center"/>
              <w:spacing w:after="0" w:line="139" w:lineRule="exact"/>
              <w:rPr>
                <w:sz w:val="20"/>
                <w:szCs w:val="20"/>
                <w:color w:val="auto"/>
              </w:rPr>
            </w:pPr>
            <w:r>
              <w:rPr>
                <w:rFonts w:ascii="Arial" w:cs="Arial" w:eastAsia="Arial" w:hAnsi="Arial"/>
                <w:sz w:val="13"/>
                <w:szCs w:val="13"/>
                <w:color w:val="376DB5"/>
                <w:w w:val="92"/>
              </w:rPr>
              <w:t>Stock</w:t>
            </w:r>
          </w:p>
        </w:tc>
        <w:tc>
          <w:tcPr>
            <w:tcW w:w="980" w:type="dxa"/>
            <w:vAlign w:val="bottom"/>
          </w:tcPr>
          <w:p>
            <w:pPr>
              <w:jc w:val="center"/>
              <w:spacing w:after="0" w:line="139" w:lineRule="exact"/>
              <w:rPr>
                <w:sz w:val="20"/>
                <w:szCs w:val="20"/>
                <w:color w:val="auto"/>
              </w:rPr>
            </w:pPr>
            <w:r>
              <w:rPr>
                <w:rFonts w:ascii="Arial" w:cs="Arial" w:eastAsia="Arial" w:hAnsi="Arial"/>
                <w:sz w:val="13"/>
                <w:szCs w:val="13"/>
                <w:color w:val="376DB5"/>
                <w:w w:val="93"/>
              </w:rPr>
              <w:t>Option</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376DB5"/>
                <w:w w:val="96"/>
              </w:rPr>
              <w:t>Incentive</w:t>
            </w:r>
          </w:p>
        </w:tc>
        <w:tc>
          <w:tcPr>
            <w:tcW w:w="1060" w:type="dxa"/>
            <w:vAlign w:val="bottom"/>
          </w:tcPr>
          <w:p>
            <w:pPr>
              <w:jc w:val="right"/>
              <w:ind w:right="51"/>
              <w:spacing w:after="0" w:line="139" w:lineRule="exact"/>
              <w:rPr>
                <w:sz w:val="20"/>
                <w:szCs w:val="20"/>
                <w:color w:val="auto"/>
              </w:rPr>
            </w:pPr>
            <w:r>
              <w:rPr>
                <w:rFonts w:ascii="Arial" w:cs="Arial" w:eastAsia="Arial" w:hAnsi="Arial"/>
                <w:sz w:val="13"/>
                <w:szCs w:val="13"/>
                <w:color w:val="376DB5"/>
              </w:rPr>
              <w:t>Compensation</w:t>
            </w:r>
          </w:p>
        </w:tc>
        <w:tc>
          <w:tcPr>
            <w:tcW w:w="1080" w:type="dxa"/>
            <w:vAlign w:val="bottom"/>
          </w:tcPr>
          <w:p>
            <w:pPr>
              <w:jc w:val="center"/>
              <w:spacing w:after="0" w:line="139" w:lineRule="exact"/>
              <w:rPr>
                <w:sz w:val="20"/>
                <w:szCs w:val="20"/>
                <w:color w:val="auto"/>
              </w:rPr>
            </w:pPr>
            <w:r>
              <w:rPr>
                <w:rFonts w:ascii="Arial" w:cs="Arial" w:eastAsia="Arial" w:hAnsi="Arial"/>
                <w:sz w:val="13"/>
                <w:szCs w:val="13"/>
                <w:color w:val="376DB5"/>
                <w:w w:val="94"/>
              </w:rPr>
              <w:t>All Other</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ind w:left="20"/>
              <w:spacing w:after="0" w:line="135" w:lineRule="exact"/>
              <w:rPr>
                <w:sz w:val="20"/>
                <w:szCs w:val="20"/>
                <w:color w:val="auto"/>
              </w:rPr>
            </w:pPr>
            <w:r>
              <w:rPr>
                <w:rFonts w:ascii="Arial" w:cs="Arial" w:eastAsia="Arial" w:hAnsi="Arial"/>
                <w:sz w:val="13"/>
                <w:szCs w:val="13"/>
                <w:color w:val="376DB5"/>
              </w:rPr>
              <w:t>Fiscal</w:t>
            </w:r>
          </w:p>
        </w:tc>
        <w:tc>
          <w:tcPr>
            <w:tcW w:w="860" w:type="dxa"/>
            <w:vAlign w:val="bottom"/>
          </w:tcPr>
          <w:p>
            <w:pPr>
              <w:jc w:val="right"/>
              <w:ind w:right="149"/>
              <w:spacing w:after="0" w:line="135" w:lineRule="exact"/>
              <w:rPr>
                <w:sz w:val="20"/>
                <w:szCs w:val="20"/>
                <w:color w:val="auto"/>
              </w:rPr>
            </w:pPr>
            <w:r>
              <w:rPr>
                <w:rFonts w:ascii="Arial" w:cs="Arial" w:eastAsia="Arial" w:hAnsi="Arial"/>
                <w:sz w:val="13"/>
                <w:szCs w:val="13"/>
                <w:color w:val="376DB5"/>
              </w:rPr>
              <w:t>Salary</w:t>
            </w:r>
          </w:p>
        </w:tc>
        <w:tc>
          <w:tcPr>
            <w:tcW w:w="600" w:type="dxa"/>
            <w:vAlign w:val="bottom"/>
          </w:tcPr>
          <w:p>
            <w:pPr>
              <w:jc w:val="right"/>
              <w:ind w:right="69"/>
              <w:spacing w:after="0" w:line="135" w:lineRule="exact"/>
              <w:rPr>
                <w:sz w:val="20"/>
                <w:szCs w:val="20"/>
                <w:color w:val="auto"/>
              </w:rPr>
            </w:pPr>
            <w:r>
              <w:rPr>
                <w:rFonts w:ascii="Arial" w:cs="Arial" w:eastAsia="Arial" w:hAnsi="Arial"/>
                <w:sz w:val="13"/>
                <w:szCs w:val="13"/>
                <w:color w:val="376DB5"/>
              </w:rPr>
              <w:t>Bonus</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376DB5"/>
                <w:w w:val="96"/>
              </w:rPr>
              <w:t>Awards</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376DB5"/>
                <w:w w:val="96"/>
              </w:rPr>
              <w:t>Awards</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376DB5"/>
                <w:w w:val="92"/>
              </w:rPr>
              <w:t>Plan</w:t>
            </w: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376DB5"/>
                <w:w w:val="97"/>
              </w:rPr>
              <w:t>Earnings</w:t>
            </w: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376DB5"/>
                <w:w w:val="95"/>
              </w:rPr>
              <w:t>Compensation</w:t>
            </w:r>
          </w:p>
        </w:tc>
        <w:tc>
          <w:tcPr>
            <w:tcW w:w="900" w:type="dxa"/>
            <w:vAlign w:val="bottom"/>
          </w:tcPr>
          <w:p>
            <w:pPr>
              <w:jc w:val="right"/>
              <w:ind w:right="229"/>
              <w:spacing w:after="0" w:line="135" w:lineRule="exact"/>
              <w:rPr>
                <w:sz w:val="20"/>
                <w:szCs w:val="20"/>
                <w:color w:val="auto"/>
              </w:rPr>
            </w:pPr>
            <w:r>
              <w:rPr>
                <w:rFonts w:ascii="Arial" w:cs="Arial" w:eastAsia="Arial" w:hAnsi="Arial"/>
                <w:sz w:val="13"/>
                <w:szCs w:val="13"/>
                <w:color w:val="376DB5"/>
              </w:rPr>
              <w:t>Total</w:t>
            </w:r>
          </w:p>
        </w:tc>
        <w:tc>
          <w:tcPr>
            <w:tcW w:w="0" w:type="dxa"/>
            <w:vAlign w:val="bottom"/>
          </w:tcPr>
          <w:p>
            <w:pPr>
              <w:spacing w:after="0"/>
              <w:rPr>
                <w:sz w:val="1"/>
                <w:szCs w:val="1"/>
                <w:color w:val="auto"/>
              </w:rPr>
            </w:pPr>
          </w:p>
        </w:tc>
      </w:tr>
      <w:tr>
        <w:trPr>
          <w:trHeight w:val="175"/>
        </w:trPr>
        <w:tc>
          <w:tcPr>
            <w:tcW w:w="3080" w:type="dxa"/>
            <w:vAlign w:val="bottom"/>
            <w:gridSpan w:val="2"/>
          </w:tcPr>
          <w:p>
            <w:pPr>
              <w:spacing w:after="0"/>
              <w:rPr>
                <w:sz w:val="20"/>
                <w:szCs w:val="20"/>
                <w:color w:val="auto"/>
              </w:rPr>
            </w:pPr>
            <w:r>
              <w:rPr>
                <w:rFonts w:ascii="Arial" w:cs="Arial" w:eastAsia="Arial" w:hAnsi="Arial"/>
                <w:sz w:val="13"/>
                <w:szCs w:val="13"/>
                <w:color w:val="376DB5"/>
              </w:rPr>
              <w:t>Name and Principal Position</w:t>
            </w:r>
          </w:p>
        </w:tc>
        <w:tc>
          <w:tcPr>
            <w:tcW w:w="180" w:type="dxa"/>
            <w:vAlign w:val="bottom"/>
          </w:tcPr>
          <w:p>
            <w:pPr>
              <w:spacing w:after="0"/>
              <w:rPr>
                <w:sz w:val="15"/>
                <w:szCs w:val="15"/>
                <w:color w:val="auto"/>
              </w:rPr>
            </w:pPr>
          </w:p>
        </w:tc>
        <w:tc>
          <w:tcPr>
            <w:tcW w:w="400" w:type="dxa"/>
            <w:vAlign w:val="bottom"/>
          </w:tcPr>
          <w:p>
            <w:pPr>
              <w:ind w:left="60"/>
              <w:spacing w:after="0"/>
              <w:rPr>
                <w:sz w:val="20"/>
                <w:szCs w:val="20"/>
                <w:color w:val="auto"/>
              </w:rPr>
            </w:pPr>
            <w:r>
              <w:rPr>
                <w:rFonts w:ascii="Arial" w:cs="Arial" w:eastAsia="Arial" w:hAnsi="Arial"/>
                <w:sz w:val="13"/>
                <w:szCs w:val="13"/>
                <w:color w:val="376DB5"/>
              </w:rPr>
              <w:t>Year</w:t>
            </w:r>
          </w:p>
        </w:tc>
        <w:tc>
          <w:tcPr>
            <w:tcW w:w="860" w:type="dxa"/>
            <w:vAlign w:val="bottom"/>
          </w:tcPr>
          <w:p>
            <w:pPr>
              <w:jc w:val="right"/>
              <w:ind w:right="249"/>
              <w:spacing w:after="0"/>
              <w:rPr>
                <w:sz w:val="20"/>
                <w:szCs w:val="20"/>
                <w:color w:val="auto"/>
              </w:rPr>
            </w:pPr>
            <w:r>
              <w:rPr>
                <w:rFonts w:ascii="Arial" w:cs="Arial" w:eastAsia="Arial" w:hAnsi="Arial"/>
                <w:sz w:val="13"/>
                <w:szCs w:val="13"/>
                <w:color w:val="376DB5"/>
              </w:rPr>
              <w:t>($)</w:t>
            </w:r>
          </w:p>
        </w:tc>
        <w:tc>
          <w:tcPr>
            <w:tcW w:w="600" w:type="dxa"/>
            <w:vAlign w:val="bottom"/>
          </w:tcPr>
          <w:p>
            <w:pPr>
              <w:jc w:val="right"/>
              <w:ind w:right="49"/>
              <w:spacing w:after="0"/>
              <w:rPr>
                <w:sz w:val="20"/>
                <w:szCs w:val="20"/>
                <w:color w:val="auto"/>
              </w:rPr>
            </w:pPr>
            <w:r>
              <w:rPr>
                <w:rFonts w:ascii="Arial" w:cs="Arial" w:eastAsia="Arial" w:hAnsi="Arial"/>
                <w:sz w:val="13"/>
                <w:szCs w:val="13"/>
                <w:color w:val="376DB5"/>
              </w:rPr>
              <w:t>      ($)</w:t>
            </w:r>
          </w:p>
        </w:tc>
        <w:tc>
          <w:tcPr>
            <w:tcW w:w="980" w:type="dxa"/>
            <w:vAlign w:val="bottom"/>
          </w:tcPr>
          <w:p>
            <w:pPr>
              <w:jc w:val="center"/>
              <w:spacing w:after="0"/>
              <w:rPr>
                <w:sz w:val="20"/>
                <w:szCs w:val="20"/>
                <w:color w:val="auto"/>
              </w:rPr>
            </w:pPr>
            <w:r>
              <w:rPr>
                <w:rFonts w:ascii="Arial" w:cs="Arial" w:eastAsia="Arial" w:hAnsi="Arial"/>
                <w:sz w:val="13"/>
                <w:szCs w:val="13"/>
                <w:color w:val="376DB5"/>
              </w:rPr>
              <w:t>($)</w:t>
            </w:r>
            <w:r>
              <w:rPr>
                <w:rFonts w:ascii="Arial" w:cs="Arial" w:eastAsia="Arial" w:hAnsi="Arial"/>
                <w:sz w:val="8"/>
                <w:szCs w:val="8"/>
                <w:color w:val="376DB5"/>
              </w:rPr>
              <w:t>(1)(2)</w:t>
            </w:r>
          </w:p>
        </w:tc>
        <w:tc>
          <w:tcPr>
            <w:tcW w:w="980" w:type="dxa"/>
            <w:vAlign w:val="bottom"/>
          </w:tcPr>
          <w:p>
            <w:pPr>
              <w:jc w:val="center"/>
              <w:spacing w:after="0"/>
              <w:rPr>
                <w:sz w:val="20"/>
                <w:szCs w:val="20"/>
                <w:color w:val="auto"/>
              </w:rPr>
            </w:pPr>
            <w:r>
              <w:rPr>
                <w:rFonts w:ascii="Arial" w:cs="Arial" w:eastAsia="Arial" w:hAnsi="Arial"/>
                <w:sz w:val="13"/>
                <w:szCs w:val="13"/>
                <w:color w:val="376DB5"/>
              </w:rPr>
              <w:t>($)</w:t>
            </w:r>
            <w:r>
              <w:rPr>
                <w:rFonts w:ascii="Arial" w:cs="Arial" w:eastAsia="Arial" w:hAnsi="Arial"/>
                <w:sz w:val="8"/>
                <w:szCs w:val="8"/>
                <w:color w:val="376DB5"/>
              </w:rPr>
              <w:t>(3)</w:t>
            </w:r>
          </w:p>
        </w:tc>
        <w:tc>
          <w:tcPr>
            <w:tcW w:w="900" w:type="dxa"/>
            <w:vAlign w:val="bottom"/>
          </w:tcPr>
          <w:p>
            <w:pPr>
              <w:jc w:val="center"/>
              <w:spacing w:after="0"/>
              <w:rPr>
                <w:sz w:val="20"/>
                <w:szCs w:val="20"/>
                <w:color w:val="auto"/>
              </w:rPr>
            </w:pPr>
            <w:r>
              <w:rPr>
                <w:rFonts w:ascii="Arial" w:cs="Arial" w:eastAsia="Arial" w:hAnsi="Arial"/>
                <w:sz w:val="13"/>
                <w:szCs w:val="13"/>
                <w:color w:val="376DB5"/>
              </w:rPr>
              <w:t>($)</w:t>
            </w:r>
            <w:r>
              <w:rPr>
                <w:rFonts w:ascii="Arial" w:cs="Arial" w:eastAsia="Arial" w:hAnsi="Arial"/>
                <w:sz w:val="8"/>
                <w:szCs w:val="8"/>
                <w:color w:val="376DB5"/>
              </w:rPr>
              <w:t>(4)</w:t>
            </w:r>
          </w:p>
        </w:tc>
        <w:tc>
          <w:tcPr>
            <w:tcW w:w="1060" w:type="dxa"/>
            <w:vAlign w:val="bottom"/>
          </w:tcPr>
          <w:p>
            <w:pPr>
              <w:jc w:val="center"/>
              <w:spacing w:after="0"/>
              <w:rPr>
                <w:sz w:val="20"/>
                <w:szCs w:val="20"/>
                <w:color w:val="auto"/>
              </w:rPr>
            </w:pPr>
            <w:r>
              <w:rPr>
                <w:rFonts w:ascii="Arial" w:cs="Arial" w:eastAsia="Arial" w:hAnsi="Arial"/>
                <w:sz w:val="13"/>
                <w:szCs w:val="13"/>
                <w:color w:val="376DB5"/>
                <w:w w:val="87"/>
              </w:rPr>
              <w:t>($)</w:t>
            </w:r>
          </w:p>
        </w:tc>
        <w:tc>
          <w:tcPr>
            <w:tcW w:w="1080" w:type="dxa"/>
            <w:vAlign w:val="bottom"/>
          </w:tcPr>
          <w:p>
            <w:pPr>
              <w:jc w:val="center"/>
              <w:spacing w:after="0"/>
              <w:rPr>
                <w:sz w:val="20"/>
                <w:szCs w:val="20"/>
                <w:color w:val="auto"/>
              </w:rPr>
            </w:pPr>
            <w:r>
              <w:rPr>
                <w:rFonts w:ascii="Arial" w:cs="Arial" w:eastAsia="Arial" w:hAnsi="Arial"/>
                <w:sz w:val="13"/>
                <w:szCs w:val="13"/>
                <w:color w:val="376DB5"/>
              </w:rPr>
              <w:t>($)</w:t>
            </w:r>
            <w:r>
              <w:rPr>
                <w:rFonts w:ascii="Arial" w:cs="Arial" w:eastAsia="Arial" w:hAnsi="Arial"/>
                <w:sz w:val="8"/>
                <w:szCs w:val="8"/>
                <w:color w:val="376DB5"/>
              </w:rPr>
              <w:t>(5)</w:t>
            </w:r>
          </w:p>
        </w:tc>
        <w:tc>
          <w:tcPr>
            <w:tcW w:w="900" w:type="dxa"/>
            <w:vAlign w:val="bottom"/>
          </w:tcPr>
          <w:p>
            <w:pPr>
              <w:jc w:val="right"/>
              <w:ind w:right="209"/>
              <w:spacing w:after="0"/>
              <w:rPr>
                <w:sz w:val="20"/>
                <w:szCs w:val="20"/>
                <w:color w:val="auto"/>
              </w:rPr>
            </w:pPr>
            <w:r>
              <w:rPr>
                <w:rFonts w:ascii="Arial" w:cs="Arial" w:eastAsia="Arial" w:hAnsi="Arial"/>
                <w:sz w:val="13"/>
                <w:szCs w:val="13"/>
                <w:color w:val="376DB5"/>
              </w:rPr>
              <w:t>     ($)</w:t>
            </w:r>
          </w:p>
        </w:tc>
        <w:tc>
          <w:tcPr>
            <w:tcW w:w="0" w:type="dxa"/>
            <w:vAlign w:val="bottom"/>
          </w:tcPr>
          <w:p>
            <w:pPr>
              <w:spacing w:after="0"/>
              <w:rPr>
                <w:sz w:val="1"/>
                <w:szCs w:val="1"/>
                <w:color w:val="auto"/>
              </w:rPr>
            </w:pPr>
          </w:p>
        </w:tc>
      </w:tr>
      <w:tr>
        <w:trPr>
          <w:trHeight w:val="41"/>
        </w:trPr>
        <w:tc>
          <w:tcPr>
            <w:tcW w:w="1760" w:type="dxa"/>
            <w:vAlign w:val="bottom"/>
            <w:tcBorders>
              <w:bottom w:val="single" w:sz="8" w:color="376DB5"/>
            </w:tcBorders>
          </w:tcPr>
          <w:p>
            <w:pPr>
              <w:spacing w:after="0"/>
              <w:rPr>
                <w:sz w:val="3"/>
                <w:szCs w:val="3"/>
                <w:color w:val="auto"/>
              </w:rPr>
            </w:pPr>
          </w:p>
        </w:tc>
        <w:tc>
          <w:tcPr>
            <w:tcW w:w="1320" w:type="dxa"/>
            <w:vAlign w:val="bottom"/>
            <w:tcBorders>
              <w:bottom w:val="single" w:sz="8" w:color="376DB5"/>
            </w:tcBorders>
          </w:tcPr>
          <w:p>
            <w:pPr>
              <w:spacing w:after="0"/>
              <w:rPr>
                <w:sz w:val="3"/>
                <w:szCs w:val="3"/>
                <w:color w:val="auto"/>
              </w:rPr>
            </w:pPr>
          </w:p>
        </w:tc>
        <w:tc>
          <w:tcPr>
            <w:tcW w:w="580" w:type="dxa"/>
            <w:vAlign w:val="bottom"/>
            <w:tcBorders>
              <w:bottom w:val="single" w:sz="8" w:color="376DB5"/>
            </w:tcBorders>
            <w:gridSpan w:val="2"/>
          </w:tcPr>
          <w:p>
            <w:pPr>
              <w:spacing w:after="0"/>
              <w:rPr>
                <w:sz w:val="3"/>
                <w:szCs w:val="3"/>
                <w:color w:val="auto"/>
              </w:rPr>
            </w:pPr>
          </w:p>
        </w:tc>
        <w:tc>
          <w:tcPr>
            <w:tcW w:w="860" w:type="dxa"/>
            <w:vAlign w:val="bottom"/>
            <w:tcBorders>
              <w:bottom w:val="single" w:sz="8" w:color="376DB5"/>
            </w:tcBorders>
          </w:tcPr>
          <w:p>
            <w:pPr>
              <w:spacing w:after="0"/>
              <w:rPr>
                <w:sz w:val="3"/>
                <w:szCs w:val="3"/>
                <w:color w:val="auto"/>
              </w:rPr>
            </w:pPr>
          </w:p>
        </w:tc>
        <w:tc>
          <w:tcPr>
            <w:tcW w:w="600" w:type="dxa"/>
            <w:vAlign w:val="bottom"/>
            <w:tcBorders>
              <w:bottom w:val="single" w:sz="8" w:color="376DB5"/>
            </w:tcBorders>
          </w:tcPr>
          <w:p>
            <w:pPr>
              <w:spacing w:after="0"/>
              <w:rPr>
                <w:sz w:val="3"/>
                <w:szCs w:val="3"/>
                <w:color w:val="auto"/>
              </w:rPr>
            </w:pPr>
          </w:p>
        </w:tc>
        <w:tc>
          <w:tcPr>
            <w:tcW w:w="980" w:type="dxa"/>
            <w:vAlign w:val="bottom"/>
            <w:tcBorders>
              <w:bottom w:val="single" w:sz="8" w:color="376DB5"/>
            </w:tcBorders>
          </w:tcPr>
          <w:p>
            <w:pPr>
              <w:spacing w:after="0"/>
              <w:rPr>
                <w:sz w:val="3"/>
                <w:szCs w:val="3"/>
                <w:color w:val="auto"/>
              </w:rPr>
            </w:pPr>
          </w:p>
        </w:tc>
        <w:tc>
          <w:tcPr>
            <w:tcW w:w="980" w:type="dxa"/>
            <w:vAlign w:val="bottom"/>
            <w:tcBorders>
              <w:bottom w:val="single" w:sz="8" w:color="376DB5"/>
            </w:tcBorders>
          </w:tcPr>
          <w:p>
            <w:pPr>
              <w:spacing w:after="0"/>
              <w:rPr>
                <w:sz w:val="3"/>
                <w:szCs w:val="3"/>
                <w:color w:val="auto"/>
              </w:rPr>
            </w:pPr>
          </w:p>
        </w:tc>
        <w:tc>
          <w:tcPr>
            <w:tcW w:w="900" w:type="dxa"/>
            <w:vAlign w:val="bottom"/>
            <w:tcBorders>
              <w:bottom w:val="single" w:sz="8" w:color="376DB5"/>
            </w:tcBorders>
          </w:tcPr>
          <w:p>
            <w:pPr>
              <w:spacing w:after="0"/>
              <w:rPr>
                <w:sz w:val="3"/>
                <w:szCs w:val="3"/>
                <w:color w:val="auto"/>
              </w:rPr>
            </w:pPr>
          </w:p>
        </w:tc>
        <w:tc>
          <w:tcPr>
            <w:tcW w:w="1060" w:type="dxa"/>
            <w:vAlign w:val="bottom"/>
            <w:tcBorders>
              <w:bottom w:val="single" w:sz="8" w:color="376DB5"/>
            </w:tcBorders>
          </w:tcPr>
          <w:p>
            <w:pPr>
              <w:spacing w:after="0"/>
              <w:rPr>
                <w:sz w:val="3"/>
                <w:szCs w:val="3"/>
                <w:color w:val="auto"/>
              </w:rPr>
            </w:pPr>
          </w:p>
        </w:tc>
        <w:tc>
          <w:tcPr>
            <w:tcW w:w="1080" w:type="dxa"/>
            <w:vAlign w:val="bottom"/>
            <w:tcBorders>
              <w:bottom w:val="single" w:sz="8" w:color="376DB5"/>
            </w:tcBorders>
          </w:tcPr>
          <w:p>
            <w:pPr>
              <w:spacing w:after="0"/>
              <w:rPr>
                <w:sz w:val="3"/>
                <w:szCs w:val="3"/>
                <w:color w:val="auto"/>
              </w:rPr>
            </w:pPr>
          </w:p>
        </w:tc>
        <w:tc>
          <w:tcPr>
            <w:tcW w:w="900" w:type="dxa"/>
            <w:vAlign w:val="bottom"/>
            <w:tcBorders>
              <w:bottom w:val="single" w:sz="8" w:color="376DB5"/>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080" w:type="dxa"/>
            <w:vAlign w:val="bottom"/>
            <w:gridSpan w:val="2"/>
          </w:tcPr>
          <w:p>
            <w:pPr>
              <w:spacing w:after="0"/>
              <w:rPr>
                <w:sz w:val="20"/>
                <w:szCs w:val="20"/>
                <w:color w:val="auto"/>
              </w:rPr>
            </w:pPr>
            <w:r>
              <w:rPr>
                <w:rFonts w:ascii="Arial" w:cs="Arial" w:eastAsia="Arial" w:hAnsi="Arial"/>
                <w:sz w:val="14"/>
                <w:szCs w:val="14"/>
                <w:color w:val="auto"/>
              </w:rPr>
              <w:t>William Lansing</w:t>
            </w: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2025</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750,000</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34,091,860</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1,100,000</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103,407</w:t>
            </w:r>
          </w:p>
        </w:tc>
        <w:tc>
          <w:tcPr>
            <w:tcW w:w="900" w:type="dxa"/>
            <w:vAlign w:val="bottom"/>
          </w:tcPr>
          <w:p>
            <w:pPr>
              <w:jc w:val="right"/>
              <w:spacing w:after="0"/>
              <w:rPr>
                <w:sz w:val="20"/>
                <w:szCs w:val="20"/>
                <w:color w:val="auto"/>
              </w:rPr>
            </w:pPr>
            <w:r>
              <w:rPr>
                <w:rFonts w:ascii="Arial" w:cs="Arial" w:eastAsia="Arial" w:hAnsi="Arial"/>
                <w:sz w:val="14"/>
                <w:szCs w:val="14"/>
                <w:color w:val="auto"/>
              </w:rPr>
              <w:t>36,045,267</w:t>
            </w:r>
          </w:p>
        </w:tc>
        <w:tc>
          <w:tcPr>
            <w:tcW w:w="0" w:type="dxa"/>
            <w:vAlign w:val="bottom"/>
          </w:tcPr>
          <w:p>
            <w:pPr>
              <w:spacing w:after="0"/>
              <w:rPr>
                <w:sz w:val="1"/>
                <w:szCs w:val="1"/>
                <w:color w:val="auto"/>
              </w:rPr>
            </w:pPr>
          </w:p>
        </w:tc>
      </w:tr>
      <w:tr>
        <w:trPr>
          <w:trHeight w:val="270"/>
        </w:trPr>
        <w:tc>
          <w:tcPr>
            <w:tcW w:w="3080" w:type="dxa"/>
            <w:vAlign w:val="bottom"/>
            <w:gridSpan w:val="2"/>
          </w:tcPr>
          <w:p>
            <w:pPr>
              <w:ind w:left="140"/>
              <w:spacing w:after="0"/>
              <w:rPr>
                <w:sz w:val="20"/>
                <w:szCs w:val="20"/>
                <w:color w:val="auto"/>
              </w:rPr>
            </w:pPr>
            <w:r>
              <w:rPr>
                <w:rFonts w:ascii="Arial" w:cs="Arial" w:eastAsia="Arial" w:hAnsi="Arial"/>
                <w:sz w:val="14"/>
                <w:szCs w:val="14"/>
                <w:color w:val="auto"/>
              </w:rPr>
              <w:t>Chief Executive Officer</w:t>
            </w: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2024</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750,000</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33,311,064</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1,200,000</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299,471</w:t>
            </w:r>
          </w:p>
        </w:tc>
        <w:tc>
          <w:tcPr>
            <w:tcW w:w="900" w:type="dxa"/>
            <w:vAlign w:val="bottom"/>
          </w:tcPr>
          <w:p>
            <w:pPr>
              <w:jc w:val="right"/>
              <w:spacing w:after="0"/>
              <w:rPr>
                <w:sz w:val="20"/>
                <w:szCs w:val="20"/>
                <w:color w:val="auto"/>
              </w:rPr>
            </w:pPr>
            <w:r>
              <w:rPr>
                <w:rFonts w:ascii="Arial" w:cs="Arial" w:eastAsia="Arial" w:hAnsi="Arial"/>
                <w:sz w:val="14"/>
                <w:szCs w:val="14"/>
                <w:color w:val="auto"/>
              </w:rPr>
              <w:t>35,560,535</w:t>
            </w: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2023</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750,000</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48,996,329</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15,347,003</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1,200,000</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56,630</w:t>
            </w:r>
          </w:p>
        </w:tc>
        <w:tc>
          <w:tcPr>
            <w:tcW w:w="900" w:type="dxa"/>
            <w:vAlign w:val="bottom"/>
          </w:tcPr>
          <w:p>
            <w:pPr>
              <w:jc w:val="right"/>
              <w:spacing w:after="0"/>
              <w:rPr>
                <w:sz w:val="20"/>
                <w:szCs w:val="20"/>
                <w:color w:val="auto"/>
              </w:rPr>
            </w:pPr>
            <w:r>
              <w:rPr>
                <w:rFonts w:ascii="Arial" w:cs="Arial" w:eastAsia="Arial" w:hAnsi="Arial"/>
                <w:sz w:val="14"/>
                <w:szCs w:val="14"/>
                <w:color w:val="auto"/>
              </w:rPr>
              <w:t>66,349,962</w:t>
            </w:r>
          </w:p>
        </w:tc>
        <w:tc>
          <w:tcPr>
            <w:tcW w:w="0" w:type="dxa"/>
            <w:vAlign w:val="bottom"/>
          </w:tcPr>
          <w:p>
            <w:pPr>
              <w:spacing w:after="0"/>
              <w:rPr>
                <w:sz w:val="1"/>
                <w:szCs w:val="1"/>
                <w:color w:val="auto"/>
              </w:rPr>
            </w:pPr>
          </w:p>
        </w:tc>
      </w:tr>
      <w:tr>
        <w:trPr>
          <w:trHeight w:val="35"/>
        </w:trPr>
        <w:tc>
          <w:tcPr>
            <w:tcW w:w="1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308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Steven Weber</w:t>
            </w:r>
          </w:p>
        </w:tc>
        <w:tc>
          <w:tcPr>
            <w:tcW w:w="580" w:type="dxa"/>
            <w:vAlign w:val="bottom"/>
            <w:gridSpan w:val="2"/>
            <w:shd w:val="clear" w:color="auto" w:fill="F2F2F2"/>
          </w:tcPr>
          <w:p>
            <w:pPr>
              <w:ind w:left="220"/>
              <w:spacing w:after="0"/>
              <w:rPr>
                <w:sz w:val="20"/>
                <w:szCs w:val="20"/>
                <w:color w:val="auto"/>
              </w:rPr>
            </w:pPr>
            <w:r>
              <w:rPr>
                <w:rFonts w:ascii="Arial" w:cs="Arial" w:eastAsia="Arial" w:hAnsi="Arial"/>
                <w:sz w:val="14"/>
                <w:szCs w:val="14"/>
                <w:color w:val="auto"/>
              </w:rPr>
              <w:t>2025</w:t>
            </w:r>
          </w:p>
        </w:tc>
        <w:tc>
          <w:tcPr>
            <w:tcW w:w="860" w:type="dxa"/>
            <w:vAlign w:val="bottom"/>
            <w:shd w:val="clear" w:color="auto" w:fill="F2F2F2"/>
          </w:tcPr>
          <w:p>
            <w:pPr>
              <w:jc w:val="right"/>
              <w:ind w:right="29"/>
              <w:spacing w:after="0"/>
              <w:rPr>
                <w:sz w:val="20"/>
                <w:szCs w:val="20"/>
                <w:color w:val="auto"/>
              </w:rPr>
            </w:pPr>
            <w:r>
              <w:rPr>
                <w:rFonts w:ascii="Arial" w:cs="Arial" w:eastAsia="Arial" w:hAnsi="Arial"/>
                <w:sz w:val="14"/>
                <w:szCs w:val="14"/>
                <w:color w:val="auto"/>
              </w:rPr>
              <w:t>400,000</w:t>
            </w:r>
          </w:p>
        </w:tc>
        <w:tc>
          <w:tcPr>
            <w:tcW w:w="600" w:type="dxa"/>
            <w:vAlign w:val="bottom"/>
            <w:shd w:val="clear" w:color="auto" w:fill="F2F2F2"/>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shd w:val="clear" w:color="auto" w:fill="F2F2F2"/>
          </w:tcPr>
          <w:p>
            <w:pPr>
              <w:jc w:val="right"/>
              <w:ind w:right="50"/>
              <w:spacing w:after="0"/>
              <w:rPr>
                <w:sz w:val="20"/>
                <w:szCs w:val="20"/>
                <w:color w:val="auto"/>
              </w:rPr>
            </w:pPr>
            <w:r>
              <w:rPr>
                <w:rFonts w:ascii="Arial" w:cs="Arial" w:eastAsia="Arial" w:hAnsi="Arial"/>
                <w:sz w:val="14"/>
                <w:szCs w:val="14"/>
                <w:color w:val="auto"/>
              </w:rPr>
              <w:t>6,255,247</w:t>
            </w:r>
          </w:p>
        </w:tc>
        <w:tc>
          <w:tcPr>
            <w:tcW w:w="980" w:type="dxa"/>
            <w:vAlign w:val="bottom"/>
            <w:shd w:val="clear" w:color="auto" w:fill="F2F2F2"/>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shd w:val="clear" w:color="auto" w:fill="F2F2F2"/>
          </w:tcPr>
          <w:p>
            <w:pPr>
              <w:jc w:val="right"/>
              <w:ind w:right="50"/>
              <w:spacing w:after="0"/>
              <w:rPr>
                <w:sz w:val="20"/>
                <w:szCs w:val="20"/>
                <w:color w:val="auto"/>
              </w:rPr>
            </w:pPr>
            <w:r>
              <w:rPr>
                <w:rFonts w:ascii="Arial" w:cs="Arial" w:eastAsia="Arial" w:hAnsi="Arial"/>
                <w:sz w:val="14"/>
                <w:szCs w:val="14"/>
                <w:color w:val="auto"/>
              </w:rPr>
              <w:t>250,000</w:t>
            </w:r>
          </w:p>
        </w:tc>
        <w:tc>
          <w:tcPr>
            <w:tcW w:w="1060" w:type="dxa"/>
            <w:vAlign w:val="bottom"/>
            <w:shd w:val="clear" w:color="auto" w:fill="F2F2F2"/>
          </w:tcPr>
          <w:p>
            <w:pPr>
              <w:jc w:val="right"/>
              <w:ind w:right="51"/>
              <w:spacing w:after="0"/>
              <w:rPr>
                <w:sz w:val="20"/>
                <w:szCs w:val="20"/>
                <w:color w:val="auto"/>
              </w:rPr>
            </w:pPr>
            <w:r>
              <w:rPr>
                <w:rFonts w:ascii="Arial" w:cs="Arial" w:eastAsia="Arial" w:hAnsi="Arial"/>
                <w:sz w:val="14"/>
                <w:szCs w:val="14"/>
                <w:color w:val="auto"/>
              </w:rPr>
              <w:t>—</w:t>
            </w:r>
          </w:p>
        </w:tc>
        <w:tc>
          <w:tcPr>
            <w:tcW w:w="1080" w:type="dxa"/>
            <w:vAlign w:val="bottom"/>
            <w:shd w:val="clear" w:color="auto" w:fill="F2F2F2"/>
          </w:tcPr>
          <w:p>
            <w:pPr>
              <w:jc w:val="right"/>
              <w:ind w:right="70"/>
              <w:spacing w:after="0"/>
              <w:rPr>
                <w:sz w:val="20"/>
                <w:szCs w:val="20"/>
                <w:color w:val="auto"/>
              </w:rPr>
            </w:pPr>
            <w:r>
              <w:rPr>
                <w:rFonts w:ascii="Arial" w:cs="Arial" w:eastAsia="Arial" w:hAnsi="Arial"/>
                <w:sz w:val="14"/>
                <w:szCs w:val="14"/>
                <w:color w:val="auto"/>
              </w:rPr>
              <w:t>53,585</w:t>
            </w:r>
          </w:p>
        </w:tc>
        <w:tc>
          <w:tcPr>
            <w:tcW w:w="9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6,958,832</w:t>
            </w:r>
          </w:p>
        </w:tc>
        <w:tc>
          <w:tcPr>
            <w:tcW w:w="0" w:type="dxa"/>
            <w:vAlign w:val="bottom"/>
          </w:tcPr>
          <w:p>
            <w:pPr>
              <w:spacing w:after="0"/>
              <w:rPr>
                <w:sz w:val="1"/>
                <w:szCs w:val="1"/>
                <w:color w:val="auto"/>
              </w:rPr>
            </w:pPr>
          </w:p>
        </w:tc>
      </w:tr>
      <w:tr>
        <w:trPr>
          <w:trHeight w:val="242"/>
        </w:trPr>
        <w:tc>
          <w:tcPr>
            <w:tcW w:w="3080" w:type="dxa"/>
            <w:vAlign w:val="bottom"/>
            <w:gridSpan w:val="2"/>
            <w:shd w:val="clear" w:color="auto" w:fill="F2F2F2"/>
          </w:tcPr>
          <w:p>
            <w:pPr>
              <w:ind w:left="140"/>
              <w:spacing w:after="0"/>
              <w:rPr>
                <w:sz w:val="20"/>
                <w:szCs w:val="20"/>
                <w:color w:val="auto"/>
              </w:rPr>
            </w:pPr>
            <w:r>
              <w:rPr>
                <w:rFonts w:ascii="Arial" w:cs="Arial" w:eastAsia="Arial" w:hAnsi="Arial"/>
                <w:sz w:val="14"/>
                <w:szCs w:val="14"/>
                <w:color w:val="auto"/>
              </w:rPr>
              <w:t>Executive Vice President and</w:t>
            </w:r>
          </w:p>
        </w:tc>
        <w:tc>
          <w:tcPr>
            <w:tcW w:w="180" w:type="dxa"/>
            <w:vAlign w:val="bottom"/>
            <w:shd w:val="clear" w:color="auto" w:fill="F2F2F2"/>
          </w:tcPr>
          <w:p>
            <w:pPr>
              <w:spacing w:after="0"/>
              <w:rPr>
                <w:sz w:val="21"/>
                <w:szCs w:val="21"/>
                <w:color w:val="auto"/>
              </w:rPr>
            </w:pPr>
          </w:p>
        </w:tc>
        <w:tc>
          <w:tcPr>
            <w:tcW w:w="400" w:type="dxa"/>
            <w:vAlign w:val="bottom"/>
            <w:shd w:val="clear" w:color="auto" w:fill="F2F2F2"/>
          </w:tcPr>
          <w:p>
            <w:pPr>
              <w:ind w:left="40"/>
              <w:spacing w:after="0"/>
              <w:rPr>
                <w:sz w:val="20"/>
                <w:szCs w:val="20"/>
                <w:color w:val="auto"/>
              </w:rPr>
            </w:pPr>
            <w:r>
              <w:rPr>
                <w:rFonts w:ascii="Arial" w:cs="Arial" w:eastAsia="Arial" w:hAnsi="Arial"/>
                <w:sz w:val="14"/>
                <w:szCs w:val="14"/>
                <w:color w:val="auto"/>
              </w:rPr>
              <w:t>2024</w:t>
            </w:r>
          </w:p>
        </w:tc>
        <w:tc>
          <w:tcPr>
            <w:tcW w:w="860" w:type="dxa"/>
            <w:vAlign w:val="bottom"/>
            <w:shd w:val="clear" w:color="auto" w:fill="F2F2F2"/>
          </w:tcPr>
          <w:p>
            <w:pPr>
              <w:jc w:val="right"/>
              <w:ind w:right="29"/>
              <w:spacing w:after="0"/>
              <w:rPr>
                <w:sz w:val="20"/>
                <w:szCs w:val="20"/>
                <w:color w:val="auto"/>
              </w:rPr>
            </w:pPr>
            <w:r>
              <w:rPr>
                <w:rFonts w:ascii="Arial" w:cs="Arial" w:eastAsia="Arial" w:hAnsi="Arial"/>
                <w:sz w:val="14"/>
                <w:szCs w:val="14"/>
                <w:color w:val="auto"/>
              </w:rPr>
              <w:t>400,000</w:t>
            </w:r>
          </w:p>
        </w:tc>
        <w:tc>
          <w:tcPr>
            <w:tcW w:w="600" w:type="dxa"/>
            <w:vAlign w:val="bottom"/>
            <w:shd w:val="clear" w:color="auto" w:fill="F2F2F2"/>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shd w:val="clear" w:color="auto" w:fill="F2F2F2"/>
          </w:tcPr>
          <w:p>
            <w:pPr>
              <w:jc w:val="right"/>
              <w:ind w:right="50"/>
              <w:spacing w:after="0"/>
              <w:rPr>
                <w:sz w:val="20"/>
                <w:szCs w:val="20"/>
                <w:color w:val="auto"/>
              </w:rPr>
            </w:pPr>
            <w:r>
              <w:rPr>
                <w:rFonts w:ascii="Arial" w:cs="Arial" w:eastAsia="Arial" w:hAnsi="Arial"/>
                <w:sz w:val="14"/>
                <w:szCs w:val="14"/>
                <w:color w:val="auto"/>
              </w:rPr>
              <w:t>6,662,212</w:t>
            </w:r>
          </w:p>
        </w:tc>
        <w:tc>
          <w:tcPr>
            <w:tcW w:w="980" w:type="dxa"/>
            <w:vAlign w:val="bottom"/>
            <w:shd w:val="clear" w:color="auto" w:fill="F2F2F2"/>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shd w:val="clear" w:color="auto" w:fill="F2F2F2"/>
          </w:tcPr>
          <w:p>
            <w:pPr>
              <w:jc w:val="right"/>
              <w:ind w:right="50"/>
              <w:spacing w:after="0"/>
              <w:rPr>
                <w:sz w:val="20"/>
                <w:szCs w:val="20"/>
                <w:color w:val="auto"/>
              </w:rPr>
            </w:pPr>
            <w:r>
              <w:rPr>
                <w:rFonts w:ascii="Arial" w:cs="Arial" w:eastAsia="Arial" w:hAnsi="Arial"/>
                <w:sz w:val="14"/>
                <w:szCs w:val="14"/>
                <w:color w:val="auto"/>
              </w:rPr>
              <w:t>275,000</w:t>
            </w:r>
          </w:p>
        </w:tc>
        <w:tc>
          <w:tcPr>
            <w:tcW w:w="1060" w:type="dxa"/>
            <w:vAlign w:val="bottom"/>
            <w:shd w:val="clear" w:color="auto" w:fill="F2F2F2"/>
          </w:tcPr>
          <w:p>
            <w:pPr>
              <w:jc w:val="right"/>
              <w:ind w:right="51"/>
              <w:spacing w:after="0"/>
              <w:rPr>
                <w:sz w:val="20"/>
                <w:szCs w:val="20"/>
                <w:color w:val="auto"/>
              </w:rPr>
            </w:pPr>
            <w:r>
              <w:rPr>
                <w:rFonts w:ascii="Arial" w:cs="Arial" w:eastAsia="Arial" w:hAnsi="Arial"/>
                <w:sz w:val="14"/>
                <w:szCs w:val="14"/>
                <w:color w:val="auto"/>
              </w:rPr>
              <w:t>—</w:t>
            </w:r>
          </w:p>
        </w:tc>
        <w:tc>
          <w:tcPr>
            <w:tcW w:w="1080" w:type="dxa"/>
            <w:vAlign w:val="bottom"/>
            <w:shd w:val="clear" w:color="auto" w:fill="F2F2F2"/>
          </w:tcPr>
          <w:p>
            <w:pPr>
              <w:jc w:val="right"/>
              <w:ind w:right="70"/>
              <w:spacing w:after="0"/>
              <w:rPr>
                <w:sz w:val="20"/>
                <w:szCs w:val="20"/>
                <w:color w:val="auto"/>
              </w:rPr>
            </w:pPr>
            <w:r>
              <w:rPr>
                <w:rFonts w:ascii="Arial" w:cs="Arial" w:eastAsia="Arial" w:hAnsi="Arial"/>
                <w:sz w:val="14"/>
                <w:szCs w:val="14"/>
                <w:color w:val="auto"/>
              </w:rPr>
              <w:t>60,867</w:t>
            </w:r>
          </w:p>
        </w:tc>
        <w:tc>
          <w:tcPr>
            <w:tcW w:w="9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7,398,079</w:t>
            </w:r>
          </w:p>
        </w:tc>
        <w:tc>
          <w:tcPr>
            <w:tcW w:w="0" w:type="dxa"/>
            <w:vAlign w:val="bottom"/>
          </w:tcPr>
          <w:p>
            <w:pPr>
              <w:spacing w:after="0"/>
              <w:rPr>
                <w:sz w:val="1"/>
                <w:szCs w:val="1"/>
                <w:color w:val="auto"/>
              </w:rPr>
            </w:pPr>
          </w:p>
        </w:tc>
      </w:tr>
      <w:tr>
        <w:trPr>
          <w:trHeight w:val="190"/>
        </w:trPr>
        <w:tc>
          <w:tcPr>
            <w:tcW w:w="3080" w:type="dxa"/>
            <w:vAlign w:val="bottom"/>
            <w:gridSpan w:val="2"/>
            <w:shd w:val="clear" w:color="auto" w:fill="F2F2F2"/>
          </w:tcPr>
          <w:p>
            <w:pPr>
              <w:ind w:left="140"/>
              <w:spacing w:after="0"/>
              <w:rPr>
                <w:sz w:val="20"/>
                <w:szCs w:val="20"/>
                <w:color w:val="auto"/>
              </w:rPr>
            </w:pPr>
            <w:r>
              <w:rPr>
                <w:rFonts w:ascii="Arial" w:cs="Arial" w:eastAsia="Arial" w:hAnsi="Arial"/>
                <w:sz w:val="14"/>
                <w:szCs w:val="14"/>
                <w:color w:val="auto"/>
              </w:rPr>
              <w:t>Chief Financial Officer</w:t>
            </w:r>
          </w:p>
        </w:tc>
        <w:tc>
          <w:tcPr>
            <w:tcW w:w="180" w:type="dxa"/>
            <w:vAlign w:val="bottom"/>
            <w:shd w:val="clear" w:color="auto" w:fill="F2F2F2"/>
          </w:tcPr>
          <w:p>
            <w:pPr>
              <w:spacing w:after="0"/>
              <w:rPr>
                <w:sz w:val="16"/>
                <w:szCs w:val="16"/>
                <w:color w:val="auto"/>
              </w:rPr>
            </w:pPr>
          </w:p>
        </w:tc>
        <w:tc>
          <w:tcPr>
            <w:tcW w:w="400" w:type="dxa"/>
            <w:vAlign w:val="bottom"/>
            <w:vMerge w:val="restart"/>
            <w:shd w:val="clear" w:color="auto" w:fill="F2F2F2"/>
          </w:tcPr>
          <w:p>
            <w:pPr>
              <w:ind w:left="40"/>
              <w:spacing w:after="0"/>
              <w:rPr>
                <w:sz w:val="20"/>
                <w:szCs w:val="20"/>
                <w:color w:val="auto"/>
              </w:rPr>
            </w:pPr>
            <w:r>
              <w:rPr>
                <w:rFonts w:ascii="Arial" w:cs="Arial" w:eastAsia="Arial" w:hAnsi="Arial"/>
                <w:sz w:val="14"/>
                <w:szCs w:val="14"/>
                <w:color w:val="auto"/>
              </w:rPr>
              <w:t>2023</w:t>
            </w:r>
          </w:p>
        </w:tc>
        <w:tc>
          <w:tcPr>
            <w:tcW w:w="860" w:type="dxa"/>
            <w:vAlign w:val="bottom"/>
            <w:vMerge w:val="restart"/>
            <w:shd w:val="clear" w:color="auto" w:fill="F2F2F2"/>
          </w:tcPr>
          <w:p>
            <w:pPr>
              <w:jc w:val="right"/>
              <w:ind w:right="29"/>
              <w:spacing w:after="0"/>
              <w:rPr>
                <w:sz w:val="20"/>
                <w:szCs w:val="20"/>
                <w:color w:val="auto"/>
              </w:rPr>
            </w:pPr>
            <w:r>
              <w:rPr>
                <w:rFonts w:ascii="Arial" w:cs="Arial" w:eastAsia="Arial" w:hAnsi="Arial"/>
                <w:sz w:val="14"/>
                <w:szCs w:val="14"/>
                <w:color w:val="auto"/>
              </w:rPr>
              <w:t>305,577</w:t>
            </w:r>
          </w:p>
        </w:tc>
        <w:tc>
          <w:tcPr>
            <w:tcW w:w="600" w:type="dxa"/>
            <w:vAlign w:val="bottom"/>
            <w:vMerge w:val="restart"/>
            <w:shd w:val="clear" w:color="auto" w:fill="F2F2F2"/>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F2F2F2"/>
          </w:tcPr>
          <w:p>
            <w:pPr>
              <w:jc w:val="right"/>
              <w:ind w:right="50"/>
              <w:spacing w:after="0"/>
              <w:rPr>
                <w:sz w:val="20"/>
                <w:szCs w:val="20"/>
                <w:color w:val="auto"/>
              </w:rPr>
            </w:pPr>
            <w:r>
              <w:rPr>
                <w:rFonts w:ascii="Arial" w:cs="Arial" w:eastAsia="Arial" w:hAnsi="Arial"/>
                <w:sz w:val="14"/>
                <w:szCs w:val="14"/>
                <w:color w:val="auto"/>
              </w:rPr>
              <w:t>4,079,517</w:t>
            </w:r>
          </w:p>
        </w:tc>
        <w:tc>
          <w:tcPr>
            <w:tcW w:w="980" w:type="dxa"/>
            <w:vAlign w:val="bottom"/>
            <w:vMerge w:val="restart"/>
            <w:shd w:val="clear" w:color="auto" w:fill="F2F2F2"/>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F2F2F2"/>
          </w:tcPr>
          <w:p>
            <w:pPr>
              <w:jc w:val="right"/>
              <w:ind w:right="50"/>
              <w:spacing w:after="0"/>
              <w:rPr>
                <w:sz w:val="20"/>
                <w:szCs w:val="20"/>
                <w:color w:val="auto"/>
              </w:rPr>
            </w:pPr>
            <w:r>
              <w:rPr>
                <w:rFonts w:ascii="Arial" w:cs="Arial" w:eastAsia="Arial" w:hAnsi="Arial"/>
                <w:sz w:val="14"/>
                <w:szCs w:val="14"/>
                <w:color w:val="auto"/>
              </w:rPr>
              <w:t>275,000</w:t>
            </w:r>
          </w:p>
        </w:tc>
        <w:tc>
          <w:tcPr>
            <w:tcW w:w="1060" w:type="dxa"/>
            <w:vAlign w:val="bottom"/>
            <w:vMerge w:val="restart"/>
            <w:shd w:val="clear" w:color="auto" w:fill="F2F2F2"/>
          </w:tcPr>
          <w:p>
            <w:pPr>
              <w:jc w:val="right"/>
              <w:ind w:right="51"/>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F2F2F2"/>
          </w:tcPr>
          <w:p>
            <w:pPr>
              <w:jc w:val="right"/>
              <w:ind w:right="70"/>
              <w:spacing w:after="0"/>
              <w:rPr>
                <w:sz w:val="20"/>
                <w:szCs w:val="20"/>
                <w:color w:val="auto"/>
              </w:rPr>
            </w:pPr>
            <w:r>
              <w:rPr>
                <w:rFonts w:ascii="Arial" w:cs="Arial" w:eastAsia="Arial" w:hAnsi="Arial"/>
                <w:sz w:val="14"/>
                <w:szCs w:val="14"/>
                <w:color w:val="auto"/>
              </w:rPr>
              <w:t>24,098</w:t>
            </w:r>
          </w:p>
        </w:tc>
        <w:tc>
          <w:tcPr>
            <w:tcW w:w="90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4,684,192</w:t>
            </w:r>
          </w:p>
        </w:tc>
        <w:tc>
          <w:tcPr>
            <w:tcW w:w="0" w:type="dxa"/>
            <w:vAlign w:val="bottom"/>
          </w:tcPr>
          <w:p>
            <w:pPr>
              <w:spacing w:after="0"/>
              <w:rPr>
                <w:sz w:val="1"/>
                <w:szCs w:val="1"/>
                <w:color w:val="auto"/>
              </w:rPr>
            </w:pPr>
          </w:p>
        </w:tc>
      </w:tr>
      <w:tr>
        <w:trPr>
          <w:trHeight w:val="150"/>
        </w:trPr>
        <w:tc>
          <w:tcPr>
            <w:tcW w:w="1760" w:type="dxa"/>
            <w:vAlign w:val="bottom"/>
            <w:tcBorders>
              <w:bottom w:val="single" w:sz="8" w:color="F2F2F2"/>
            </w:tcBorders>
            <w:shd w:val="clear" w:color="auto" w:fill="F2F2F2"/>
          </w:tcPr>
          <w:p>
            <w:pPr>
              <w:spacing w:after="0"/>
              <w:rPr>
                <w:sz w:val="13"/>
                <w:szCs w:val="13"/>
                <w:color w:val="auto"/>
              </w:rPr>
            </w:pPr>
          </w:p>
        </w:tc>
        <w:tc>
          <w:tcPr>
            <w:tcW w:w="1320" w:type="dxa"/>
            <w:vAlign w:val="bottom"/>
            <w:tcBorders>
              <w:bottom w:val="single" w:sz="8" w:color="F2F2F2"/>
            </w:tcBorders>
            <w:shd w:val="clear" w:color="auto" w:fill="F2F2F2"/>
          </w:tcPr>
          <w:p>
            <w:pPr>
              <w:spacing w:after="0"/>
              <w:rPr>
                <w:sz w:val="13"/>
                <w:szCs w:val="13"/>
                <w:color w:val="auto"/>
              </w:rPr>
            </w:pPr>
          </w:p>
        </w:tc>
        <w:tc>
          <w:tcPr>
            <w:tcW w:w="180" w:type="dxa"/>
            <w:vAlign w:val="bottom"/>
            <w:tcBorders>
              <w:bottom w:val="single" w:sz="8" w:color="F2F2F2"/>
            </w:tcBorders>
            <w:shd w:val="clear" w:color="auto" w:fill="F2F2F2"/>
          </w:tcPr>
          <w:p>
            <w:pPr>
              <w:spacing w:after="0"/>
              <w:rPr>
                <w:sz w:val="13"/>
                <w:szCs w:val="13"/>
                <w:color w:val="auto"/>
              </w:rPr>
            </w:pPr>
          </w:p>
        </w:tc>
        <w:tc>
          <w:tcPr>
            <w:tcW w:w="400" w:type="dxa"/>
            <w:vAlign w:val="bottom"/>
            <w:tcBorders>
              <w:bottom w:val="single" w:sz="8" w:color="F2F2F2"/>
            </w:tcBorders>
            <w:vMerge w:val="continue"/>
            <w:shd w:val="clear" w:color="auto" w:fill="F2F2F2"/>
          </w:tcPr>
          <w:p>
            <w:pPr>
              <w:spacing w:after="0"/>
              <w:rPr>
                <w:sz w:val="13"/>
                <w:szCs w:val="13"/>
                <w:color w:val="auto"/>
              </w:rPr>
            </w:pPr>
          </w:p>
        </w:tc>
        <w:tc>
          <w:tcPr>
            <w:tcW w:w="860" w:type="dxa"/>
            <w:vAlign w:val="bottom"/>
            <w:tcBorders>
              <w:bottom w:val="single" w:sz="8" w:color="F2F2F2"/>
            </w:tcBorders>
            <w:vMerge w:val="continue"/>
            <w:shd w:val="clear" w:color="auto" w:fill="F2F2F2"/>
          </w:tcPr>
          <w:p>
            <w:pPr>
              <w:spacing w:after="0"/>
              <w:rPr>
                <w:sz w:val="13"/>
                <w:szCs w:val="13"/>
                <w:color w:val="auto"/>
              </w:rPr>
            </w:pPr>
          </w:p>
        </w:tc>
        <w:tc>
          <w:tcPr>
            <w:tcW w:w="600" w:type="dxa"/>
            <w:vAlign w:val="bottom"/>
            <w:tcBorders>
              <w:bottom w:val="single" w:sz="8" w:color="F2F2F2"/>
            </w:tcBorders>
            <w:vMerge w:val="continue"/>
            <w:shd w:val="clear" w:color="auto" w:fill="F2F2F2"/>
          </w:tcPr>
          <w:p>
            <w:pPr>
              <w:spacing w:after="0"/>
              <w:rPr>
                <w:sz w:val="13"/>
                <w:szCs w:val="13"/>
                <w:color w:val="auto"/>
              </w:rPr>
            </w:pPr>
          </w:p>
        </w:tc>
        <w:tc>
          <w:tcPr>
            <w:tcW w:w="980" w:type="dxa"/>
            <w:vAlign w:val="bottom"/>
            <w:tcBorders>
              <w:bottom w:val="single" w:sz="8" w:color="F2F2F2"/>
            </w:tcBorders>
            <w:vMerge w:val="continue"/>
            <w:shd w:val="clear" w:color="auto" w:fill="F2F2F2"/>
          </w:tcPr>
          <w:p>
            <w:pPr>
              <w:spacing w:after="0"/>
              <w:rPr>
                <w:sz w:val="13"/>
                <w:szCs w:val="13"/>
                <w:color w:val="auto"/>
              </w:rPr>
            </w:pPr>
          </w:p>
        </w:tc>
        <w:tc>
          <w:tcPr>
            <w:tcW w:w="980" w:type="dxa"/>
            <w:vAlign w:val="bottom"/>
            <w:tcBorders>
              <w:bottom w:val="single" w:sz="8" w:color="F2F2F2"/>
            </w:tcBorders>
            <w:vMerge w:val="continue"/>
            <w:shd w:val="clear" w:color="auto" w:fill="F2F2F2"/>
          </w:tcPr>
          <w:p>
            <w:pPr>
              <w:spacing w:after="0"/>
              <w:rPr>
                <w:sz w:val="13"/>
                <w:szCs w:val="13"/>
                <w:color w:val="auto"/>
              </w:rPr>
            </w:pPr>
          </w:p>
        </w:tc>
        <w:tc>
          <w:tcPr>
            <w:tcW w:w="900" w:type="dxa"/>
            <w:vAlign w:val="bottom"/>
            <w:tcBorders>
              <w:bottom w:val="single" w:sz="8" w:color="F2F2F2"/>
            </w:tcBorders>
            <w:vMerge w:val="continue"/>
            <w:shd w:val="clear" w:color="auto" w:fill="F2F2F2"/>
          </w:tcPr>
          <w:p>
            <w:pPr>
              <w:spacing w:after="0"/>
              <w:rPr>
                <w:sz w:val="13"/>
                <w:szCs w:val="13"/>
                <w:color w:val="auto"/>
              </w:rPr>
            </w:pPr>
          </w:p>
        </w:tc>
        <w:tc>
          <w:tcPr>
            <w:tcW w:w="1060" w:type="dxa"/>
            <w:vAlign w:val="bottom"/>
            <w:tcBorders>
              <w:bottom w:val="single" w:sz="8" w:color="F2F2F2"/>
            </w:tcBorders>
            <w:vMerge w:val="continue"/>
            <w:shd w:val="clear" w:color="auto" w:fill="F2F2F2"/>
          </w:tcPr>
          <w:p>
            <w:pPr>
              <w:spacing w:after="0"/>
              <w:rPr>
                <w:sz w:val="13"/>
                <w:szCs w:val="13"/>
                <w:color w:val="auto"/>
              </w:rPr>
            </w:pPr>
          </w:p>
        </w:tc>
        <w:tc>
          <w:tcPr>
            <w:tcW w:w="1080" w:type="dxa"/>
            <w:vAlign w:val="bottom"/>
            <w:tcBorders>
              <w:bottom w:val="single" w:sz="8" w:color="F2F2F2"/>
            </w:tcBorders>
            <w:vMerge w:val="continue"/>
            <w:shd w:val="clear" w:color="auto" w:fill="F2F2F2"/>
          </w:tcPr>
          <w:p>
            <w:pPr>
              <w:spacing w:after="0"/>
              <w:rPr>
                <w:sz w:val="13"/>
                <w:szCs w:val="13"/>
                <w:color w:val="auto"/>
              </w:rPr>
            </w:pPr>
          </w:p>
        </w:tc>
        <w:tc>
          <w:tcPr>
            <w:tcW w:w="900" w:type="dxa"/>
            <w:vAlign w:val="bottom"/>
            <w:tcBorders>
              <w:bottom w:val="single" w:sz="8" w:color="F2F2F2"/>
            </w:tcBorders>
            <w:vMerge w:val="continue"/>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3080" w:type="dxa"/>
            <w:vAlign w:val="bottom"/>
            <w:gridSpan w:val="2"/>
          </w:tcPr>
          <w:p>
            <w:pPr>
              <w:spacing w:after="0"/>
              <w:rPr>
                <w:sz w:val="20"/>
                <w:szCs w:val="20"/>
                <w:color w:val="auto"/>
              </w:rPr>
            </w:pPr>
            <w:r>
              <w:rPr>
                <w:rFonts w:ascii="Arial" w:cs="Arial" w:eastAsia="Arial" w:hAnsi="Arial"/>
                <w:sz w:val="14"/>
                <w:szCs w:val="14"/>
                <w:color w:val="auto"/>
              </w:rPr>
              <w:t>Nikhil Behl</w:t>
            </w:r>
            <w:r>
              <w:rPr>
                <w:rFonts w:ascii="Arial" w:cs="Arial" w:eastAsia="Arial" w:hAnsi="Arial"/>
                <w:sz w:val="21"/>
                <w:szCs w:val="21"/>
                <w:color w:val="auto"/>
                <w:vertAlign w:val="superscript"/>
              </w:rPr>
              <w:t>(6)</w:t>
            </w: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2025</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500,000</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6,818,373</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350,000</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59,490</w:t>
            </w:r>
          </w:p>
        </w:tc>
        <w:tc>
          <w:tcPr>
            <w:tcW w:w="900" w:type="dxa"/>
            <w:vAlign w:val="bottom"/>
          </w:tcPr>
          <w:p>
            <w:pPr>
              <w:jc w:val="right"/>
              <w:spacing w:after="0"/>
              <w:rPr>
                <w:sz w:val="20"/>
                <w:szCs w:val="20"/>
                <w:color w:val="auto"/>
              </w:rPr>
            </w:pPr>
            <w:r>
              <w:rPr>
                <w:rFonts w:ascii="Arial" w:cs="Arial" w:eastAsia="Arial" w:hAnsi="Arial"/>
                <w:sz w:val="14"/>
                <w:szCs w:val="14"/>
                <w:color w:val="auto"/>
              </w:rPr>
              <w:t>7,727,863</w:t>
            </w:r>
          </w:p>
        </w:tc>
        <w:tc>
          <w:tcPr>
            <w:tcW w:w="0" w:type="dxa"/>
            <w:vAlign w:val="bottom"/>
          </w:tcPr>
          <w:p>
            <w:pPr>
              <w:spacing w:after="0"/>
              <w:rPr>
                <w:sz w:val="1"/>
                <w:szCs w:val="1"/>
                <w:color w:val="auto"/>
              </w:rPr>
            </w:pPr>
          </w:p>
        </w:tc>
      </w:tr>
      <w:tr>
        <w:trPr>
          <w:trHeight w:val="190"/>
        </w:trPr>
        <w:tc>
          <w:tcPr>
            <w:tcW w:w="3080" w:type="dxa"/>
            <w:vAlign w:val="bottom"/>
            <w:gridSpan w:val="2"/>
          </w:tcPr>
          <w:p>
            <w:pPr>
              <w:ind w:left="140"/>
              <w:spacing w:after="0"/>
              <w:rPr>
                <w:sz w:val="20"/>
                <w:szCs w:val="20"/>
                <w:color w:val="auto"/>
              </w:rPr>
            </w:pPr>
            <w:r>
              <w:rPr>
                <w:rFonts w:ascii="Arial" w:cs="Arial" w:eastAsia="Arial" w:hAnsi="Arial"/>
                <w:sz w:val="14"/>
                <w:szCs w:val="14"/>
                <w:color w:val="auto"/>
              </w:rPr>
              <w:t>President, Software</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gridSpan w:val="2"/>
            <w:shd w:val="clear" w:color="auto" w:fill="F2F2F2"/>
          </w:tcPr>
          <w:p>
            <w:pPr>
              <w:spacing w:after="0" w:line="216" w:lineRule="exact"/>
              <w:rPr>
                <w:sz w:val="20"/>
                <w:szCs w:val="20"/>
                <w:color w:val="auto"/>
              </w:rPr>
            </w:pPr>
            <w:r>
              <w:rPr>
                <w:rFonts w:ascii="Arial" w:cs="Arial" w:eastAsia="Arial" w:hAnsi="Arial"/>
                <w:sz w:val="14"/>
                <w:szCs w:val="14"/>
                <w:color w:val="auto"/>
              </w:rPr>
              <w:t>Richard Deal</w:t>
            </w:r>
            <w:r>
              <w:rPr>
                <w:rFonts w:ascii="Arial" w:cs="Arial" w:eastAsia="Arial" w:hAnsi="Arial"/>
                <w:sz w:val="21"/>
                <w:szCs w:val="21"/>
                <w:color w:val="auto"/>
                <w:vertAlign w:val="superscript"/>
              </w:rPr>
              <w:t>(7)</w:t>
            </w:r>
          </w:p>
        </w:tc>
        <w:tc>
          <w:tcPr>
            <w:tcW w:w="580" w:type="dxa"/>
            <w:vAlign w:val="bottom"/>
            <w:gridSpan w:val="2"/>
            <w:shd w:val="clear" w:color="auto" w:fill="F2F2F2"/>
          </w:tcPr>
          <w:p>
            <w:pPr>
              <w:ind w:left="220"/>
              <w:spacing w:after="0"/>
              <w:rPr>
                <w:sz w:val="20"/>
                <w:szCs w:val="20"/>
                <w:color w:val="auto"/>
              </w:rPr>
            </w:pPr>
            <w:r>
              <w:rPr>
                <w:rFonts w:ascii="Arial" w:cs="Arial" w:eastAsia="Arial" w:hAnsi="Arial"/>
                <w:sz w:val="14"/>
                <w:szCs w:val="14"/>
                <w:color w:val="auto"/>
              </w:rPr>
              <w:t>2025</w:t>
            </w:r>
          </w:p>
        </w:tc>
        <w:tc>
          <w:tcPr>
            <w:tcW w:w="860" w:type="dxa"/>
            <w:vAlign w:val="bottom"/>
            <w:shd w:val="clear" w:color="auto" w:fill="F2F2F2"/>
          </w:tcPr>
          <w:p>
            <w:pPr>
              <w:jc w:val="right"/>
              <w:ind w:right="29"/>
              <w:spacing w:after="0"/>
              <w:rPr>
                <w:sz w:val="20"/>
                <w:szCs w:val="20"/>
                <w:color w:val="auto"/>
              </w:rPr>
            </w:pPr>
            <w:r>
              <w:rPr>
                <w:rFonts w:ascii="Arial" w:cs="Arial" w:eastAsia="Arial" w:hAnsi="Arial"/>
                <w:sz w:val="14"/>
                <w:szCs w:val="14"/>
                <w:color w:val="auto"/>
              </w:rPr>
              <w:t>400,000</w:t>
            </w:r>
          </w:p>
        </w:tc>
        <w:tc>
          <w:tcPr>
            <w:tcW w:w="600" w:type="dxa"/>
            <w:vAlign w:val="bottom"/>
            <w:shd w:val="clear" w:color="auto" w:fill="F2F2F2"/>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shd w:val="clear" w:color="auto" w:fill="F2F2F2"/>
          </w:tcPr>
          <w:p>
            <w:pPr>
              <w:jc w:val="right"/>
              <w:ind w:right="50"/>
              <w:spacing w:after="0"/>
              <w:rPr>
                <w:sz w:val="20"/>
                <w:szCs w:val="20"/>
                <w:color w:val="auto"/>
              </w:rPr>
            </w:pPr>
            <w:r>
              <w:rPr>
                <w:rFonts w:ascii="Arial" w:cs="Arial" w:eastAsia="Arial" w:hAnsi="Arial"/>
                <w:sz w:val="14"/>
                <w:szCs w:val="14"/>
                <w:color w:val="auto"/>
              </w:rPr>
              <w:t>6,255,247</w:t>
            </w:r>
          </w:p>
        </w:tc>
        <w:tc>
          <w:tcPr>
            <w:tcW w:w="980" w:type="dxa"/>
            <w:vAlign w:val="bottom"/>
            <w:shd w:val="clear" w:color="auto" w:fill="F2F2F2"/>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shd w:val="clear" w:color="auto" w:fill="F2F2F2"/>
          </w:tcPr>
          <w:p>
            <w:pPr>
              <w:jc w:val="right"/>
              <w:ind w:right="50"/>
              <w:spacing w:after="0"/>
              <w:rPr>
                <w:sz w:val="20"/>
                <w:szCs w:val="20"/>
                <w:color w:val="auto"/>
              </w:rPr>
            </w:pPr>
            <w:r>
              <w:rPr>
                <w:rFonts w:ascii="Arial" w:cs="Arial" w:eastAsia="Arial" w:hAnsi="Arial"/>
                <w:sz w:val="14"/>
                <w:szCs w:val="14"/>
                <w:color w:val="auto"/>
              </w:rPr>
              <w:t>250,000</w:t>
            </w:r>
          </w:p>
        </w:tc>
        <w:tc>
          <w:tcPr>
            <w:tcW w:w="1060" w:type="dxa"/>
            <w:vAlign w:val="bottom"/>
            <w:shd w:val="clear" w:color="auto" w:fill="F2F2F2"/>
          </w:tcPr>
          <w:p>
            <w:pPr>
              <w:jc w:val="right"/>
              <w:ind w:right="51"/>
              <w:spacing w:after="0"/>
              <w:rPr>
                <w:sz w:val="20"/>
                <w:szCs w:val="20"/>
                <w:color w:val="auto"/>
              </w:rPr>
            </w:pPr>
            <w:r>
              <w:rPr>
                <w:rFonts w:ascii="Arial" w:cs="Arial" w:eastAsia="Arial" w:hAnsi="Arial"/>
                <w:sz w:val="14"/>
                <w:szCs w:val="14"/>
                <w:color w:val="auto"/>
              </w:rPr>
              <w:t>—</w:t>
            </w:r>
          </w:p>
        </w:tc>
        <w:tc>
          <w:tcPr>
            <w:tcW w:w="1080" w:type="dxa"/>
            <w:vAlign w:val="bottom"/>
            <w:shd w:val="clear" w:color="auto" w:fill="F2F2F2"/>
          </w:tcPr>
          <w:p>
            <w:pPr>
              <w:jc w:val="right"/>
              <w:ind w:right="70"/>
              <w:spacing w:after="0"/>
              <w:rPr>
                <w:sz w:val="20"/>
                <w:szCs w:val="20"/>
                <w:color w:val="auto"/>
              </w:rPr>
            </w:pPr>
            <w:r>
              <w:rPr>
                <w:rFonts w:ascii="Arial" w:cs="Arial" w:eastAsia="Arial" w:hAnsi="Arial"/>
                <w:sz w:val="14"/>
                <w:szCs w:val="14"/>
                <w:color w:val="auto"/>
              </w:rPr>
              <w:t>58,177</w:t>
            </w:r>
          </w:p>
        </w:tc>
        <w:tc>
          <w:tcPr>
            <w:tcW w:w="9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6,963,424</w:t>
            </w:r>
          </w:p>
        </w:tc>
        <w:tc>
          <w:tcPr>
            <w:tcW w:w="0" w:type="dxa"/>
            <w:vAlign w:val="bottom"/>
          </w:tcPr>
          <w:p>
            <w:pPr>
              <w:spacing w:after="0"/>
              <w:rPr>
                <w:sz w:val="1"/>
                <w:szCs w:val="1"/>
                <w:color w:val="auto"/>
              </w:rPr>
            </w:pPr>
          </w:p>
        </w:tc>
      </w:tr>
      <w:tr>
        <w:trPr>
          <w:trHeight w:val="274"/>
        </w:trPr>
        <w:tc>
          <w:tcPr>
            <w:tcW w:w="3080" w:type="dxa"/>
            <w:vAlign w:val="bottom"/>
            <w:gridSpan w:val="2"/>
            <w:shd w:val="clear" w:color="auto" w:fill="F2F2F2"/>
          </w:tcPr>
          <w:p>
            <w:pPr>
              <w:ind w:left="140"/>
              <w:spacing w:after="0"/>
              <w:rPr>
                <w:sz w:val="20"/>
                <w:szCs w:val="20"/>
                <w:color w:val="auto"/>
              </w:rPr>
            </w:pPr>
            <w:r>
              <w:rPr>
                <w:rFonts w:ascii="Arial" w:cs="Arial" w:eastAsia="Arial" w:hAnsi="Arial"/>
                <w:sz w:val="14"/>
                <w:szCs w:val="14"/>
                <w:color w:val="auto"/>
              </w:rPr>
              <w:t>Executive Vice President,</w:t>
            </w:r>
          </w:p>
        </w:tc>
        <w:tc>
          <w:tcPr>
            <w:tcW w:w="580" w:type="dxa"/>
            <w:vAlign w:val="bottom"/>
            <w:gridSpan w:val="2"/>
            <w:shd w:val="clear" w:color="auto" w:fill="F2F2F2"/>
          </w:tcPr>
          <w:p>
            <w:pPr>
              <w:ind w:left="220"/>
              <w:spacing w:after="0"/>
              <w:rPr>
                <w:sz w:val="20"/>
                <w:szCs w:val="20"/>
                <w:color w:val="auto"/>
              </w:rPr>
            </w:pPr>
            <w:r>
              <w:rPr>
                <w:rFonts w:ascii="Arial" w:cs="Arial" w:eastAsia="Arial" w:hAnsi="Arial"/>
                <w:sz w:val="14"/>
                <w:szCs w:val="14"/>
                <w:color w:val="auto"/>
              </w:rPr>
              <w:t>2024</w:t>
            </w:r>
          </w:p>
        </w:tc>
        <w:tc>
          <w:tcPr>
            <w:tcW w:w="860" w:type="dxa"/>
            <w:vAlign w:val="bottom"/>
            <w:shd w:val="clear" w:color="auto" w:fill="F2F2F2"/>
          </w:tcPr>
          <w:p>
            <w:pPr>
              <w:jc w:val="right"/>
              <w:ind w:right="29"/>
              <w:spacing w:after="0"/>
              <w:rPr>
                <w:sz w:val="20"/>
                <w:szCs w:val="20"/>
                <w:color w:val="auto"/>
              </w:rPr>
            </w:pPr>
            <w:r>
              <w:rPr>
                <w:rFonts w:ascii="Arial" w:cs="Arial" w:eastAsia="Arial" w:hAnsi="Arial"/>
                <w:sz w:val="14"/>
                <w:szCs w:val="14"/>
                <w:color w:val="auto"/>
              </w:rPr>
              <w:t>400,000</w:t>
            </w:r>
          </w:p>
        </w:tc>
        <w:tc>
          <w:tcPr>
            <w:tcW w:w="600" w:type="dxa"/>
            <w:vAlign w:val="bottom"/>
            <w:shd w:val="clear" w:color="auto" w:fill="F2F2F2"/>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shd w:val="clear" w:color="auto" w:fill="F2F2F2"/>
          </w:tcPr>
          <w:p>
            <w:pPr>
              <w:jc w:val="right"/>
              <w:ind w:right="50"/>
              <w:spacing w:after="0"/>
              <w:rPr>
                <w:sz w:val="20"/>
                <w:szCs w:val="20"/>
                <w:color w:val="auto"/>
              </w:rPr>
            </w:pPr>
            <w:r>
              <w:rPr>
                <w:rFonts w:ascii="Arial" w:cs="Arial" w:eastAsia="Arial" w:hAnsi="Arial"/>
                <w:sz w:val="14"/>
                <w:szCs w:val="14"/>
                <w:color w:val="auto"/>
              </w:rPr>
              <w:t>6,662,212</w:t>
            </w:r>
          </w:p>
        </w:tc>
        <w:tc>
          <w:tcPr>
            <w:tcW w:w="980" w:type="dxa"/>
            <w:vAlign w:val="bottom"/>
            <w:shd w:val="clear" w:color="auto" w:fill="F2F2F2"/>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shd w:val="clear" w:color="auto" w:fill="F2F2F2"/>
          </w:tcPr>
          <w:p>
            <w:pPr>
              <w:jc w:val="right"/>
              <w:ind w:right="50"/>
              <w:spacing w:after="0"/>
              <w:rPr>
                <w:sz w:val="20"/>
                <w:szCs w:val="20"/>
                <w:color w:val="auto"/>
              </w:rPr>
            </w:pPr>
            <w:r>
              <w:rPr>
                <w:rFonts w:ascii="Arial" w:cs="Arial" w:eastAsia="Arial" w:hAnsi="Arial"/>
                <w:sz w:val="14"/>
                <w:szCs w:val="14"/>
                <w:color w:val="auto"/>
              </w:rPr>
              <w:t>275,000</w:t>
            </w:r>
          </w:p>
        </w:tc>
        <w:tc>
          <w:tcPr>
            <w:tcW w:w="1060" w:type="dxa"/>
            <w:vAlign w:val="bottom"/>
            <w:shd w:val="clear" w:color="auto" w:fill="F2F2F2"/>
          </w:tcPr>
          <w:p>
            <w:pPr>
              <w:jc w:val="right"/>
              <w:ind w:right="51"/>
              <w:spacing w:after="0"/>
              <w:rPr>
                <w:sz w:val="20"/>
                <w:szCs w:val="20"/>
                <w:color w:val="auto"/>
              </w:rPr>
            </w:pPr>
            <w:r>
              <w:rPr>
                <w:rFonts w:ascii="Arial" w:cs="Arial" w:eastAsia="Arial" w:hAnsi="Arial"/>
                <w:sz w:val="14"/>
                <w:szCs w:val="14"/>
                <w:color w:val="auto"/>
              </w:rPr>
              <w:t>—</w:t>
            </w:r>
          </w:p>
        </w:tc>
        <w:tc>
          <w:tcPr>
            <w:tcW w:w="1080" w:type="dxa"/>
            <w:vAlign w:val="bottom"/>
            <w:shd w:val="clear" w:color="auto" w:fill="F2F2F2"/>
          </w:tcPr>
          <w:p>
            <w:pPr>
              <w:jc w:val="right"/>
              <w:ind w:right="70"/>
              <w:spacing w:after="0"/>
              <w:rPr>
                <w:sz w:val="20"/>
                <w:szCs w:val="20"/>
                <w:color w:val="auto"/>
              </w:rPr>
            </w:pPr>
            <w:r>
              <w:rPr>
                <w:rFonts w:ascii="Arial" w:cs="Arial" w:eastAsia="Arial" w:hAnsi="Arial"/>
                <w:sz w:val="14"/>
                <w:szCs w:val="14"/>
                <w:color w:val="auto"/>
              </w:rPr>
              <w:t>44,031</w:t>
            </w:r>
          </w:p>
        </w:tc>
        <w:tc>
          <w:tcPr>
            <w:tcW w:w="9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7,381,243</w:t>
            </w:r>
          </w:p>
        </w:tc>
        <w:tc>
          <w:tcPr>
            <w:tcW w:w="0" w:type="dxa"/>
            <w:vAlign w:val="bottom"/>
          </w:tcPr>
          <w:p>
            <w:pPr>
              <w:spacing w:after="0"/>
              <w:rPr>
                <w:sz w:val="1"/>
                <w:szCs w:val="1"/>
                <w:color w:val="auto"/>
              </w:rPr>
            </w:pPr>
          </w:p>
        </w:tc>
      </w:tr>
      <w:tr>
        <w:trPr>
          <w:trHeight w:val="219"/>
        </w:trPr>
        <w:tc>
          <w:tcPr>
            <w:tcW w:w="3080" w:type="dxa"/>
            <w:vAlign w:val="bottom"/>
            <w:tcBorders>
              <w:bottom w:val="single" w:sz="8" w:color="F2F2F2"/>
            </w:tcBorders>
            <w:gridSpan w:val="2"/>
            <w:shd w:val="clear" w:color="auto" w:fill="F2F2F2"/>
          </w:tcPr>
          <w:p>
            <w:pPr>
              <w:ind w:left="140"/>
              <w:spacing w:after="0"/>
              <w:rPr>
                <w:sz w:val="20"/>
                <w:szCs w:val="20"/>
                <w:color w:val="auto"/>
              </w:rPr>
            </w:pPr>
            <w:r>
              <w:rPr>
                <w:rFonts w:ascii="Arial" w:cs="Arial" w:eastAsia="Arial" w:hAnsi="Arial"/>
                <w:sz w:val="14"/>
                <w:szCs w:val="14"/>
                <w:color w:val="auto"/>
              </w:rPr>
              <w:t>Chief Human Resources Officer</w:t>
            </w:r>
          </w:p>
        </w:tc>
        <w:tc>
          <w:tcPr>
            <w:tcW w:w="180" w:type="dxa"/>
            <w:vAlign w:val="bottom"/>
            <w:tcBorders>
              <w:bottom w:val="single" w:sz="8" w:color="F2F2F2"/>
            </w:tcBorders>
            <w:shd w:val="clear" w:color="auto" w:fill="F2F2F2"/>
          </w:tcPr>
          <w:p>
            <w:pPr>
              <w:spacing w:after="0"/>
              <w:rPr>
                <w:sz w:val="19"/>
                <w:szCs w:val="19"/>
                <w:color w:val="auto"/>
              </w:rPr>
            </w:pPr>
          </w:p>
        </w:tc>
        <w:tc>
          <w:tcPr>
            <w:tcW w:w="400" w:type="dxa"/>
            <w:vAlign w:val="bottom"/>
            <w:tcBorders>
              <w:bottom w:val="single" w:sz="8" w:color="F2F2F2"/>
            </w:tcBorders>
            <w:shd w:val="clear" w:color="auto" w:fill="F2F2F2"/>
          </w:tcPr>
          <w:p>
            <w:pPr>
              <w:spacing w:after="0"/>
              <w:rPr>
                <w:sz w:val="19"/>
                <w:szCs w:val="19"/>
                <w:color w:val="auto"/>
              </w:rPr>
            </w:pPr>
          </w:p>
        </w:tc>
        <w:tc>
          <w:tcPr>
            <w:tcW w:w="860" w:type="dxa"/>
            <w:vAlign w:val="bottom"/>
            <w:tcBorders>
              <w:bottom w:val="single" w:sz="8" w:color="F2F2F2"/>
            </w:tcBorders>
            <w:shd w:val="clear" w:color="auto" w:fill="F2F2F2"/>
          </w:tcPr>
          <w:p>
            <w:pPr>
              <w:spacing w:after="0"/>
              <w:rPr>
                <w:sz w:val="19"/>
                <w:szCs w:val="19"/>
                <w:color w:val="auto"/>
              </w:rPr>
            </w:pPr>
          </w:p>
        </w:tc>
        <w:tc>
          <w:tcPr>
            <w:tcW w:w="600" w:type="dxa"/>
            <w:vAlign w:val="bottom"/>
            <w:tcBorders>
              <w:bottom w:val="single" w:sz="8" w:color="F2F2F2"/>
            </w:tcBorders>
            <w:shd w:val="clear" w:color="auto" w:fill="F2F2F2"/>
          </w:tcPr>
          <w:p>
            <w:pPr>
              <w:spacing w:after="0"/>
              <w:rPr>
                <w:sz w:val="19"/>
                <w:szCs w:val="19"/>
                <w:color w:val="auto"/>
              </w:rPr>
            </w:pPr>
          </w:p>
        </w:tc>
        <w:tc>
          <w:tcPr>
            <w:tcW w:w="980" w:type="dxa"/>
            <w:vAlign w:val="bottom"/>
            <w:tcBorders>
              <w:bottom w:val="single" w:sz="8" w:color="F2F2F2"/>
            </w:tcBorders>
            <w:shd w:val="clear" w:color="auto" w:fill="F2F2F2"/>
          </w:tcPr>
          <w:p>
            <w:pPr>
              <w:spacing w:after="0"/>
              <w:rPr>
                <w:sz w:val="19"/>
                <w:szCs w:val="19"/>
                <w:color w:val="auto"/>
              </w:rPr>
            </w:pPr>
          </w:p>
        </w:tc>
        <w:tc>
          <w:tcPr>
            <w:tcW w:w="980" w:type="dxa"/>
            <w:vAlign w:val="bottom"/>
            <w:tcBorders>
              <w:bottom w:val="single" w:sz="8" w:color="F2F2F2"/>
            </w:tcBorders>
            <w:shd w:val="clear" w:color="auto" w:fill="F2F2F2"/>
          </w:tcPr>
          <w:p>
            <w:pPr>
              <w:spacing w:after="0"/>
              <w:rPr>
                <w:sz w:val="19"/>
                <w:szCs w:val="19"/>
                <w:color w:val="auto"/>
              </w:rPr>
            </w:pPr>
          </w:p>
        </w:tc>
        <w:tc>
          <w:tcPr>
            <w:tcW w:w="900" w:type="dxa"/>
            <w:vAlign w:val="bottom"/>
            <w:tcBorders>
              <w:bottom w:val="single" w:sz="8" w:color="F2F2F2"/>
            </w:tcBorders>
            <w:shd w:val="clear" w:color="auto" w:fill="F2F2F2"/>
          </w:tcPr>
          <w:p>
            <w:pPr>
              <w:spacing w:after="0"/>
              <w:rPr>
                <w:sz w:val="19"/>
                <w:szCs w:val="19"/>
                <w:color w:val="auto"/>
              </w:rPr>
            </w:pPr>
          </w:p>
        </w:tc>
        <w:tc>
          <w:tcPr>
            <w:tcW w:w="1060" w:type="dxa"/>
            <w:vAlign w:val="bottom"/>
            <w:tcBorders>
              <w:bottom w:val="single" w:sz="8" w:color="F2F2F2"/>
            </w:tcBorders>
            <w:shd w:val="clear" w:color="auto" w:fill="F2F2F2"/>
          </w:tcPr>
          <w:p>
            <w:pPr>
              <w:spacing w:after="0"/>
              <w:rPr>
                <w:sz w:val="19"/>
                <w:szCs w:val="19"/>
                <w:color w:val="auto"/>
              </w:rPr>
            </w:pPr>
          </w:p>
        </w:tc>
        <w:tc>
          <w:tcPr>
            <w:tcW w:w="1080" w:type="dxa"/>
            <w:vAlign w:val="bottom"/>
            <w:tcBorders>
              <w:bottom w:val="single" w:sz="8" w:color="F2F2F2"/>
            </w:tcBorders>
            <w:shd w:val="clear" w:color="auto" w:fill="F2F2F2"/>
          </w:tcPr>
          <w:p>
            <w:pPr>
              <w:spacing w:after="0"/>
              <w:rPr>
                <w:sz w:val="19"/>
                <w:szCs w:val="19"/>
                <w:color w:val="auto"/>
              </w:rPr>
            </w:pPr>
          </w:p>
        </w:tc>
        <w:tc>
          <w:tcPr>
            <w:tcW w:w="900" w:type="dxa"/>
            <w:vAlign w:val="bottom"/>
            <w:tcBorders>
              <w:bottom w:val="single" w:sz="8" w:color="F2F2F2"/>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080" w:type="dxa"/>
            <w:vAlign w:val="bottom"/>
            <w:gridSpan w:val="2"/>
          </w:tcPr>
          <w:p>
            <w:pPr>
              <w:spacing w:after="0"/>
              <w:rPr>
                <w:sz w:val="20"/>
                <w:szCs w:val="20"/>
                <w:color w:val="auto"/>
              </w:rPr>
            </w:pPr>
            <w:r>
              <w:rPr>
                <w:rFonts w:ascii="Arial" w:cs="Arial" w:eastAsia="Arial" w:hAnsi="Arial"/>
                <w:sz w:val="14"/>
                <w:szCs w:val="14"/>
                <w:color w:val="auto"/>
              </w:rPr>
              <w:t>Mark Scadina</w:t>
            </w: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2025</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400,000</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6,255,247</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275,000</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209,176</w:t>
            </w:r>
          </w:p>
        </w:tc>
        <w:tc>
          <w:tcPr>
            <w:tcW w:w="900" w:type="dxa"/>
            <w:vAlign w:val="bottom"/>
          </w:tcPr>
          <w:p>
            <w:pPr>
              <w:jc w:val="right"/>
              <w:spacing w:after="0"/>
              <w:rPr>
                <w:sz w:val="20"/>
                <w:szCs w:val="20"/>
                <w:color w:val="auto"/>
              </w:rPr>
            </w:pPr>
            <w:r>
              <w:rPr>
                <w:rFonts w:ascii="Arial" w:cs="Arial" w:eastAsia="Arial" w:hAnsi="Arial"/>
                <w:sz w:val="14"/>
                <w:szCs w:val="14"/>
                <w:color w:val="auto"/>
              </w:rPr>
              <w:t>7,139,423</w:t>
            </w:r>
          </w:p>
        </w:tc>
        <w:tc>
          <w:tcPr>
            <w:tcW w:w="0" w:type="dxa"/>
            <w:vAlign w:val="bottom"/>
          </w:tcPr>
          <w:p>
            <w:pPr>
              <w:spacing w:after="0"/>
              <w:rPr>
                <w:sz w:val="1"/>
                <w:szCs w:val="1"/>
                <w:color w:val="auto"/>
              </w:rPr>
            </w:pPr>
          </w:p>
        </w:tc>
      </w:tr>
      <w:tr>
        <w:trPr>
          <w:trHeight w:val="255"/>
        </w:trPr>
        <w:tc>
          <w:tcPr>
            <w:tcW w:w="3080" w:type="dxa"/>
            <w:vAlign w:val="bottom"/>
            <w:gridSpan w:val="2"/>
          </w:tcPr>
          <w:p>
            <w:pPr>
              <w:ind w:left="140"/>
              <w:spacing w:after="0"/>
              <w:rPr>
                <w:sz w:val="20"/>
                <w:szCs w:val="20"/>
                <w:color w:val="auto"/>
              </w:rPr>
            </w:pPr>
            <w:r>
              <w:rPr>
                <w:rFonts w:ascii="Arial" w:cs="Arial" w:eastAsia="Arial" w:hAnsi="Arial"/>
                <w:sz w:val="14"/>
                <w:szCs w:val="14"/>
                <w:color w:val="auto"/>
              </w:rPr>
              <w:t>Executive Vice President,</w:t>
            </w: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2024</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400,000</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6,662,212</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300,000</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46,919</w:t>
            </w:r>
          </w:p>
        </w:tc>
        <w:tc>
          <w:tcPr>
            <w:tcW w:w="900" w:type="dxa"/>
            <w:vAlign w:val="bottom"/>
          </w:tcPr>
          <w:p>
            <w:pPr>
              <w:jc w:val="right"/>
              <w:spacing w:after="0"/>
              <w:rPr>
                <w:sz w:val="20"/>
                <w:szCs w:val="20"/>
                <w:color w:val="auto"/>
              </w:rPr>
            </w:pPr>
            <w:r>
              <w:rPr>
                <w:rFonts w:ascii="Arial" w:cs="Arial" w:eastAsia="Arial" w:hAnsi="Arial"/>
                <w:sz w:val="14"/>
                <w:szCs w:val="14"/>
                <w:color w:val="auto"/>
              </w:rPr>
              <w:t>7,409,131</w:t>
            </w:r>
          </w:p>
        </w:tc>
        <w:tc>
          <w:tcPr>
            <w:tcW w:w="0" w:type="dxa"/>
            <w:vAlign w:val="bottom"/>
          </w:tcPr>
          <w:p>
            <w:pPr>
              <w:spacing w:after="0"/>
              <w:rPr>
                <w:sz w:val="1"/>
                <w:szCs w:val="1"/>
                <w:color w:val="auto"/>
              </w:rPr>
            </w:pPr>
          </w:p>
        </w:tc>
      </w:tr>
      <w:tr>
        <w:trPr>
          <w:trHeight w:val="190"/>
        </w:trPr>
        <w:tc>
          <w:tcPr>
            <w:tcW w:w="3080" w:type="dxa"/>
            <w:vAlign w:val="bottom"/>
            <w:gridSpan w:val="2"/>
          </w:tcPr>
          <w:p>
            <w:pPr>
              <w:ind w:left="140"/>
              <w:spacing w:after="0"/>
              <w:rPr>
                <w:sz w:val="20"/>
                <w:szCs w:val="20"/>
                <w:color w:val="auto"/>
              </w:rPr>
            </w:pPr>
            <w:r>
              <w:rPr>
                <w:rFonts w:ascii="Arial" w:cs="Arial" w:eastAsia="Arial" w:hAnsi="Arial"/>
                <w:sz w:val="14"/>
                <w:szCs w:val="14"/>
                <w:color w:val="auto"/>
              </w:rPr>
              <w:t>General Counsel</w:t>
            </w:r>
          </w:p>
        </w:tc>
        <w:tc>
          <w:tcPr>
            <w:tcW w:w="580" w:type="dxa"/>
            <w:vAlign w:val="bottom"/>
            <w:gridSpan w:val="2"/>
            <w:vMerge w:val="restart"/>
          </w:tcPr>
          <w:p>
            <w:pPr>
              <w:ind w:left="220"/>
              <w:spacing w:after="0"/>
              <w:rPr>
                <w:sz w:val="20"/>
                <w:szCs w:val="20"/>
                <w:color w:val="auto"/>
              </w:rPr>
            </w:pPr>
            <w:r>
              <w:rPr>
                <w:rFonts w:ascii="Arial" w:cs="Arial" w:eastAsia="Arial" w:hAnsi="Arial"/>
                <w:sz w:val="14"/>
                <w:szCs w:val="14"/>
                <w:color w:val="auto"/>
              </w:rPr>
              <w:t>2023</w:t>
            </w:r>
          </w:p>
        </w:tc>
        <w:tc>
          <w:tcPr>
            <w:tcW w:w="860" w:type="dxa"/>
            <w:vAlign w:val="bottom"/>
            <w:vMerge w:val="restart"/>
          </w:tcPr>
          <w:p>
            <w:pPr>
              <w:jc w:val="right"/>
              <w:ind w:right="29"/>
              <w:spacing w:after="0"/>
              <w:rPr>
                <w:sz w:val="20"/>
                <w:szCs w:val="20"/>
                <w:color w:val="auto"/>
              </w:rPr>
            </w:pPr>
            <w:r>
              <w:rPr>
                <w:rFonts w:ascii="Arial" w:cs="Arial" w:eastAsia="Arial" w:hAnsi="Arial"/>
                <w:sz w:val="14"/>
                <w:szCs w:val="14"/>
                <w:color w:val="auto"/>
              </w:rPr>
              <w:t>400,000</w:t>
            </w:r>
          </w:p>
        </w:tc>
        <w:tc>
          <w:tcPr>
            <w:tcW w:w="6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50"/>
              <w:spacing w:after="0"/>
              <w:rPr>
                <w:sz w:val="20"/>
                <w:szCs w:val="20"/>
                <w:color w:val="auto"/>
              </w:rPr>
            </w:pPr>
            <w:r>
              <w:rPr>
                <w:rFonts w:ascii="Arial" w:cs="Arial" w:eastAsia="Arial" w:hAnsi="Arial"/>
                <w:sz w:val="14"/>
                <w:szCs w:val="14"/>
                <w:color w:val="auto"/>
              </w:rPr>
              <w:t>5,488,415</w:t>
            </w:r>
          </w:p>
        </w:tc>
        <w:tc>
          <w:tcPr>
            <w:tcW w:w="98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300,000</w:t>
            </w:r>
          </w:p>
        </w:tc>
        <w:tc>
          <w:tcPr>
            <w:tcW w:w="106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70"/>
              <w:spacing w:after="0"/>
              <w:rPr>
                <w:sz w:val="20"/>
                <w:szCs w:val="20"/>
                <w:color w:val="auto"/>
              </w:rPr>
            </w:pPr>
            <w:r>
              <w:rPr>
                <w:rFonts w:ascii="Arial" w:cs="Arial" w:eastAsia="Arial" w:hAnsi="Arial"/>
                <w:sz w:val="14"/>
                <w:szCs w:val="14"/>
                <w:color w:val="auto"/>
              </w:rPr>
              <w:t>48,931</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6,237,346</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17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860" w:type="dxa"/>
            <w:vAlign w:val="bottom"/>
          </w:tcPr>
          <w:p>
            <w:pPr>
              <w:spacing w:after="0"/>
              <w:rPr>
                <w:sz w:val="4"/>
                <w:szCs w:val="4"/>
                <w:color w:val="auto"/>
              </w:rPr>
            </w:pPr>
          </w:p>
        </w:tc>
        <w:tc>
          <w:tcPr>
            <w:tcW w:w="6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08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James Wehmann</w:t>
            </w:r>
          </w:p>
        </w:tc>
        <w:tc>
          <w:tcPr>
            <w:tcW w:w="580" w:type="dxa"/>
            <w:vAlign w:val="bottom"/>
            <w:gridSpan w:val="2"/>
            <w:shd w:val="clear" w:color="auto" w:fill="F2F2F2"/>
          </w:tcPr>
          <w:p>
            <w:pPr>
              <w:ind w:left="220"/>
              <w:spacing w:after="0"/>
              <w:rPr>
                <w:sz w:val="20"/>
                <w:szCs w:val="20"/>
                <w:color w:val="auto"/>
              </w:rPr>
            </w:pPr>
            <w:r>
              <w:rPr>
                <w:rFonts w:ascii="Arial" w:cs="Arial" w:eastAsia="Arial" w:hAnsi="Arial"/>
                <w:sz w:val="14"/>
                <w:szCs w:val="14"/>
                <w:color w:val="auto"/>
              </w:rPr>
              <w:t>2025</w:t>
            </w:r>
          </w:p>
        </w:tc>
        <w:tc>
          <w:tcPr>
            <w:tcW w:w="860" w:type="dxa"/>
            <w:vAlign w:val="bottom"/>
            <w:shd w:val="clear" w:color="auto" w:fill="F2F2F2"/>
          </w:tcPr>
          <w:p>
            <w:pPr>
              <w:jc w:val="right"/>
              <w:ind w:right="29"/>
              <w:spacing w:after="0"/>
              <w:rPr>
                <w:sz w:val="20"/>
                <w:szCs w:val="20"/>
                <w:color w:val="auto"/>
              </w:rPr>
            </w:pPr>
            <w:r>
              <w:rPr>
                <w:rFonts w:ascii="Arial" w:cs="Arial" w:eastAsia="Arial" w:hAnsi="Arial"/>
                <w:sz w:val="14"/>
                <w:szCs w:val="14"/>
                <w:color w:val="auto"/>
              </w:rPr>
              <w:t>490,385</w:t>
            </w:r>
          </w:p>
        </w:tc>
        <w:tc>
          <w:tcPr>
            <w:tcW w:w="600" w:type="dxa"/>
            <w:vAlign w:val="bottom"/>
            <w:shd w:val="clear" w:color="auto" w:fill="F2F2F2"/>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shd w:val="clear" w:color="auto" w:fill="F2F2F2"/>
          </w:tcPr>
          <w:p>
            <w:pPr>
              <w:jc w:val="right"/>
              <w:ind w:right="50"/>
              <w:spacing w:after="0"/>
              <w:rPr>
                <w:sz w:val="20"/>
                <w:szCs w:val="20"/>
                <w:color w:val="auto"/>
              </w:rPr>
            </w:pPr>
            <w:r>
              <w:rPr>
                <w:rFonts w:ascii="Arial" w:cs="Arial" w:eastAsia="Arial" w:hAnsi="Arial"/>
                <w:sz w:val="14"/>
                <w:szCs w:val="14"/>
                <w:color w:val="auto"/>
              </w:rPr>
              <w:t>6,818,373</w:t>
            </w:r>
          </w:p>
        </w:tc>
        <w:tc>
          <w:tcPr>
            <w:tcW w:w="980" w:type="dxa"/>
            <w:vAlign w:val="bottom"/>
            <w:shd w:val="clear" w:color="auto" w:fill="F2F2F2"/>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shd w:val="clear" w:color="auto" w:fill="F2F2F2"/>
          </w:tcPr>
          <w:p>
            <w:pPr>
              <w:jc w:val="right"/>
              <w:ind w:right="5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2F2F2"/>
          </w:tcPr>
          <w:p>
            <w:pPr>
              <w:jc w:val="right"/>
              <w:ind w:right="51"/>
              <w:spacing w:after="0"/>
              <w:rPr>
                <w:sz w:val="20"/>
                <w:szCs w:val="20"/>
                <w:color w:val="auto"/>
              </w:rPr>
            </w:pPr>
            <w:r>
              <w:rPr>
                <w:rFonts w:ascii="Arial" w:cs="Arial" w:eastAsia="Arial" w:hAnsi="Arial"/>
                <w:sz w:val="14"/>
                <w:szCs w:val="14"/>
                <w:color w:val="auto"/>
              </w:rPr>
              <w:t>—</w:t>
            </w:r>
          </w:p>
        </w:tc>
        <w:tc>
          <w:tcPr>
            <w:tcW w:w="1080" w:type="dxa"/>
            <w:vAlign w:val="bottom"/>
            <w:shd w:val="clear" w:color="auto" w:fill="F2F2F2"/>
          </w:tcPr>
          <w:p>
            <w:pPr>
              <w:jc w:val="right"/>
              <w:ind w:right="70"/>
              <w:spacing w:after="0"/>
              <w:rPr>
                <w:sz w:val="20"/>
                <w:szCs w:val="20"/>
                <w:color w:val="auto"/>
              </w:rPr>
            </w:pPr>
            <w:r>
              <w:rPr>
                <w:rFonts w:ascii="Arial" w:cs="Arial" w:eastAsia="Arial" w:hAnsi="Arial"/>
                <w:sz w:val="14"/>
                <w:szCs w:val="14"/>
                <w:color w:val="auto"/>
              </w:rPr>
              <w:t>14,184</w:t>
            </w:r>
          </w:p>
        </w:tc>
        <w:tc>
          <w:tcPr>
            <w:tcW w:w="9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7,322,942</w:t>
            </w:r>
          </w:p>
        </w:tc>
        <w:tc>
          <w:tcPr>
            <w:tcW w:w="0" w:type="dxa"/>
            <w:vAlign w:val="bottom"/>
          </w:tcPr>
          <w:p>
            <w:pPr>
              <w:spacing w:after="0"/>
              <w:rPr>
                <w:sz w:val="1"/>
                <w:szCs w:val="1"/>
                <w:color w:val="auto"/>
              </w:rPr>
            </w:pPr>
          </w:p>
        </w:tc>
      </w:tr>
      <w:tr>
        <w:trPr>
          <w:trHeight w:val="270"/>
        </w:trPr>
        <w:tc>
          <w:tcPr>
            <w:tcW w:w="3080" w:type="dxa"/>
            <w:vAlign w:val="bottom"/>
            <w:gridSpan w:val="2"/>
            <w:shd w:val="clear" w:color="auto" w:fill="F2F2F2"/>
          </w:tcPr>
          <w:p>
            <w:pPr>
              <w:ind w:left="140"/>
              <w:spacing w:after="0"/>
              <w:rPr>
                <w:sz w:val="20"/>
                <w:szCs w:val="20"/>
                <w:color w:val="auto"/>
              </w:rPr>
            </w:pPr>
            <w:r>
              <w:rPr>
                <w:rFonts w:ascii="Arial" w:cs="Arial" w:eastAsia="Arial" w:hAnsi="Arial"/>
                <w:sz w:val="14"/>
                <w:szCs w:val="14"/>
                <w:color w:val="auto"/>
              </w:rPr>
              <w:t>Former President, Scores</w:t>
            </w:r>
          </w:p>
        </w:tc>
        <w:tc>
          <w:tcPr>
            <w:tcW w:w="180" w:type="dxa"/>
            <w:vAlign w:val="bottom"/>
            <w:shd w:val="clear" w:color="auto" w:fill="F2F2F2"/>
          </w:tcPr>
          <w:p>
            <w:pPr>
              <w:spacing w:after="0"/>
              <w:rPr>
                <w:sz w:val="23"/>
                <w:szCs w:val="23"/>
                <w:color w:val="auto"/>
              </w:rPr>
            </w:pPr>
          </w:p>
        </w:tc>
        <w:tc>
          <w:tcPr>
            <w:tcW w:w="400" w:type="dxa"/>
            <w:vAlign w:val="bottom"/>
            <w:shd w:val="clear" w:color="auto" w:fill="F2F2F2"/>
          </w:tcPr>
          <w:p>
            <w:pPr>
              <w:ind w:left="40"/>
              <w:spacing w:after="0"/>
              <w:rPr>
                <w:sz w:val="20"/>
                <w:szCs w:val="20"/>
                <w:color w:val="auto"/>
              </w:rPr>
            </w:pPr>
            <w:r>
              <w:rPr>
                <w:rFonts w:ascii="Arial" w:cs="Arial" w:eastAsia="Arial" w:hAnsi="Arial"/>
                <w:sz w:val="14"/>
                <w:szCs w:val="14"/>
                <w:color w:val="auto"/>
              </w:rPr>
              <w:t>2024</w:t>
            </w:r>
          </w:p>
        </w:tc>
        <w:tc>
          <w:tcPr>
            <w:tcW w:w="860" w:type="dxa"/>
            <w:vAlign w:val="bottom"/>
            <w:shd w:val="clear" w:color="auto" w:fill="F2F2F2"/>
          </w:tcPr>
          <w:p>
            <w:pPr>
              <w:jc w:val="right"/>
              <w:ind w:right="29"/>
              <w:spacing w:after="0"/>
              <w:rPr>
                <w:sz w:val="20"/>
                <w:szCs w:val="20"/>
                <w:color w:val="auto"/>
              </w:rPr>
            </w:pPr>
            <w:r>
              <w:rPr>
                <w:rFonts w:ascii="Arial" w:cs="Arial" w:eastAsia="Arial" w:hAnsi="Arial"/>
                <w:sz w:val="14"/>
                <w:szCs w:val="14"/>
                <w:color w:val="auto"/>
              </w:rPr>
              <w:t>500,000</w:t>
            </w:r>
          </w:p>
        </w:tc>
        <w:tc>
          <w:tcPr>
            <w:tcW w:w="600" w:type="dxa"/>
            <w:vAlign w:val="bottom"/>
            <w:shd w:val="clear" w:color="auto" w:fill="F2F2F2"/>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shd w:val="clear" w:color="auto" w:fill="F2F2F2"/>
          </w:tcPr>
          <w:p>
            <w:pPr>
              <w:jc w:val="right"/>
              <w:ind w:right="50"/>
              <w:spacing w:after="0"/>
              <w:rPr>
                <w:sz w:val="20"/>
                <w:szCs w:val="20"/>
                <w:color w:val="auto"/>
              </w:rPr>
            </w:pPr>
            <w:r>
              <w:rPr>
                <w:rFonts w:ascii="Arial" w:cs="Arial" w:eastAsia="Arial" w:hAnsi="Arial"/>
                <w:sz w:val="14"/>
                <w:szCs w:val="14"/>
                <w:color w:val="auto"/>
              </w:rPr>
              <w:t>7,997,808</w:t>
            </w:r>
          </w:p>
        </w:tc>
        <w:tc>
          <w:tcPr>
            <w:tcW w:w="980" w:type="dxa"/>
            <w:vAlign w:val="bottom"/>
            <w:shd w:val="clear" w:color="auto" w:fill="F2F2F2"/>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shd w:val="clear" w:color="auto" w:fill="F2F2F2"/>
          </w:tcPr>
          <w:p>
            <w:pPr>
              <w:jc w:val="right"/>
              <w:ind w:right="50"/>
              <w:spacing w:after="0"/>
              <w:rPr>
                <w:sz w:val="20"/>
                <w:szCs w:val="20"/>
                <w:color w:val="auto"/>
              </w:rPr>
            </w:pPr>
            <w:r>
              <w:rPr>
                <w:rFonts w:ascii="Arial" w:cs="Arial" w:eastAsia="Arial" w:hAnsi="Arial"/>
                <w:sz w:val="14"/>
                <w:szCs w:val="14"/>
                <w:color w:val="auto"/>
              </w:rPr>
              <w:t>375,000</w:t>
            </w:r>
          </w:p>
        </w:tc>
        <w:tc>
          <w:tcPr>
            <w:tcW w:w="1060" w:type="dxa"/>
            <w:vAlign w:val="bottom"/>
            <w:shd w:val="clear" w:color="auto" w:fill="F2F2F2"/>
          </w:tcPr>
          <w:p>
            <w:pPr>
              <w:jc w:val="right"/>
              <w:ind w:right="51"/>
              <w:spacing w:after="0"/>
              <w:rPr>
                <w:sz w:val="20"/>
                <w:szCs w:val="20"/>
                <w:color w:val="auto"/>
              </w:rPr>
            </w:pPr>
            <w:r>
              <w:rPr>
                <w:rFonts w:ascii="Arial" w:cs="Arial" w:eastAsia="Arial" w:hAnsi="Arial"/>
                <w:sz w:val="14"/>
                <w:szCs w:val="14"/>
                <w:color w:val="auto"/>
              </w:rPr>
              <w:t>—</w:t>
            </w:r>
          </w:p>
        </w:tc>
        <w:tc>
          <w:tcPr>
            <w:tcW w:w="1080" w:type="dxa"/>
            <w:vAlign w:val="bottom"/>
            <w:shd w:val="clear" w:color="auto" w:fill="F2F2F2"/>
          </w:tcPr>
          <w:p>
            <w:pPr>
              <w:jc w:val="right"/>
              <w:ind w:right="70"/>
              <w:spacing w:after="0"/>
              <w:rPr>
                <w:sz w:val="20"/>
                <w:szCs w:val="20"/>
                <w:color w:val="auto"/>
              </w:rPr>
            </w:pPr>
            <w:r>
              <w:rPr>
                <w:rFonts w:ascii="Arial" w:cs="Arial" w:eastAsia="Arial" w:hAnsi="Arial"/>
                <w:sz w:val="14"/>
                <w:szCs w:val="14"/>
                <w:color w:val="auto"/>
              </w:rPr>
              <w:t>13,446</w:t>
            </w:r>
          </w:p>
        </w:tc>
        <w:tc>
          <w:tcPr>
            <w:tcW w:w="9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8,886,254</w:t>
            </w:r>
          </w:p>
        </w:tc>
        <w:tc>
          <w:tcPr>
            <w:tcW w:w="0" w:type="dxa"/>
            <w:vAlign w:val="bottom"/>
          </w:tcPr>
          <w:p>
            <w:pPr>
              <w:spacing w:after="0"/>
              <w:rPr>
                <w:sz w:val="1"/>
                <w:szCs w:val="1"/>
                <w:color w:val="auto"/>
              </w:rPr>
            </w:pPr>
          </w:p>
        </w:tc>
      </w:tr>
      <w:tr>
        <w:trPr>
          <w:trHeight w:val="285"/>
        </w:trPr>
        <w:tc>
          <w:tcPr>
            <w:tcW w:w="1760" w:type="dxa"/>
            <w:vAlign w:val="bottom"/>
            <w:tcBorders>
              <w:bottom w:val="single" w:sz="8" w:color="F2F2F2"/>
            </w:tcBorders>
            <w:shd w:val="clear" w:color="auto" w:fill="F2F2F2"/>
          </w:tcPr>
          <w:p>
            <w:pPr>
              <w:spacing w:after="0"/>
              <w:rPr>
                <w:sz w:val="24"/>
                <w:szCs w:val="24"/>
                <w:color w:val="auto"/>
              </w:rPr>
            </w:pPr>
          </w:p>
        </w:tc>
        <w:tc>
          <w:tcPr>
            <w:tcW w:w="1320" w:type="dxa"/>
            <w:vAlign w:val="bottom"/>
            <w:tcBorders>
              <w:bottom w:val="single" w:sz="8" w:color="F2F2F2"/>
            </w:tcBorders>
            <w:shd w:val="clear" w:color="auto" w:fill="F2F2F2"/>
          </w:tcPr>
          <w:p>
            <w:pPr>
              <w:spacing w:after="0"/>
              <w:rPr>
                <w:sz w:val="24"/>
                <w:szCs w:val="24"/>
                <w:color w:val="auto"/>
              </w:rPr>
            </w:pPr>
          </w:p>
        </w:tc>
        <w:tc>
          <w:tcPr>
            <w:tcW w:w="180" w:type="dxa"/>
            <w:vAlign w:val="bottom"/>
            <w:tcBorders>
              <w:bottom w:val="single" w:sz="8" w:color="F2F2F2"/>
            </w:tcBorders>
            <w:shd w:val="clear" w:color="auto" w:fill="F2F2F2"/>
          </w:tcPr>
          <w:p>
            <w:pPr>
              <w:spacing w:after="0"/>
              <w:rPr>
                <w:sz w:val="24"/>
                <w:szCs w:val="24"/>
                <w:color w:val="auto"/>
              </w:rPr>
            </w:pPr>
          </w:p>
        </w:tc>
        <w:tc>
          <w:tcPr>
            <w:tcW w:w="40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4"/>
                <w:szCs w:val="14"/>
                <w:color w:val="auto"/>
              </w:rPr>
              <w:t>2023</w:t>
            </w:r>
          </w:p>
        </w:tc>
        <w:tc>
          <w:tcPr>
            <w:tcW w:w="860" w:type="dxa"/>
            <w:vAlign w:val="bottom"/>
            <w:tcBorders>
              <w:bottom w:val="single" w:sz="8" w:color="F2F2F2"/>
            </w:tcBorders>
            <w:shd w:val="clear" w:color="auto" w:fill="F2F2F2"/>
          </w:tcPr>
          <w:p>
            <w:pPr>
              <w:jc w:val="right"/>
              <w:ind w:right="29"/>
              <w:spacing w:after="0"/>
              <w:rPr>
                <w:sz w:val="20"/>
                <w:szCs w:val="20"/>
                <w:color w:val="auto"/>
              </w:rPr>
            </w:pPr>
            <w:r>
              <w:rPr>
                <w:rFonts w:ascii="Arial" w:cs="Arial" w:eastAsia="Arial" w:hAnsi="Arial"/>
                <w:sz w:val="14"/>
                <w:szCs w:val="14"/>
                <w:color w:val="auto"/>
              </w:rPr>
              <w:t>500,000</w:t>
            </w:r>
          </w:p>
        </w:tc>
        <w:tc>
          <w:tcPr>
            <w:tcW w:w="600" w:type="dxa"/>
            <w:vAlign w:val="bottom"/>
            <w:tcBorders>
              <w:bottom w:val="single" w:sz="8" w:color="F2F2F2"/>
            </w:tcBorders>
            <w:shd w:val="clear" w:color="auto" w:fill="F2F2F2"/>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F2F2F2"/>
            </w:tcBorders>
            <w:shd w:val="clear" w:color="auto" w:fill="F2F2F2"/>
          </w:tcPr>
          <w:p>
            <w:pPr>
              <w:jc w:val="right"/>
              <w:ind w:right="50"/>
              <w:spacing w:after="0"/>
              <w:rPr>
                <w:sz w:val="20"/>
                <w:szCs w:val="20"/>
                <w:color w:val="auto"/>
              </w:rPr>
            </w:pPr>
            <w:r>
              <w:rPr>
                <w:rFonts w:ascii="Arial" w:cs="Arial" w:eastAsia="Arial" w:hAnsi="Arial"/>
                <w:sz w:val="14"/>
                <w:szCs w:val="14"/>
                <w:color w:val="auto"/>
              </w:rPr>
              <w:t>8,231,522</w:t>
            </w:r>
          </w:p>
        </w:tc>
        <w:tc>
          <w:tcPr>
            <w:tcW w:w="980" w:type="dxa"/>
            <w:vAlign w:val="bottom"/>
            <w:tcBorders>
              <w:bottom w:val="single" w:sz="8" w:color="F2F2F2"/>
            </w:tcBorders>
            <w:shd w:val="clear" w:color="auto" w:fill="F2F2F2"/>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F2F2F2"/>
            </w:tcBorders>
            <w:shd w:val="clear" w:color="auto" w:fill="F2F2F2"/>
          </w:tcPr>
          <w:p>
            <w:pPr>
              <w:jc w:val="right"/>
              <w:ind w:right="50"/>
              <w:spacing w:after="0"/>
              <w:rPr>
                <w:sz w:val="20"/>
                <w:szCs w:val="20"/>
                <w:color w:val="auto"/>
              </w:rPr>
            </w:pPr>
            <w:r>
              <w:rPr>
                <w:rFonts w:ascii="Arial" w:cs="Arial" w:eastAsia="Arial" w:hAnsi="Arial"/>
                <w:sz w:val="14"/>
                <w:szCs w:val="14"/>
                <w:color w:val="auto"/>
              </w:rPr>
              <w:t>375,000</w:t>
            </w:r>
          </w:p>
        </w:tc>
        <w:tc>
          <w:tcPr>
            <w:tcW w:w="1060" w:type="dxa"/>
            <w:vAlign w:val="bottom"/>
            <w:tcBorders>
              <w:bottom w:val="single" w:sz="8" w:color="F2F2F2"/>
            </w:tcBorders>
            <w:shd w:val="clear" w:color="auto" w:fill="F2F2F2"/>
          </w:tcPr>
          <w:p>
            <w:pPr>
              <w:jc w:val="right"/>
              <w:ind w:right="5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F2F2F2"/>
            </w:tcBorders>
            <w:shd w:val="clear" w:color="auto" w:fill="F2F2F2"/>
          </w:tcPr>
          <w:p>
            <w:pPr>
              <w:jc w:val="right"/>
              <w:ind w:right="70"/>
              <w:spacing w:after="0"/>
              <w:rPr>
                <w:sz w:val="20"/>
                <w:szCs w:val="20"/>
                <w:color w:val="auto"/>
              </w:rPr>
            </w:pPr>
            <w:r>
              <w:rPr>
                <w:rFonts w:ascii="Arial" w:cs="Arial" w:eastAsia="Arial" w:hAnsi="Arial"/>
                <w:sz w:val="14"/>
                <w:szCs w:val="14"/>
                <w:color w:val="auto"/>
              </w:rPr>
              <w:t>12,456</w:t>
            </w:r>
          </w:p>
        </w:tc>
        <w:tc>
          <w:tcPr>
            <w:tcW w:w="9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9,118,978</w:t>
            </w:r>
          </w:p>
        </w:tc>
        <w:tc>
          <w:tcPr>
            <w:tcW w:w="0" w:type="dxa"/>
            <w:vAlign w:val="bottom"/>
          </w:tcPr>
          <w:p>
            <w:pPr>
              <w:spacing w:after="0"/>
              <w:rPr>
                <w:sz w:val="1"/>
                <w:szCs w:val="1"/>
                <w:color w:val="auto"/>
              </w:rPr>
            </w:pPr>
          </w:p>
        </w:tc>
      </w:tr>
      <w:tr>
        <w:trPr>
          <w:trHeight w:val="162"/>
        </w:trPr>
        <w:tc>
          <w:tcPr>
            <w:tcW w:w="1760" w:type="dxa"/>
            <w:vAlign w:val="bottom"/>
            <w:tcBorders>
              <w:bottom w:val="single" w:sz="8" w:color="376DB5"/>
            </w:tcBorders>
          </w:tcPr>
          <w:p>
            <w:pPr>
              <w:spacing w:after="0"/>
              <w:rPr>
                <w:sz w:val="14"/>
                <w:szCs w:val="14"/>
                <w:color w:val="auto"/>
              </w:rPr>
            </w:pPr>
          </w:p>
        </w:tc>
        <w:tc>
          <w:tcPr>
            <w:tcW w:w="1320" w:type="dxa"/>
            <w:vAlign w:val="bottom"/>
            <w:tcBorders>
              <w:bottom w:val="single" w:sz="8" w:color="376DB5"/>
            </w:tcBorders>
          </w:tcPr>
          <w:p>
            <w:pPr>
              <w:spacing w:after="0"/>
              <w:rPr>
                <w:sz w:val="14"/>
                <w:szCs w:val="14"/>
                <w:color w:val="auto"/>
              </w:rPr>
            </w:pPr>
          </w:p>
        </w:tc>
        <w:tc>
          <w:tcPr>
            <w:tcW w:w="180" w:type="dxa"/>
            <w:vAlign w:val="bottom"/>
            <w:tcBorders>
              <w:bottom w:val="single" w:sz="8" w:color="376DB5"/>
            </w:tcBorders>
          </w:tcPr>
          <w:p>
            <w:pPr>
              <w:spacing w:after="0"/>
              <w:rPr>
                <w:sz w:val="14"/>
                <w:szCs w:val="14"/>
                <w:color w:val="auto"/>
              </w:rPr>
            </w:pPr>
          </w:p>
        </w:tc>
        <w:tc>
          <w:tcPr>
            <w:tcW w:w="400" w:type="dxa"/>
            <w:vAlign w:val="bottom"/>
            <w:tcBorders>
              <w:bottom w:val="single" w:sz="8" w:color="376DB5"/>
            </w:tcBorders>
          </w:tcPr>
          <w:p>
            <w:pPr>
              <w:spacing w:after="0"/>
              <w:rPr>
                <w:sz w:val="14"/>
                <w:szCs w:val="14"/>
                <w:color w:val="auto"/>
              </w:rPr>
            </w:pPr>
          </w:p>
        </w:tc>
        <w:tc>
          <w:tcPr>
            <w:tcW w:w="860" w:type="dxa"/>
            <w:vAlign w:val="bottom"/>
            <w:tcBorders>
              <w:bottom w:val="single" w:sz="8" w:color="376DB5"/>
            </w:tcBorders>
          </w:tcPr>
          <w:p>
            <w:pPr>
              <w:spacing w:after="0"/>
              <w:rPr>
                <w:sz w:val="14"/>
                <w:szCs w:val="14"/>
                <w:color w:val="auto"/>
              </w:rPr>
            </w:pPr>
          </w:p>
        </w:tc>
        <w:tc>
          <w:tcPr>
            <w:tcW w:w="600" w:type="dxa"/>
            <w:vAlign w:val="bottom"/>
            <w:tcBorders>
              <w:bottom w:val="single" w:sz="8" w:color="376DB5"/>
            </w:tcBorders>
          </w:tcPr>
          <w:p>
            <w:pPr>
              <w:spacing w:after="0"/>
              <w:rPr>
                <w:sz w:val="14"/>
                <w:szCs w:val="14"/>
                <w:color w:val="auto"/>
              </w:rPr>
            </w:pPr>
          </w:p>
        </w:tc>
        <w:tc>
          <w:tcPr>
            <w:tcW w:w="980" w:type="dxa"/>
            <w:vAlign w:val="bottom"/>
            <w:tcBorders>
              <w:bottom w:val="single" w:sz="8" w:color="376DB5"/>
            </w:tcBorders>
          </w:tcPr>
          <w:p>
            <w:pPr>
              <w:spacing w:after="0"/>
              <w:rPr>
                <w:sz w:val="14"/>
                <w:szCs w:val="14"/>
                <w:color w:val="auto"/>
              </w:rPr>
            </w:pPr>
          </w:p>
        </w:tc>
        <w:tc>
          <w:tcPr>
            <w:tcW w:w="980" w:type="dxa"/>
            <w:vAlign w:val="bottom"/>
            <w:tcBorders>
              <w:bottom w:val="single" w:sz="8" w:color="376DB5"/>
            </w:tcBorders>
          </w:tcPr>
          <w:p>
            <w:pPr>
              <w:spacing w:after="0"/>
              <w:rPr>
                <w:sz w:val="14"/>
                <w:szCs w:val="14"/>
                <w:color w:val="auto"/>
              </w:rPr>
            </w:pPr>
          </w:p>
        </w:tc>
        <w:tc>
          <w:tcPr>
            <w:tcW w:w="900" w:type="dxa"/>
            <w:vAlign w:val="bottom"/>
            <w:tcBorders>
              <w:bottom w:val="single" w:sz="8" w:color="376DB5"/>
            </w:tcBorders>
          </w:tcPr>
          <w:p>
            <w:pPr>
              <w:spacing w:after="0"/>
              <w:rPr>
                <w:sz w:val="14"/>
                <w:szCs w:val="14"/>
                <w:color w:val="auto"/>
              </w:rPr>
            </w:pPr>
          </w:p>
        </w:tc>
        <w:tc>
          <w:tcPr>
            <w:tcW w:w="1060" w:type="dxa"/>
            <w:vAlign w:val="bottom"/>
            <w:tcBorders>
              <w:bottom w:val="single" w:sz="8" w:color="376DB5"/>
            </w:tcBorders>
          </w:tcPr>
          <w:p>
            <w:pPr>
              <w:spacing w:after="0"/>
              <w:rPr>
                <w:sz w:val="14"/>
                <w:szCs w:val="14"/>
                <w:color w:val="auto"/>
              </w:rPr>
            </w:pPr>
          </w:p>
        </w:tc>
        <w:tc>
          <w:tcPr>
            <w:tcW w:w="1080" w:type="dxa"/>
            <w:vAlign w:val="bottom"/>
            <w:tcBorders>
              <w:bottom w:val="single" w:sz="8" w:color="376DB5"/>
            </w:tcBorders>
          </w:tcPr>
          <w:p>
            <w:pPr>
              <w:spacing w:after="0"/>
              <w:rPr>
                <w:sz w:val="14"/>
                <w:szCs w:val="14"/>
                <w:color w:val="auto"/>
              </w:rPr>
            </w:pPr>
          </w:p>
        </w:tc>
        <w:tc>
          <w:tcPr>
            <w:tcW w:w="900" w:type="dxa"/>
            <w:vAlign w:val="bottom"/>
            <w:tcBorders>
              <w:bottom w:val="single" w:sz="8" w:color="376DB5"/>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760" w:type="dxa"/>
            <w:vAlign w:val="bottom"/>
            <w:tcBorders>
              <w:bottom w:val="single" w:sz="8" w:color="auto"/>
            </w:tcBorders>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left="540" w:hanging="424"/>
        <w:spacing w:after="0" w:line="221" w:lineRule="auto"/>
        <w:tabs>
          <w:tab w:leader="none" w:pos="540" w:val="left"/>
        </w:tabs>
        <w:numPr>
          <w:ilvl w:val="0"/>
          <w:numId w:val="49"/>
        </w:numPr>
        <w:rPr>
          <w:rFonts w:ascii="Arial" w:cs="Arial" w:eastAsia="Arial" w:hAnsi="Arial"/>
          <w:sz w:val="27"/>
          <w:szCs w:val="27"/>
          <w:color w:val="auto"/>
          <w:vertAlign w:val="superscript"/>
        </w:rPr>
      </w:pPr>
      <w:r>
        <w:rPr>
          <w:rFonts w:ascii="Arial" w:cs="Arial" w:eastAsia="Arial" w:hAnsi="Arial"/>
          <w:sz w:val="18"/>
          <w:szCs w:val="18"/>
          <w:color w:val="auto"/>
        </w:rPr>
        <w:t>The amounts in the “Stock Awards” column represent the aggregate grant date fair value of each award granted during the fiscal year, computed in accordance with FASB ASC Topic 718, and do not reflect whether the named executive officer has actually realized a financial benefit from the award. For information on the assumptions used to calculate the value of the awards, refer to Note 13 of the Company’s Consolidated Financial Statements in the Annual Report on Form 10-K for the fiscal year ended September 30, 2025, as filed with the SEC.</w:t>
      </w:r>
    </w:p>
    <w:p>
      <w:pPr>
        <w:spacing w:after="0" w:line="31" w:lineRule="exact"/>
        <w:rPr>
          <w:rFonts w:ascii="Arial" w:cs="Arial" w:eastAsia="Arial" w:hAnsi="Arial"/>
          <w:sz w:val="27"/>
          <w:szCs w:val="27"/>
          <w:color w:val="auto"/>
          <w:vertAlign w:val="superscript"/>
        </w:rPr>
      </w:pPr>
    </w:p>
    <w:p>
      <w:pPr>
        <w:ind w:left="540" w:right="20" w:hanging="424"/>
        <w:spacing w:after="0" w:line="204" w:lineRule="auto"/>
        <w:tabs>
          <w:tab w:leader="none" w:pos="540" w:val="left"/>
        </w:tabs>
        <w:numPr>
          <w:ilvl w:val="0"/>
          <w:numId w:val="49"/>
        </w:numPr>
        <w:rPr>
          <w:rFonts w:ascii="Arial" w:cs="Arial" w:eastAsia="Arial" w:hAnsi="Arial"/>
          <w:sz w:val="27"/>
          <w:szCs w:val="27"/>
          <w:color w:val="auto"/>
          <w:vertAlign w:val="superscript"/>
        </w:rPr>
      </w:pPr>
      <w:r>
        <w:rPr>
          <w:rFonts w:ascii="Arial" w:cs="Arial" w:eastAsia="Arial" w:hAnsi="Arial"/>
          <w:sz w:val="18"/>
          <w:szCs w:val="18"/>
          <w:color w:val="auto"/>
        </w:rPr>
        <w:t>Stock Awards for fiscal 2025 include the grant date fair value of time-based RSU awards, PSU awards and MSU awards granted on December 9, 2024, under the 2021 LTIP.</w:t>
      </w:r>
    </w:p>
    <w:p>
      <w:pPr>
        <w:spacing w:after="0" w:line="19" w:lineRule="exact"/>
        <w:rPr>
          <w:rFonts w:ascii="Arial" w:cs="Arial" w:eastAsia="Arial" w:hAnsi="Arial"/>
          <w:sz w:val="27"/>
          <w:szCs w:val="27"/>
          <w:color w:val="auto"/>
          <w:vertAlign w:val="superscript"/>
        </w:rPr>
      </w:pPr>
    </w:p>
    <w:p>
      <w:pPr>
        <w:jc w:val="both"/>
        <w:ind w:left="560"/>
        <w:spacing w:after="0" w:line="228" w:lineRule="auto"/>
        <w:rPr>
          <w:rFonts w:ascii="Arial" w:cs="Arial" w:eastAsia="Arial" w:hAnsi="Arial"/>
          <w:sz w:val="27"/>
          <w:szCs w:val="27"/>
          <w:color w:val="auto"/>
          <w:vertAlign w:val="superscript"/>
        </w:rPr>
      </w:pPr>
      <w:r>
        <w:rPr>
          <w:rFonts w:ascii="Arial" w:cs="Arial" w:eastAsia="Arial" w:hAnsi="Arial"/>
          <w:sz w:val="18"/>
          <w:szCs w:val="18"/>
          <w:color w:val="auto"/>
        </w:rPr>
        <w:t>The PSUs were tied to the achievement of certain performance goals during fiscal 2025, and the named executive officer must be an employee on the vesting dates of December 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2025, 2026 and 2027 in order to realize the earned PSU value. The values included in the table for the PSUs are at target value, representing the probable outcome of the performance conditions as calculated at the time of grant. The maximum value of the award on the grant date, assuming the highest level of performance conditions achieved, would be $19,954,906 vs. target of $9,977,453 for Mr. Lansing; $3,661,368 vs. target of $1,830,684 for Mr. Weber; $3,990,982 vs. target of $1,995,491 for Mr. Behl; $3,661,368 vs. target of $1,830,684 for Mr. Deal; $3,661,368 vs. target of $1,830,684 for Mr. Scadina; and $3,990,982 vs. target of $1,995,491 for Mr. Wehmann. The named executive officers earned 150.2% of their respective target award, resulting in 6,729 units for Mr. Lansing; 1,235 units for Mr. Weber; 1,346 units for Mr. Behl; 1,235 units for Mr. Deal; and 1,235 units for Mr. Scadina. Due to his retirement on September 5, 2025, Mr. Wehmann’s fiscal 2025 PSUs were forfeited.</w:t>
      </w:r>
    </w:p>
    <w:p>
      <w:pPr>
        <w:spacing w:after="0" w:line="120"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60</w:t>
      </w:r>
    </w:p>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jc w:val="both"/>
        <w:ind w:left="560" w:right="20"/>
        <w:spacing w:after="0" w:line="216" w:lineRule="auto"/>
        <w:rPr>
          <w:sz w:val="20"/>
          <w:szCs w:val="20"/>
          <w:color w:val="auto"/>
        </w:rPr>
      </w:pPr>
      <w:r>
        <w:rPr>
          <w:rFonts w:ascii="Arial" w:cs="Arial" w:eastAsia="Arial" w:hAnsi="Arial"/>
          <w:sz w:val="18"/>
          <w:szCs w:val="18"/>
          <w:color w:val="auto"/>
        </w:rPr>
        <w:t>The MSUs granted in fiscal 2025 were tied to the achievement of certain performance goals over three performance periods ending on November 30, 2025, 2026 and 2027. The named executive officers must be employed on the vesting dates of December 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2025, 2026 and 2027 in order to realize the earned MSU value.</w:t>
      </w:r>
    </w:p>
    <w:p>
      <w:pPr>
        <w:spacing w:after="0" w:line="20" w:lineRule="exact"/>
        <w:rPr>
          <w:sz w:val="20"/>
          <w:szCs w:val="20"/>
          <w:color w:val="auto"/>
        </w:rPr>
      </w:pPr>
    </w:p>
    <w:p>
      <w:pPr>
        <w:jc w:val="both"/>
        <w:ind w:left="560"/>
        <w:spacing w:after="0" w:line="227" w:lineRule="auto"/>
        <w:rPr>
          <w:sz w:val="20"/>
          <w:szCs w:val="20"/>
          <w:color w:val="auto"/>
        </w:rPr>
      </w:pPr>
      <w:r>
        <w:rPr>
          <w:rFonts w:ascii="Arial" w:cs="Arial" w:eastAsia="Arial" w:hAnsi="Arial"/>
          <w:sz w:val="18"/>
          <w:szCs w:val="18"/>
          <w:color w:val="auto"/>
        </w:rPr>
        <w:t>The values included in the table for the MSUs are at target value, representing the probable outcome of the performance conditions as calculated at the time of grant. The maximum value of the award on the grant date, assuming the highest level of performance conditions achieved, would be $28,273,908 vs. target of $ 14,136,954 for Mr. Lansing; $5,187,758 vs. target of $2,593,879 for Mr. Weber; $5,654,782 vs. target of $2,827,391 for Mr. Behl; $5,187,758 vs. target of $2,593,879 for Mr. Deal; $5,187,758 vs. target of $2,593,879 for Mr. Scadina; $5,654,782 vs. target of $ 2,827,391 for Mr. Wehmann. Based on FICOs stock performance compared to the 55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company in the S&amp;P 500 Index our total stockholder return of -19.87% for fiscal 2025, 0% of the MSUs granted in fiscal 2025 were earned at the conclusion of the first performance period ending on November 30, 2025. Due to his retirement on September 5, 2025, Mr. Wehmann’s fiscal 2025 MSUs were forfeited.</w:t>
      </w:r>
    </w:p>
    <w:p>
      <w:pPr>
        <w:spacing w:after="0" w:line="34" w:lineRule="exact"/>
        <w:rPr>
          <w:sz w:val="20"/>
          <w:szCs w:val="20"/>
          <w:color w:val="auto"/>
        </w:rPr>
      </w:pPr>
    </w:p>
    <w:p>
      <w:pPr>
        <w:jc w:val="both"/>
        <w:ind w:left="540" w:right="20" w:hanging="424"/>
        <w:spacing w:after="0" w:line="223" w:lineRule="auto"/>
        <w:tabs>
          <w:tab w:leader="none" w:pos="540"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The amount in the “Option Awards” column represents the grant date fair value, computed in accordance with FASB ASC Topic 718, of the special performance-based retention and leadership continuity award of non-qualified stock options granted to Mr. Lansing on June 5, 2023. None of the named executive officers elected to receive stock options in exchange for a portion of his RSU awards in any of the years shown. For information on the assumptions used to calculate the value of the stock options, refer to Note 13 of the Company’s Consolidated Financial Statements in the Annual Report on Form 10-K for the fiscal year ended September 30, 2025, as filed with the SEC.</w:t>
      </w:r>
    </w:p>
    <w:p>
      <w:pPr>
        <w:spacing w:after="0" w:line="32" w:lineRule="exact"/>
        <w:rPr>
          <w:rFonts w:ascii="Arial" w:cs="Arial" w:eastAsia="Arial" w:hAnsi="Arial"/>
          <w:sz w:val="27"/>
          <w:szCs w:val="27"/>
          <w:color w:val="auto"/>
          <w:vertAlign w:val="superscript"/>
        </w:rPr>
      </w:pPr>
    </w:p>
    <w:p>
      <w:pPr>
        <w:ind w:left="540" w:right="20" w:hanging="424"/>
        <w:spacing w:after="0" w:line="204" w:lineRule="auto"/>
        <w:tabs>
          <w:tab w:leader="none" w:pos="540"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Represents amounts paid in the first quarter of fiscal 2026 based on performance during fiscal 2025 under our Executive Incentive Plan.</w:t>
      </w:r>
    </w:p>
    <w:p>
      <w:pPr>
        <w:spacing w:after="0" w:line="32" w:lineRule="exact"/>
        <w:rPr>
          <w:rFonts w:ascii="Arial" w:cs="Arial" w:eastAsia="Arial" w:hAnsi="Arial"/>
          <w:sz w:val="27"/>
          <w:szCs w:val="27"/>
          <w:color w:val="auto"/>
          <w:vertAlign w:val="superscript"/>
        </w:rPr>
      </w:pPr>
    </w:p>
    <w:p>
      <w:pPr>
        <w:jc w:val="both"/>
        <w:ind w:left="540" w:hanging="424"/>
        <w:spacing w:after="0" w:line="221" w:lineRule="auto"/>
        <w:tabs>
          <w:tab w:leader="none" w:pos="540"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The amounts shown for fiscal 2025 are detailed in the supplemental table below entitled “All Other Compensation Table.” In addition, the amount shown for Mr. Lansing for fiscal 2024, as well as the amount in the “Total” column, were updated to reflect that, during fiscal 2024, we paid $239,172 in filing fees and related preparation fees on behalf of Mr. Lansing for HSR compliance. Further, the amount shown for Mr. Scadina for fiscal 2024, as well as the amount in the “Total” column, were updated to reflect that, during fiscal 2024, we paid $13,946 in preparation fees on behalf of Mr. Scadina for HSR compliance.</w:t>
      </w:r>
    </w:p>
    <w:p>
      <w:pPr>
        <w:spacing w:after="0" w:line="31" w:lineRule="exact"/>
        <w:rPr>
          <w:rFonts w:ascii="Arial" w:cs="Arial" w:eastAsia="Arial" w:hAnsi="Arial"/>
          <w:sz w:val="27"/>
          <w:szCs w:val="27"/>
          <w:color w:val="auto"/>
          <w:vertAlign w:val="superscript"/>
        </w:rPr>
      </w:pPr>
    </w:p>
    <w:p>
      <w:pPr>
        <w:ind w:left="540" w:right="20" w:hanging="424"/>
        <w:spacing w:after="0" w:line="204" w:lineRule="auto"/>
        <w:tabs>
          <w:tab w:leader="none" w:pos="540"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As permitted by SEC rules, because fiscal 2025 was Mr. Behl’s first year as a named executive officer, the compensation paid to him prior to fiscal 2025 is not included in the table.</w:t>
      </w:r>
    </w:p>
    <w:p>
      <w:pPr>
        <w:spacing w:after="0" w:line="32" w:lineRule="exact"/>
        <w:rPr>
          <w:rFonts w:ascii="Arial" w:cs="Arial" w:eastAsia="Arial" w:hAnsi="Arial"/>
          <w:sz w:val="27"/>
          <w:szCs w:val="27"/>
          <w:color w:val="auto"/>
          <w:vertAlign w:val="superscript"/>
        </w:rPr>
      </w:pPr>
    </w:p>
    <w:p>
      <w:pPr>
        <w:ind w:left="540" w:right="20" w:hanging="424"/>
        <w:spacing w:after="0" w:line="204" w:lineRule="auto"/>
        <w:tabs>
          <w:tab w:leader="none" w:pos="540"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As permitted by SEC rules, because fiscal 2024 was Mr. Deal’s first year as a named executive officer, the compensation paid to him prior to fiscal 2024 is not included in the table.</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All Other Compensation Table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5160" w:type="dxa"/>
            <w:vAlign w:val="bottom"/>
            <w:tcBorders>
              <w:top w:val="single" w:sz="8" w:color="376DB5"/>
            </w:tcBorders>
          </w:tcPr>
          <w:p>
            <w:pPr>
              <w:spacing w:after="0"/>
              <w:rPr>
                <w:sz w:val="17"/>
                <w:szCs w:val="17"/>
                <w:color w:val="auto"/>
              </w:rPr>
            </w:pPr>
          </w:p>
        </w:tc>
        <w:tc>
          <w:tcPr>
            <w:tcW w:w="980" w:type="dxa"/>
            <w:vAlign w:val="bottom"/>
            <w:tcBorders>
              <w:top w:val="single" w:sz="8" w:color="376DB5"/>
            </w:tcBorders>
          </w:tcPr>
          <w:p>
            <w:pPr>
              <w:jc w:val="right"/>
              <w:ind w:right="150"/>
              <w:spacing w:after="0" w:line="197" w:lineRule="exact"/>
              <w:rPr>
                <w:sz w:val="20"/>
                <w:szCs w:val="20"/>
                <w:color w:val="auto"/>
              </w:rPr>
            </w:pPr>
            <w:r>
              <w:rPr>
                <w:rFonts w:ascii="Arial" w:cs="Arial" w:eastAsia="Arial" w:hAnsi="Arial"/>
                <w:sz w:val="18"/>
                <w:szCs w:val="18"/>
                <w:color w:val="376DB5"/>
              </w:rPr>
              <w:t>William</w:t>
            </w:r>
          </w:p>
        </w:tc>
        <w:tc>
          <w:tcPr>
            <w:tcW w:w="940" w:type="dxa"/>
            <w:vAlign w:val="bottom"/>
            <w:tcBorders>
              <w:top w:val="single" w:sz="8" w:color="376DB5"/>
            </w:tcBorders>
          </w:tcPr>
          <w:p>
            <w:pPr>
              <w:jc w:val="right"/>
              <w:ind w:right="170"/>
              <w:spacing w:after="0" w:line="197" w:lineRule="exact"/>
              <w:rPr>
                <w:sz w:val="20"/>
                <w:szCs w:val="20"/>
                <w:color w:val="auto"/>
              </w:rPr>
            </w:pPr>
            <w:r>
              <w:rPr>
                <w:rFonts w:ascii="Arial" w:cs="Arial" w:eastAsia="Arial" w:hAnsi="Arial"/>
                <w:sz w:val="18"/>
                <w:szCs w:val="18"/>
                <w:color w:val="376DB5"/>
              </w:rPr>
              <w:t>Steven</w:t>
            </w:r>
          </w:p>
        </w:tc>
        <w:tc>
          <w:tcPr>
            <w:tcW w:w="840" w:type="dxa"/>
            <w:vAlign w:val="bottom"/>
            <w:tcBorders>
              <w:top w:val="single" w:sz="8" w:color="376DB5"/>
            </w:tcBorders>
          </w:tcPr>
          <w:p>
            <w:pPr>
              <w:jc w:val="right"/>
              <w:ind w:right="150"/>
              <w:spacing w:after="0" w:line="197" w:lineRule="exact"/>
              <w:rPr>
                <w:sz w:val="20"/>
                <w:szCs w:val="20"/>
                <w:color w:val="auto"/>
              </w:rPr>
            </w:pPr>
            <w:r>
              <w:rPr>
                <w:rFonts w:ascii="Arial" w:cs="Arial" w:eastAsia="Arial" w:hAnsi="Arial"/>
                <w:sz w:val="18"/>
                <w:szCs w:val="18"/>
                <w:color w:val="376DB5"/>
              </w:rPr>
              <w:t>Nikhil</w:t>
            </w:r>
          </w:p>
        </w:tc>
        <w:tc>
          <w:tcPr>
            <w:tcW w:w="980" w:type="dxa"/>
            <w:vAlign w:val="bottom"/>
            <w:tcBorders>
              <w:top w:val="single" w:sz="8" w:color="376DB5"/>
            </w:tcBorders>
          </w:tcPr>
          <w:p>
            <w:pPr>
              <w:jc w:val="right"/>
              <w:ind w:right="130"/>
              <w:spacing w:after="0" w:line="197" w:lineRule="exact"/>
              <w:rPr>
                <w:sz w:val="20"/>
                <w:szCs w:val="20"/>
                <w:color w:val="auto"/>
              </w:rPr>
            </w:pPr>
            <w:r>
              <w:rPr>
                <w:rFonts w:ascii="Arial" w:cs="Arial" w:eastAsia="Arial" w:hAnsi="Arial"/>
                <w:sz w:val="18"/>
                <w:szCs w:val="18"/>
                <w:color w:val="376DB5"/>
              </w:rPr>
              <w:t>Richard</w:t>
            </w:r>
          </w:p>
        </w:tc>
        <w:tc>
          <w:tcPr>
            <w:tcW w:w="1020" w:type="dxa"/>
            <w:vAlign w:val="bottom"/>
            <w:tcBorders>
              <w:top w:val="single" w:sz="8" w:color="376DB5"/>
            </w:tcBorders>
          </w:tcPr>
          <w:p>
            <w:pPr>
              <w:jc w:val="right"/>
              <w:ind w:right="150"/>
              <w:spacing w:after="0" w:line="197" w:lineRule="exact"/>
              <w:rPr>
                <w:sz w:val="20"/>
                <w:szCs w:val="20"/>
                <w:color w:val="auto"/>
              </w:rPr>
            </w:pPr>
            <w:r>
              <w:rPr>
                <w:rFonts w:ascii="Arial" w:cs="Arial" w:eastAsia="Arial" w:hAnsi="Arial"/>
                <w:sz w:val="18"/>
                <w:szCs w:val="18"/>
                <w:color w:val="376DB5"/>
              </w:rPr>
              <w:t>Mark</w:t>
            </w:r>
          </w:p>
        </w:tc>
        <w:tc>
          <w:tcPr>
            <w:tcW w:w="1100" w:type="dxa"/>
            <w:vAlign w:val="bottom"/>
            <w:tcBorders>
              <w:top w:val="single" w:sz="8" w:color="376DB5"/>
            </w:tcBorders>
          </w:tcPr>
          <w:p>
            <w:pPr>
              <w:jc w:val="right"/>
              <w:ind w:right="70"/>
              <w:spacing w:after="0" w:line="197" w:lineRule="exact"/>
              <w:rPr>
                <w:sz w:val="20"/>
                <w:szCs w:val="20"/>
                <w:color w:val="auto"/>
              </w:rPr>
            </w:pPr>
            <w:r>
              <w:rPr>
                <w:rFonts w:ascii="Arial" w:cs="Arial" w:eastAsia="Arial" w:hAnsi="Arial"/>
                <w:sz w:val="18"/>
                <w:szCs w:val="18"/>
                <w:color w:val="376DB5"/>
              </w:rPr>
              <w:t>James</w:t>
            </w:r>
          </w:p>
        </w:tc>
      </w:tr>
      <w:tr>
        <w:trPr>
          <w:trHeight w:val="235"/>
        </w:trPr>
        <w:tc>
          <w:tcPr>
            <w:tcW w:w="5160" w:type="dxa"/>
            <w:vAlign w:val="bottom"/>
            <w:tcBorders>
              <w:bottom w:val="single" w:sz="8" w:color="376DB5"/>
            </w:tcBorders>
          </w:tcPr>
          <w:p>
            <w:pPr>
              <w:spacing w:after="0"/>
              <w:rPr>
                <w:sz w:val="20"/>
                <w:szCs w:val="20"/>
                <w:color w:val="auto"/>
              </w:rPr>
            </w:pPr>
            <w:r>
              <w:rPr>
                <w:rFonts w:ascii="Arial" w:cs="Arial" w:eastAsia="Arial" w:hAnsi="Arial"/>
                <w:sz w:val="18"/>
                <w:szCs w:val="18"/>
                <w:color w:val="376DB5"/>
              </w:rPr>
              <w:t>Elements of All Other Compensation</w:t>
            </w:r>
          </w:p>
        </w:tc>
        <w:tc>
          <w:tcPr>
            <w:tcW w:w="980" w:type="dxa"/>
            <w:vAlign w:val="bottom"/>
            <w:tcBorders>
              <w:bottom w:val="single" w:sz="8" w:color="376DB5"/>
            </w:tcBorders>
          </w:tcPr>
          <w:p>
            <w:pPr>
              <w:jc w:val="right"/>
              <w:ind w:right="90"/>
              <w:spacing w:after="0"/>
              <w:rPr>
                <w:sz w:val="20"/>
                <w:szCs w:val="20"/>
                <w:color w:val="auto"/>
              </w:rPr>
            </w:pPr>
            <w:r>
              <w:rPr>
                <w:rFonts w:ascii="Arial" w:cs="Arial" w:eastAsia="Arial" w:hAnsi="Arial"/>
                <w:sz w:val="18"/>
                <w:szCs w:val="18"/>
                <w:color w:val="376DB5"/>
              </w:rPr>
              <w:t>Lansing </w:t>
            </w:r>
          </w:p>
        </w:tc>
        <w:tc>
          <w:tcPr>
            <w:tcW w:w="940" w:type="dxa"/>
            <w:vAlign w:val="bottom"/>
            <w:tcBorders>
              <w:bottom w:val="single" w:sz="8" w:color="376DB5"/>
            </w:tcBorders>
          </w:tcPr>
          <w:p>
            <w:pPr>
              <w:jc w:val="right"/>
              <w:ind w:right="110"/>
              <w:spacing w:after="0"/>
              <w:rPr>
                <w:sz w:val="20"/>
                <w:szCs w:val="20"/>
                <w:color w:val="auto"/>
              </w:rPr>
            </w:pPr>
            <w:r>
              <w:rPr>
                <w:rFonts w:ascii="Arial" w:cs="Arial" w:eastAsia="Arial" w:hAnsi="Arial"/>
                <w:sz w:val="18"/>
                <w:szCs w:val="18"/>
                <w:color w:val="376DB5"/>
              </w:rPr>
              <w:t>Weber </w:t>
            </w:r>
          </w:p>
        </w:tc>
        <w:tc>
          <w:tcPr>
            <w:tcW w:w="840" w:type="dxa"/>
            <w:vAlign w:val="bottom"/>
            <w:tcBorders>
              <w:bottom w:val="single" w:sz="8" w:color="376DB5"/>
            </w:tcBorders>
          </w:tcPr>
          <w:p>
            <w:pPr>
              <w:jc w:val="right"/>
              <w:ind w:right="90"/>
              <w:spacing w:after="0"/>
              <w:rPr>
                <w:sz w:val="20"/>
                <w:szCs w:val="20"/>
                <w:color w:val="auto"/>
              </w:rPr>
            </w:pPr>
            <w:r>
              <w:rPr>
                <w:rFonts w:ascii="Arial" w:cs="Arial" w:eastAsia="Arial" w:hAnsi="Arial"/>
                <w:sz w:val="18"/>
                <w:szCs w:val="18"/>
                <w:color w:val="376DB5"/>
              </w:rPr>
              <w:t>Behl </w:t>
            </w:r>
          </w:p>
        </w:tc>
        <w:tc>
          <w:tcPr>
            <w:tcW w:w="980" w:type="dxa"/>
            <w:vAlign w:val="bottom"/>
            <w:tcBorders>
              <w:bottom w:val="single" w:sz="8" w:color="376DB5"/>
            </w:tcBorders>
          </w:tcPr>
          <w:p>
            <w:pPr>
              <w:jc w:val="right"/>
              <w:ind w:right="90"/>
              <w:spacing w:after="0"/>
              <w:rPr>
                <w:sz w:val="20"/>
                <w:szCs w:val="20"/>
                <w:color w:val="auto"/>
              </w:rPr>
            </w:pPr>
            <w:r>
              <w:rPr>
                <w:rFonts w:ascii="Arial" w:cs="Arial" w:eastAsia="Arial" w:hAnsi="Arial"/>
                <w:sz w:val="18"/>
                <w:szCs w:val="18"/>
                <w:color w:val="376DB5"/>
              </w:rPr>
              <w:t>Deal </w:t>
            </w:r>
          </w:p>
        </w:tc>
        <w:tc>
          <w:tcPr>
            <w:tcW w:w="1020" w:type="dxa"/>
            <w:vAlign w:val="bottom"/>
            <w:tcBorders>
              <w:bottom w:val="single" w:sz="8" w:color="376DB5"/>
            </w:tcBorders>
          </w:tcPr>
          <w:p>
            <w:pPr>
              <w:jc w:val="right"/>
              <w:ind w:right="90"/>
              <w:spacing w:after="0"/>
              <w:rPr>
                <w:sz w:val="20"/>
                <w:szCs w:val="20"/>
                <w:color w:val="auto"/>
              </w:rPr>
            </w:pPr>
            <w:r>
              <w:rPr>
                <w:rFonts w:ascii="Arial" w:cs="Arial" w:eastAsia="Arial" w:hAnsi="Arial"/>
                <w:sz w:val="18"/>
                <w:szCs w:val="18"/>
                <w:color w:val="376DB5"/>
              </w:rPr>
              <w:t>Scadina </w:t>
            </w:r>
          </w:p>
        </w:tc>
        <w:tc>
          <w:tcPr>
            <w:tcW w:w="1100" w:type="dxa"/>
            <w:vAlign w:val="bottom"/>
            <w:tcBorders>
              <w:bottom w:val="single" w:sz="8" w:color="376DB5"/>
            </w:tcBorders>
          </w:tcPr>
          <w:p>
            <w:pPr>
              <w:jc w:val="right"/>
              <w:ind w:right="30"/>
              <w:spacing w:after="0"/>
              <w:rPr>
                <w:sz w:val="20"/>
                <w:szCs w:val="20"/>
                <w:color w:val="auto"/>
              </w:rPr>
            </w:pPr>
            <w:r>
              <w:rPr>
                <w:rFonts w:ascii="Arial" w:cs="Arial" w:eastAsia="Arial" w:hAnsi="Arial"/>
                <w:sz w:val="18"/>
                <w:szCs w:val="18"/>
                <w:color w:val="376DB5"/>
              </w:rPr>
              <w:t>Wehmann </w:t>
            </w:r>
          </w:p>
        </w:tc>
      </w:tr>
      <w:tr>
        <w:trPr>
          <w:trHeight w:val="318"/>
        </w:trPr>
        <w:tc>
          <w:tcPr>
            <w:tcW w:w="5160" w:type="dxa"/>
            <w:vAlign w:val="bottom"/>
          </w:tcPr>
          <w:p>
            <w:pPr>
              <w:spacing w:after="0"/>
              <w:rPr>
                <w:sz w:val="20"/>
                <w:szCs w:val="20"/>
                <w:color w:val="auto"/>
              </w:rPr>
            </w:pPr>
            <w:r>
              <w:rPr>
                <w:rFonts w:ascii="Arial" w:cs="Arial" w:eastAsia="Arial" w:hAnsi="Arial"/>
                <w:sz w:val="18"/>
                <w:szCs w:val="18"/>
                <w:color w:val="auto"/>
              </w:rPr>
              <w:t>401(k) Match($)</w:t>
            </w:r>
            <w:r>
              <w:rPr>
                <w:rFonts w:ascii="Arial" w:cs="Arial" w:eastAsia="Arial" w:hAnsi="Arial"/>
                <w:sz w:val="26"/>
                <w:szCs w:val="26"/>
                <w:color w:val="auto"/>
                <w:vertAlign w:val="superscript"/>
              </w:rPr>
              <w:t>(1)</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14,000</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13,800</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14,262</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13,800</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13,770</w:t>
            </w:r>
          </w:p>
        </w:tc>
        <w:tc>
          <w:tcPr>
            <w:tcW w:w="1100" w:type="dxa"/>
            <w:vAlign w:val="bottom"/>
          </w:tcPr>
          <w:p>
            <w:pPr>
              <w:jc w:val="right"/>
              <w:spacing w:after="0"/>
              <w:rPr>
                <w:sz w:val="20"/>
                <w:szCs w:val="20"/>
                <w:color w:val="auto"/>
              </w:rPr>
            </w:pPr>
            <w:r>
              <w:rPr>
                <w:rFonts w:ascii="Arial" w:cs="Arial" w:eastAsia="Arial" w:hAnsi="Arial"/>
                <w:sz w:val="18"/>
                <w:szCs w:val="18"/>
                <w:color w:val="auto"/>
              </w:rPr>
              <w:t>13,800</w:t>
            </w:r>
          </w:p>
        </w:tc>
      </w:tr>
      <w:tr>
        <w:trPr>
          <w:trHeight w:val="337"/>
        </w:trPr>
        <w:tc>
          <w:tcPr>
            <w:tcW w:w="5160" w:type="dxa"/>
            <w:vAlign w:val="bottom"/>
            <w:shd w:val="clear" w:color="auto" w:fill="F2F2F2"/>
          </w:tcPr>
          <w:p>
            <w:pPr>
              <w:spacing w:after="0"/>
              <w:rPr>
                <w:sz w:val="20"/>
                <w:szCs w:val="20"/>
                <w:color w:val="auto"/>
              </w:rPr>
            </w:pPr>
            <w:r>
              <w:rPr>
                <w:rFonts w:ascii="Arial" w:cs="Arial" w:eastAsia="Arial" w:hAnsi="Arial"/>
                <w:sz w:val="18"/>
                <w:szCs w:val="18"/>
                <w:color w:val="auto"/>
              </w:rPr>
              <w:t>Life Insurance Premium($)</w:t>
            </w:r>
            <w:r>
              <w:rPr>
                <w:rFonts w:ascii="Arial" w:cs="Arial" w:eastAsia="Arial" w:hAnsi="Arial"/>
                <w:sz w:val="26"/>
                <w:szCs w:val="26"/>
                <w:color w:val="auto"/>
                <w:vertAlign w:val="superscript"/>
              </w:rPr>
              <w:t>(2)</w:t>
            </w:r>
          </w:p>
        </w:tc>
        <w:tc>
          <w:tcPr>
            <w:tcW w:w="980" w:type="dxa"/>
            <w:vAlign w:val="bottom"/>
            <w:shd w:val="clear" w:color="auto" w:fill="F2F2F2"/>
          </w:tcPr>
          <w:p>
            <w:pPr>
              <w:jc w:val="right"/>
              <w:ind w:right="50"/>
              <w:spacing w:after="0"/>
              <w:rPr>
                <w:sz w:val="20"/>
                <w:szCs w:val="20"/>
                <w:color w:val="auto"/>
              </w:rPr>
            </w:pPr>
            <w:r>
              <w:rPr>
                <w:rFonts w:ascii="Arial" w:cs="Arial" w:eastAsia="Arial" w:hAnsi="Arial"/>
                <w:sz w:val="18"/>
                <w:szCs w:val="18"/>
                <w:color w:val="auto"/>
              </w:rPr>
              <w:t>349</w:t>
            </w:r>
          </w:p>
        </w:tc>
        <w:tc>
          <w:tcPr>
            <w:tcW w:w="94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307</w:t>
            </w:r>
          </w:p>
        </w:tc>
        <w:tc>
          <w:tcPr>
            <w:tcW w:w="840" w:type="dxa"/>
            <w:vAlign w:val="bottom"/>
            <w:shd w:val="clear" w:color="auto" w:fill="F2F2F2"/>
          </w:tcPr>
          <w:p>
            <w:pPr>
              <w:jc w:val="right"/>
              <w:ind w:right="50"/>
              <w:spacing w:after="0"/>
              <w:rPr>
                <w:sz w:val="20"/>
                <w:szCs w:val="20"/>
                <w:color w:val="auto"/>
              </w:rPr>
            </w:pPr>
            <w:r>
              <w:rPr>
                <w:rFonts w:ascii="Arial" w:cs="Arial" w:eastAsia="Arial" w:hAnsi="Arial"/>
                <w:sz w:val="18"/>
                <w:szCs w:val="18"/>
                <w:color w:val="auto"/>
              </w:rPr>
              <w:t>384</w:t>
            </w:r>
          </w:p>
        </w:tc>
        <w:tc>
          <w:tcPr>
            <w:tcW w:w="98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307</w:t>
            </w:r>
          </w:p>
        </w:tc>
        <w:tc>
          <w:tcPr>
            <w:tcW w:w="1020" w:type="dxa"/>
            <w:vAlign w:val="bottom"/>
            <w:shd w:val="clear" w:color="auto" w:fill="F2F2F2"/>
          </w:tcPr>
          <w:p>
            <w:pPr>
              <w:jc w:val="right"/>
              <w:ind w:right="50"/>
              <w:spacing w:after="0"/>
              <w:rPr>
                <w:sz w:val="20"/>
                <w:szCs w:val="20"/>
                <w:color w:val="auto"/>
              </w:rPr>
            </w:pPr>
            <w:r>
              <w:rPr>
                <w:rFonts w:ascii="Arial" w:cs="Arial" w:eastAsia="Arial" w:hAnsi="Arial"/>
                <w:sz w:val="18"/>
                <w:szCs w:val="18"/>
                <w:color w:val="auto"/>
              </w:rPr>
              <w:t>307</w:t>
            </w: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384</w:t>
            </w:r>
          </w:p>
        </w:tc>
      </w:tr>
      <w:tr>
        <w:trPr>
          <w:trHeight w:val="338"/>
        </w:trPr>
        <w:tc>
          <w:tcPr>
            <w:tcW w:w="5160" w:type="dxa"/>
            <w:vAlign w:val="bottom"/>
          </w:tcPr>
          <w:p>
            <w:pPr>
              <w:spacing w:after="0"/>
              <w:rPr>
                <w:sz w:val="20"/>
                <w:szCs w:val="20"/>
                <w:color w:val="auto"/>
              </w:rPr>
            </w:pPr>
            <w:r>
              <w:rPr>
                <w:rFonts w:ascii="Arial" w:cs="Arial" w:eastAsia="Arial" w:hAnsi="Arial"/>
                <w:sz w:val="18"/>
                <w:szCs w:val="18"/>
                <w:color w:val="auto"/>
              </w:rPr>
              <w:t>Spousal Travel($)</w:t>
            </w:r>
            <w:r>
              <w:rPr>
                <w:rFonts w:ascii="Arial" w:cs="Arial" w:eastAsia="Arial" w:hAnsi="Arial"/>
                <w:sz w:val="26"/>
                <w:szCs w:val="26"/>
                <w:color w:val="auto"/>
                <w:vertAlign w:val="superscript"/>
              </w:rPr>
              <w:t>(3)</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42,439</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20,923</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23,841</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18,296</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36,836</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5160" w:type="dxa"/>
            <w:vAlign w:val="bottom"/>
            <w:shd w:val="clear" w:color="auto" w:fill="F2F2F2"/>
          </w:tcPr>
          <w:p>
            <w:pPr>
              <w:spacing w:after="0"/>
              <w:rPr>
                <w:sz w:val="20"/>
                <w:szCs w:val="20"/>
                <w:color w:val="auto"/>
              </w:rPr>
            </w:pPr>
            <w:r>
              <w:rPr>
                <w:rFonts w:ascii="Arial" w:cs="Arial" w:eastAsia="Arial" w:hAnsi="Arial"/>
                <w:sz w:val="18"/>
                <w:szCs w:val="18"/>
                <w:color w:val="auto"/>
              </w:rPr>
              <w:t>Tax Gross Up($)</w:t>
            </w:r>
            <w:r>
              <w:rPr>
                <w:rFonts w:ascii="Arial" w:cs="Arial" w:eastAsia="Arial" w:hAnsi="Arial"/>
                <w:sz w:val="26"/>
                <w:szCs w:val="26"/>
                <w:color w:val="auto"/>
                <w:vertAlign w:val="superscript"/>
              </w:rPr>
              <w:t>(4)</w:t>
            </w:r>
          </w:p>
        </w:tc>
        <w:tc>
          <w:tcPr>
            <w:tcW w:w="980" w:type="dxa"/>
            <w:vAlign w:val="bottom"/>
            <w:shd w:val="clear" w:color="auto" w:fill="F2F2F2"/>
          </w:tcPr>
          <w:p>
            <w:pPr>
              <w:jc w:val="right"/>
              <w:ind w:right="50"/>
              <w:spacing w:after="0"/>
              <w:rPr>
                <w:sz w:val="20"/>
                <w:szCs w:val="20"/>
                <w:color w:val="auto"/>
              </w:rPr>
            </w:pPr>
            <w:r>
              <w:rPr>
                <w:rFonts w:ascii="Arial" w:cs="Arial" w:eastAsia="Arial" w:hAnsi="Arial"/>
                <w:sz w:val="18"/>
                <w:szCs w:val="18"/>
                <w:color w:val="auto"/>
              </w:rPr>
              <w:t>34,959</w:t>
            </w:r>
          </w:p>
        </w:tc>
        <w:tc>
          <w:tcPr>
            <w:tcW w:w="94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18,555</w:t>
            </w:r>
          </w:p>
        </w:tc>
        <w:tc>
          <w:tcPr>
            <w:tcW w:w="840" w:type="dxa"/>
            <w:vAlign w:val="bottom"/>
            <w:shd w:val="clear" w:color="auto" w:fill="F2F2F2"/>
          </w:tcPr>
          <w:p>
            <w:pPr>
              <w:jc w:val="right"/>
              <w:ind w:right="50"/>
              <w:spacing w:after="0"/>
              <w:rPr>
                <w:sz w:val="20"/>
                <w:szCs w:val="20"/>
                <w:color w:val="auto"/>
              </w:rPr>
            </w:pPr>
            <w:r>
              <w:rPr>
                <w:rFonts w:ascii="Arial" w:cs="Arial" w:eastAsia="Arial" w:hAnsi="Arial"/>
                <w:sz w:val="18"/>
                <w:szCs w:val="18"/>
                <w:color w:val="auto"/>
              </w:rPr>
              <w:t>21,003</w:t>
            </w:r>
          </w:p>
        </w:tc>
        <w:tc>
          <w:tcPr>
            <w:tcW w:w="98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25,774</w:t>
            </w:r>
          </w:p>
        </w:tc>
        <w:tc>
          <w:tcPr>
            <w:tcW w:w="1020" w:type="dxa"/>
            <w:vAlign w:val="bottom"/>
            <w:shd w:val="clear" w:color="auto" w:fill="F2F2F2"/>
          </w:tcPr>
          <w:p>
            <w:pPr>
              <w:jc w:val="right"/>
              <w:ind w:right="50"/>
              <w:spacing w:after="0"/>
              <w:rPr>
                <w:sz w:val="20"/>
                <w:szCs w:val="20"/>
                <w:color w:val="auto"/>
              </w:rPr>
            </w:pPr>
            <w:r>
              <w:rPr>
                <w:rFonts w:ascii="Arial" w:cs="Arial" w:eastAsia="Arial" w:hAnsi="Arial"/>
                <w:sz w:val="18"/>
                <w:szCs w:val="18"/>
                <w:color w:val="auto"/>
              </w:rPr>
              <w:t>36,093</w:t>
            </w: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5160" w:type="dxa"/>
            <w:vAlign w:val="bottom"/>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26"/>
                <w:szCs w:val="26"/>
                <w:color w:val="auto"/>
                <w:vertAlign w:val="superscript"/>
              </w:rPr>
              <w:t>(5)(6)</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11,660</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122,170</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16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F2F2F2"/>
            </w:tcBorders>
            <w:shd w:val="clear" w:color="auto" w:fill="F2F2F2"/>
          </w:tcPr>
          <w:p>
            <w:pPr>
              <w:jc w:val="right"/>
              <w:ind w:right="50"/>
              <w:spacing w:after="0"/>
              <w:rPr>
                <w:sz w:val="20"/>
                <w:szCs w:val="20"/>
                <w:color w:val="auto"/>
              </w:rPr>
            </w:pPr>
            <w:r>
              <w:rPr>
                <w:rFonts w:ascii="Arial" w:cs="Arial" w:eastAsia="Arial" w:hAnsi="Arial"/>
                <w:sz w:val="18"/>
                <w:szCs w:val="18"/>
                <w:color w:val="auto"/>
              </w:rPr>
              <w:t>103,407</w:t>
            </w:r>
          </w:p>
        </w:tc>
        <w:tc>
          <w:tcPr>
            <w:tcW w:w="940" w:type="dxa"/>
            <w:vAlign w:val="bottom"/>
            <w:tcBorders>
              <w:bottom w:val="single" w:sz="8" w:color="F2F2F2"/>
            </w:tcBorders>
            <w:shd w:val="clear" w:color="auto" w:fill="F2F2F2"/>
          </w:tcPr>
          <w:p>
            <w:pPr>
              <w:jc w:val="right"/>
              <w:ind w:right="70"/>
              <w:spacing w:after="0"/>
              <w:rPr>
                <w:sz w:val="20"/>
                <w:szCs w:val="20"/>
                <w:color w:val="auto"/>
              </w:rPr>
            </w:pPr>
            <w:r>
              <w:rPr>
                <w:rFonts w:ascii="Arial" w:cs="Arial" w:eastAsia="Arial" w:hAnsi="Arial"/>
                <w:sz w:val="18"/>
                <w:szCs w:val="18"/>
                <w:color w:val="auto"/>
              </w:rPr>
              <w:t>53,585</w:t>
            </w:r>
          </w:p>
        </w:tc>
        <w:tc>
          <w:tcPr>
            <w:tcW w:w="840" w:type="dxa"/>
            <w:vAlign w:val="bottom"/>
            <w:tcBorders>
              <w:bottom w:val="single" w:sz="8" w:color="F2F2F2"/>
            </w:tcBorders>
            <w:shd w:val="clear" w:color="auto" w:fill="F2F2F2"/>
          </w:tcPr>
          <w:p>
            <w:pPr>
              <w:jc w:val="right"/>
              <w:ind w:right="50"/>
              <w:spacing w:after="0"/>
              <w:rPr>
                <w:sz w:val="20"/>
                <w:szCs w:val="20"/>
                <w:color w:val="auto"/>
              </w:rPr>
            </w:pPr>
            <w:r>
              <w:rPr>
                <w:rFonts w:ascii="Arial" w:cs="Arial" w:eastAsia="Arial" w:hAnsi="Arial"/>
                <w:sz w:val="18"/>
                <w:szCs w:val="18"/>
                <w:color w:val="auto"/>
              </w:rPr>
              <w:t>59,490</w:t>
            </w:r>
          </w:p>
        </w:tc>
        <w:tc>
          <w:tcPr>
            <w:tcW w:w="980" w:type="dxa"/>
            <w:vAlign w:val="bottom"/>
            <w:tcBorders>
              <w:bottom w:val="single" w:sz="8" w:color="F2F2F2"/>
            </w:tcBorders>
            <w:shd w:val="clear" w:color="auto" w:fill="F2F2F2"/>
          </w:tcPr>
          <w:p>
            <w:pPr>
              <w:jc w:val="right"/>
              <w:ind w:right="30"/>
              <w:spacing w:after="0"/>
              <w:rPr>
                <w:sz w:val="20"/>
                <w:szCs w:val="20"/>
                <w:color w:val="auto"/>
              </w:rPr>
            </w:pPr>
            <w:r>
              <w:rPr>
                <w:rFonts w:ascii="Arial" w:cs="Arial" w:eastAsia="Arial" w:hAnsi="Arial"/>
                <w:sz w:val="18"/>
                <w:szCs w:val="18"/>
                <w:color w:val="auto"/>
              </w:rPr>
              <w:t>58,177</w:t>
            </w:r>
          </w:p>
        </w:tc>
        <w:tc>
          <w:tcPr>
            <w:tcW w:w="1020" w:type="dxa"/>
            <w:vAlign w:val="bottom"/>
            <w:tcBorders>
              <w:bottom w:val="single" w:sz="8" w:color="F2F2F2"/>
            </w:tcBorders>
            <w:shd w:val="clear" w:color="auto" w:fill="F2F2F2"/>
          </w:tcPr>
          <w:p>
            <w:pPr>
              <w:jc w:val="right"/>
              <w:ind w:right="50"/>
              <w:spacing w:after="0"/>
              <w:rPr>
                <w:sz w:val="20"/>
                <w:szCs w:val="20"/>
                <w:color w:val="auto"/>
              </w:rPr>
            </w:pPr>
            <w:r>
              <w:rPr>
                <w:rFonts w:ascii="Arial" w:cs="Arial" w:eastAsia="Arial" w:hAnsi="Arial"/>
                <w:sz w:val="18"/>
                <w:szCs w:val="18"/>
                <w:color w:val="auto"/>
              </w:rPr>
              <w:t>209,176</w:t>
            </w:r>
          </w:p>
        </w:tc>
        <w:tc>
          <w:tcPr>
            <w:tcW w:w="11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8"/>
                <w:szCs w:val="18"/>
                <w:color w:val="auto"/>
              </w:rPr>
              <w:t>14,184</w:t>
            </w:r>
          </w:p>
        </w:tc>
      </w:tr>
      <w:tr>
        <w:trPr>
          <w:trHeight w:val="20"/>
        </w:trPr>
        <w:tc>
          <w:tcPr>
            <w:tcW w:w="5160" w:type="dxa"/>
            <w:vAlign w:val="bottom"/>
            <w:shd w:val="clear" w:color="auto" w:fill="376DB5"/>
          </w:tcPr>
          <w:p>
            <w:pPr>
              <w:spacing w:after="0" w:line="20" w:lineRule="exact"/>
              <w:rPr>
                <w:sz w:val="1"/>
                <w:szCs w:val="1"/>
                <w:color w:val="auto"/>
              </w:rPr>
            </w:pPr>
          </w:p>
        </w:tc>
        <w:tc>
          <w:tcPr>
            <w:tcW w:w="980" w:type="dxa"/>
            <w:vAlign w:val="bottom"/>
            <w:shd w:val="clear" w:color="auto" w:fill="376DB5"/>
          </w:tcPr>
          <w:p>
            <w:pPr>
              <w:spacing w:after="0" w:line="20" w:lineRule="exact"/>
              <w:rPr>
                <w:sz w:val="1"/>
                <w:szCs w:val="1"/>
                <w:color w:val="auto"/>
              </w:rPr>
            </w:pPr>
          </w:p>
        </w:tc>
        <w:tc>
          <w:tcPr>
            <w:tcW w:w="940" w:type="dxa"/>
            <w:vAlign w:val="bottom"/>
            <w:shd w:val="clear" w:color="auto" w:fill="376DB5"/>
          </w:tcPr>
          <w:p>
            <w:pPr>
              <w:spacing w:after="0" w:line="20" w:lineRule="exact"/>
              <w:rPr>
                <w:sz w:val="1"/>
                <w:szCs w:val="1"/>
                <w:color w:val="auto"/>
              </w:rPr>
            </w:pPr>
          </w:p>
        </w:tc>
        <w:tc>
          <w:tcPr>
            <w:tcW w:w="840" w:type="dxa"/>
            <w:vAlign w:val="bottom"/>
            <w:shd w:val="clear" w:color="auto" w:fill="376DB5"/>
          </w:tcPr>
          <w:p>
            <w:pPr>
              <w:spacing w:after="0" w:line="20" w:lineRule="exact"/>
              <w:rPr>
                <w:sz w:val="1"/>
                <w:szCs w:val="1"/>
                <w:color w:val="auto"/>
              </w:rPr>
            </w:pPr>
          </w:p>
        </w:tc>
        <w:tc>
          <w:tcPr>
            <w:tcW w:w="980" w:type="dxa"/>
            <w:vAlign w:val="bottom"/>
            <w:shd w:val="clear" w:color="auto" w:fill="376DB5"/>
          </w:tcPr>
          <w:p>
            <w:pPr>
              <w:spacing w:after="0" w:line="20" w:lineRule="exact"/>
              <w:rPr>
                <w:sz w:val="1"/>
                <w:szCs w:val="1"/>
                <w:color w:val="auto"/>
              </w:rPr>
            </w:pPr>
          </w:p>
        </w:tc>
        <w:tc>
          <w:tcPr>
            <w:tcW w:w="1020" w:type="dxa"/>
            <w:vAlign w:val="bottom"/>
            <w:shd w:val="clear" w:color="auto" w:fill="376DB5"/>
          </w:tcPr>
          <w:p>
            <w:pPr>
              <w:spacing w:after="0" w:line="20" w:lineRule="exact"/>
              <w:rPr>
                <w:sz w:val="1"/>
                <w:szCs w:val="1"/>
                <w:color w:val="auto"/>
              </w:rPr>
            </w:pPr>
          </w:p>
        </w:tc>
        <w:tc>
          <w:tcPr>
            <w:tcW w:w="1100" w:type="dxa"/>
            <w:vAlign w:val="bottom"/>
            <w:shd w:val="clear" w:color="auto" w:fill="376DB5"/>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11226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227"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27"/>
          <w:szCs w:val="27"/>
          <w:color w:val="auto"/>
          <w:vertAlign w:val="superscript"/>
        </w:rPr>
      </w:pPr>
      <w:r>
        <w:rPr>
          <w:rFonts w:ascii="Arial" w:cs="Arial" w:eastAsia="Arial" w:hAnsi="Arial"/>
          <w:sz w:val="18"/>
          <w:szCs w:val="18"/>
          <w:color w:val="auto"/>
        </w:rPr>
        <w:t>Represents the aggregate value of the Company’s cash contribution under the Fair Isaac Corporation 401(k) Plan during fiscal 2025.</w:t>
      </w:r>
    </w:p>
    <w:p>
      <w:pPr>
        <w:spacing w:after="0" w:line="49" w:lineRule="exact"/>
        <w:rPr>
          <w:rFonts w:ascii="Arial" w:cs="Arial" w:eastAsia="Arial" w:hAnsi="Arial"/>
          <w:sz w:val="27"/>
          <w:szCs w:val="27"/>
          <w:color w:val="auto"/>
          <w:vertAlign w:val="superscript"/>
        </w:rPr>
      </w:pPr>
    </w:p>
    <w:p>
      <w:pPr>
        <w:ind w:left="540" w:right="20" w:hanging="424"/>
        <w:spacing w:after="0" w:line="196" w:lineRule="auto"/>
        <w:tabs>
          <w:tab w:leader="none" w:pos="540" w:val="left"/>
        </w:tabs>
        <w:numPr>
          <w:ilvl w:val="0"/>
          <w:numId w:val="51"/>
        </w:numPr>
        <w:rPr>
          <w:rFonts w:ascii="Arial" w:cs="Arial" w:eastAsia="Arial" w:hAnsi="Arial"/>
          <w:sz w:val="27"/>
          <w:szCs w:val="27"/>
          <w:color w:val="auto"/>
          <w:vertAlign w:val="superscript"/>
        </w:rPr>
      </w:pPr>
      <w:r>
        <w:rPr>
          <w:rFonts w:ascii="Arial" w:cs="Arial" w:eastAsia="Arial" w:hAnsi="Arial"/>
          <w:sz w:val="18"/>
          <w:szCs w:val="18"/>
          <w:color w:val="auto"/>
        </w:rPr>
        <w:t>Represents the aggregate incremental cost for the named executive officer’s basic life insurance premium, which is offered to all employees at one times current salary.</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61</w:t>
      </w:r>
    </w:p>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ind w:left="540" w:right="20" w:hanging="424"/>
        <w:spacing w:after="0" w:line="204" w:lineRule="auto"/>
        <w:tabs>
          <w:tab w:leader="none" w:pos="540" w:val="left"/>
        </w:tabs>
        <w:numPr>
          <w:ilvl w:val="0"/>
          <w:numId w:val="52"/>
        </w:numPr>
        <w:rPr>
          <w:rFonts w:ascii="Arial" w:cs="Arial" w:eastAsia="Arial" w:hAnsi="Arial"/>
          <w:sz w:val="27"/>
          <w:szCs w:val="27"/>
          <w:color w:val="auto"/>
          <w:vertAlign w:val="superscript"/>
        </w:rPr>
      </w:pPr>
      <w:r>
        <w:rPr>
          <w:rFonts w:ascii="Arial" w:cs="Arial" w:eastAsia="Arial" w:hAnsi="Arial"/>
          <w:sz w:val="18"/>
          <w:szCs w:val="18"/>
          <w:color w:val="auto"/>
        </w:rPr>
        <w:t>Represents amounts spent on commercial aircraft of the named executive officers’ spouses who were expected by the Company to attend certain Company events.</w:t>
      </w:r>
    </w:p>
    <w:p>
      <w:pPr>
        <w:spacing w:after="0" w:line="32" w:lineRule="exact"/>
        <w:rPr>
          <w:rFonts w:ascii="Arial" w:cs="Arial" w:eastAsia="Arial" w:hAnsi="Arial"/>
          <w:sz w:val="27"/>
          <w:szCs w:val="27"/>
          <w:color w:val="auto"/>
          <w:vertAlign w:val="superscript"/>
        </w:rPr>
      </w:pPr>
    </w:p>
    <w:p>
      <w:pPr>
        <w:jc w:val="both"/>
        <w:ind w:left="540" w:hanging="424"/>
        <w:spacing w:after="0" w:line="213" w:lineRule="auto"/>
        <w:tabs>
          <w:tab w:leader="none" w:pos="540" w:val="left"/>
        </w:tabs>
        <w:numPr>
          <w:ilvl w:val="0"/>
          <w:numId w:val="52"/>
        </w:numPr>
        <w:rPr>
          <w:rFonts w:ascii="Arial" w:cs="Arial" w:eastAsia="Arial" w:hAnsi="Arial"/>
          <w:sz w:val="27"/>
          <w:szCs w:val="27"/>
          <w:color w:val="auto"/>
          <w:vertAlign w:val="superscript"/>
        </w:rPr>
      </w:pPr>
      <w:r>
        <w:rPr>
          <w:rFonts w:ascii="Arial" w:cs="Arial" w:eastAsia="Arial" w:hAnsi="Arial"/>
          <w:sz w:val="18"/>
          <w:szCs w:val="18"/>
          <w:color w:val="auto"/>
        </w:rPr>
        <w:t>Represents gross-up payments to offset imputed income for the cost of spousal travel and, for Mr. Lansing and Mr. Scadina, the amount of gross-up payments to offset imputed income for their HSR-related payments. Company policy allows gross-ups only for required spousal travel, Company-paid relocation costs and certain required regulatory filings, when applicable.</w:t>
      </w:r>
    </w:p>
    <w:p>
      <w:pPr>
        <w:ind w:left="540" w:hanging="424"/>
        <w:spacing w:after="0" w:line="208" w:lineRule="auto"/>
        <w:tabs>
          <w:tab w:leader="none" w:pos="540" w:val="left"/>
        </w:tabs>
        <w:numPr>
          <w:ilvl w:val="0"/>
          <w:numId w:val="52"/>
        </w:numPr>
        <w:rPr>
          <w:rFonts w:ascii="Arial" w:cs="Arial" w:eastAsia="Arial" w:hAnsi="Arial"/>
          <w:sz w:val="27"/>
          <w:szCs w:val="27"/>
          <w:color w:val="auto"/>
          <w:vertAlign w:val="superscript"/>
        </w:rPr>
      </w:pPr>
      <w:r>
        <w:rPr>
          <w:rFonts w:ascii="Arial" w:cs="Arial" w:eastAsia="Arial" w:hAnsi="Arial"/>
          <w:sz w:val="18"/>
          <w:szCs w:val="18"/>
          <w:color w:val="auto"/>
        </w:rPr>
        <w:t>Represents tax preparation fees incurred by Mr. Lansing, as provided in his Letter Agreement.</w:t>
      </w:r>
    </w:p>
    <w:p>
      <w:pPr>
        <w:spacing w:after="0" w:line="50" w:lineRule="exact"/>
        <w:rPr>
          <w:rFonts w:ascii="Arial" w:cs="Arial" w:eastAsia="Arial" w:hAnsi="Arial"/>
          <w:sz w:val="27"/>
          <w:szCs w:val="27"/>
          <w:color w:val="auto"/>
          <w:vertAlign w:val="superscript"/>
        </w:rPr>
      </w:pPr>
    </w:p>
    <w:p>
      <w:pPr>
        <w:ind w:left="540" w:hanging="424"/>
        <w:spacing w:after="0" w:line="184" w:lineRule="auto"/>
        <w:tabs>
          <w:tab w:leader="none" w:pos="540" w:val="left"/>
        </w:tabs>
        <w:numPr>
          <w:ilvl w:val="0"/>
          <w:numId w:val="52"/>
        </w:numPr>
        <w:rPr>
          <w:rFonts w:ascii="Arial" w:cs="Arial" w:eastAsia="Arial" w:hAnsi="Arial"/>
          <w:sz w:val="25"/>
          <w:szCs w:val="25"/>
          <w:color w:val="auto"/>
          <w:vertAlign w:val="superscript"/>
        </w:rPr>
      </w:pPr>
      <w:r>
        <w:rPr>
          <w:rFonts w:ascii="Arial" w:cs="Arial" w:eastAsia="Arial" w:hAnsi="Arial"/>
          <w:sz w:val="17"/>
          <w:szCs w:val="17"/>
          <w:color w:val="auto"/>
        </w:rPr>
        <w:t>Represents filing fees and related preparation fees paid on behalf of Mr. Scadina for HSR compliance.</w:t>
      </w:r>
    </w:p>
    <w:p>
      <w:pPr>
        <w:spacing w:after="0" w:line="127"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62</w:t>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GRANTS OF PLAN-BASED AWARDS FOR FISCAL 2025</w:t>
      </w:r>
    </w:p>
    <w:p>
      <w:pPr>
        <w:spacing w:after="0" w:line="212"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The following table summarizes grants of plan-based compensation awards made during fiscal 2025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376DB5"/>
                <w:w w:val="98"/>
              </w:rPr>
              <w:t>All Other</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376DB5"/>
                <w:w w:val="98"/>
              </w:rPr>
              <w:t>Stock</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376DB5"/>
                <w:w w:val="92"/>
              </w:rPr>
              <w:t>Grant</w:t>
            </w:r>
          </w:p>
        </w:tc>
        <w:tc>
          <w:tcPr>
            <w:tcW w:w="0" w:type="dxa"/>
            <w:vAlign w:val="bottom"/>
          </w:tcPr>
          <w:p>
            <w:pPr>
              <w:spacing w:after="0"/>
              <w:rPr>
                <w:sz w:val="1"/>
                <w:szCs w:val="1"/>
                <w:color w:val="auto"/>
              </w:rPr>
            </w:pPr>
          </w:p>
        </w:tc>
      </w:tr>
      <w:tr>
        <w:trPr>
          <w:trHeight w:val="153"/>
        </w:trPr>
        <w:tc>
          <w:tcPr>
            <w:tcW w:w="3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520" w:type="dxa"/>
            <w:vAlign w:val="bottom"/>
            <w:gridSpan w:val="3"/>
          </w:tcPr>
          <w:p>
            <w:pPr>
              <w:jc w:val="center"/>
              <w:ind w:left="57"/>
              <w:spacing w:after="0"/>
              <w:rPr>
                <w:sz w:val="20"/>
                <w:szCs w:val="20"/>
                <w:color w:val="auto"/>
              </w:rPr>
            </w:pPr>
            <w:r>
              <w:rPr>
                <w:rFonts w:ascii="Arial" w:cs="Arial" w:eastAsia="Arial" w:hAnsi="Arial"/>
                <w:sz w:val="13"/>
                <w:szCs w:val="13"/>
                <w:color w:val="376DB5"/>
                <w:w w:val="96"/>
              </w:rPr>
              <w:t>Estimated Possible Payouts</w:t>
            </w:r>
          </w:p>
        </w:tc>
        <w:tc>
          <w:tcPr>
            <w:tcW w:w="200" w:type="dxa"/>
            <w:vAlign w:val="bottom"/>
          </w:tcPr>
          <w:p>
            <w:pPr>
              <w:spacing w:after="0"/>
              <w:rPr>
                <w:sz w:val="13"/>
                <w:szCs w:val="13"/>
                <w:color w:val="auto"/>
              </w:rPr>
            </w:pPr>
          </w:p>
        </w:tc>
        <w:tc>
          <w:tcPr>
            <w:tcW w:w="2080" w:type="dxa"/>
            <w:vAlign w:val="bottom"/>
            <w:gridSpan w:val="3"/>
          </w:tcPr>
          <w:p>
            <w:pPr>
              <w:jc w:val="center"/>
              <w:ind w:left="57"/>
              <w:spacing w:after="0"/>
              <w:rPr>
                <w:sz w:val="20"/>
                <w:szCs w:val="20"/>
                <w:color w:val="auto"/>
              </w:rPr>
            </w:pPr>
            <w:r>
              <w:rPr>
                <w:rFonts w:ascii="Arial" w:cs="Arial" w:eastAsia="Arial" w:hAnsi="Arial"/>
                <w:sz w:val="13"/>
                <w:szCs w:val="13"/>
                <w:color w:val="376DB5"/>
                <w:w w:val="96"/>
              </w:rPr>
              <w:t>Estimated Future Payouts</w:t>
            </w:r>
          </w:p>
        </w:tc>
        <w:tc>
          <w:tcPr>
            <w:tcW w:w="740" w:type="dxa"/>
            <w:vAlign w:val="bottom"/>
          </w:tcPr>
          <w:p>
            <w:pPr>
              <w:jc w:val="center"/>
              <w:spacing w:after="0"/>
              <w:rPr>
                <w:sz w:val="20"/>
                <w:szCs w:val="20"/>
                <w:color w:val="auto"/>
              </w:rPr>
            </w:pPr>
            <w:r>
              <w:rPr>
                <w:rFonts w:ascii="Arial" w:cs="Arial" w:eastAsia="Arial" w:hAnsi="Arial"/>
                <w:sz w:val="13"/>
                <w:szCs w:val="13"/>
                <w:color w:val="376DB5"/>
                <w:w w:val="97"/>
              </w:rPr>
              <w:t>Awards:</w:t>
            </w:r>
          </w:p>
        </w:tc>
        <w:tc>
          <w:tcPr>
            <w:tcW w:w="760" w:type="dxa"/>
            <w:vAlign w:val="bottom"/>
          </w:tcPr>
          <w:p>
            <w:pPr>
              <w:jc w:val="center"/>
              <w:spacing w:after="0"/>
              <w:rPr>
                <w:sz w:val="20"/>
                <w:szCs w:val="20"/>
                <w:color w:val="auto"/>
              </w:rPr>
            </w:pPr>
            <w:r>
              <w:rPr>
                <w:rFonts w:ascii="Arial" w:cs="Arial" w:eastAsia="Arial" w:hAnsi="Arial"/>
                <w:sz w:val="13"/>
                <w:szCs w:val="13"/>
                <w:color w:val="376DB5"/>
                <w:w w:val="97"/>
              </w:rPr>
              <w:t>Date Fair</w:t>
            </w: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520" w:type="dxa"/>
            <w:vAlign w:val="bottom"/>
            <w:gridSpan w:val="3"/>
          </w:tcPr>
          <w:p>
            <w:pPr>
              <w:jc w:val="center"/>
              <w:ind w:left="37"/>
              <w:spacing w:after="0" w:line="135" w:lineRule="exact"/>
              <w:rPr>
                <w:sz w:val="20"/>
                <w:szCs w:val="20"/>
                <w:color w:val="auto"/>
              </w:rPr>
            </w:pPr>
            <w:r>
              <w:rPr>
                <w:rFonts w:ascii="Arial" w:cs="Arial" w:eastAsia="Arial" w:hAnsi="Arial"/>
                <w:sz w:val="13"/>
                <w:szCs w:val="13"/>
                <w:color w:val="376DB5"/>
                <w:w w:val="96"/>
              </w:rPr>
              <w:t>Under Non-Equity Incentive</w:t>
            </w:r>
          </w:p>
        </w:tc>
        <w:tc>
          <w:tcPr>
            <w:tcW w:w="200" w:type="dxa"/>
            <w:vAlign w:val="bottom"/>
          </w:tcPr>
          <w:p>
            <w:pPr>
              <w:spacing w:after="0"/>
              <w:rPr>
                <w:sz w:val="11"/>
                <w:szCs w:val="11"/>
                <w:color w:val="auto"/>
              </w:rPr>
            </w:pPr>
          </w:p>
        </w:tc>
        <w:tc>
          <w:tcPr>
            <w:tcW w:w="2080" w:type="dxa"/>
            <w:vAlign w:val="bottom"/>
            <w:gridSpan w:val="3"/>
          </w:tcPr>
          <w:p>
            <w:pPr>
              <w:jc w:val="center"/>
              <w:ind w:left="37"/>
              <w:spacing w:after="0" w:line="135" w:lineRule="exact"/>
              <w:rPr>
                <w:sz w:val="20"/>
                <w:szCs w:val="20"/>
                <w:color w:val="auto"/>
              </w:rPr>
            </w:pPr>
            <w:r>
              <w:rPr>
                <w:rFonts w:ascii="Arial" w:cs="Arial" w:eastAsia="Arial" w:hAnsi="Arial"/>
                <w:sz w:val="13"/>
                <w:szCs w:val="13"/>
                <w:color w:val="376DB5"/>
                <w:w w:val="96"/>
              </w:rPr>
              <w:t>Under Equity Incentive</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376DB5"/>
                <w:w w:val="95"/>
              </w:rPr>
              <w:t>Number</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376DB5"/>
                <w:w w:val="96"/>
              </w:rPr>
              <w:t>Value of</w:t>
            </w: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jc w:val="center"/>
              <w:ind w:right="18"/>
              <w:spacing w:after="0" w:line="135" w:lineRule="exact"/>
              <w:rPr>
                <w:sz w:val="20"/>
                <w:szCs w:val="20"/>
                <w:color w:val="auto"/>
              </w:rPr>
            </w:pPr>
            <w:r>
              <w:rPr>
                <w:rFonts w:ascii="Arial" w:cs="Arial" w:eastAsia="Arial" w:hAnsi="Arial"/>
                <w:sz w:val="11"/>
                <w:szCs w:val="11"/>
                <w:color w:val="376DB5"/>
              </w:rPr>
              <w:t>Plan Awards</w:t>
            </w:r>
            <w:r>
              <w:rPr>
                <w:rFonts w:ascii="Arial" w:cs="Arial" w:eastAsia="Arial" w:hAnsi="Arial"/>
                <w:sz w:val="15"/>
                <w:szCs w:val="15"/>
                <w:color w:val="376DB5"/>
                <w:vertAlign w:val="superscript"/>
              </w:rPr>
              <w:t>(1)</w:t>
            </w:r>
          </w:p>
        </w:tc>
        <w:tc>
          <w:tcPr>
            <w:tcW w:w="700" w:type="dxa"/>
            <w:vAlign w:val="bottom"/>
          </w:tcPr>
          <w:p>
            <w:pPr>
              <w:spacing w:after="0"/>
              <w:rPr>
                <w:sz w:val="11"/>
                <w:szCs w:val="11"/>
                <w:color w:val="auto"/>
              </w:rPr>
            </w:pPr>
          </w:p>
        </w:tc>
        <w:tc>
          <w:tcPr>
            <w:tcW w:w="920" w:type="dxa"/>
            <w:vAlign w:val="bottom"/>
            <w:gridSpan w:val="2"/>
            <w:vMerge w:val="restart"/>
          </w:tcPr>
          <w:p>
            <w:pPr>
              <w:jc w:val="right"/>
              <w:ind w:right="697"/>
              <w:spacing w:after="0"/>
              <w:rPr>
                <w:sz w:val="20"/>
                <w:szCs w:val="20"/>
                <w:color w:val="auto"/>
              </w:rPr>
            </w:pPr>
            <w:r>
              <w:rPr>
                <w:rFonts w:ascii="Arial" w:cs="Arial" w:eastAsia="Arial" w:hAnsi="Arial"/>
                <w:sz w:val="13"/>
                <w:szCs w:val="13"/>
                <w:color w:val="376DB5"/>
              </w:rPr>
              <w:t> </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376DB5"/>
                <w:w w:val="95"/>
              </w:rPr>
              <w:t>Plan Awards</w:t>
            </w:r>
          </w:p>
        </w:tc>
        <w:tc>
          <w:tcPr>
            <w:tcW w:w="60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376DB5"/>
                <w:w w:val="91"/>
              </w:rPr>
              <w:t>of</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376DB5"/>
                <w:w w:val="92"/>
              </w:rPr>
              <w:t>Stock</w:t>
            </w:r>
          </w:p>
        </w:tc>
        <w:tc>
          <w:tcPr>
            <w:tcW w:w="0" w:type="dxa"/>
            <w:vAlign w:val="bottom"/>
          </w:tcPr>
          <w:p>
            <w:pPr>
              <w:spacing w:after="0"/>
              <w:rPr>
                <w:sz w:val="1"/>
                <w:szCs w:val="1"/>
                <w:color w:val="auto"/>
              </w:rPr>
            </w:pPr>
          </w:p>
        </w:tc>
      </w:tr>
      <w:tr>
        <w:trPr>
          <w:trHeight w:val="97"/>
        </w:trPr>
        <w:tc>
          <w:tcPr>
            <w:tcW w:w="3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jc w:val="center"/>
              <w:spacing w:after="0" w:line="97" w:lineRule="exact"/>
              <w:rPr>
                <w:sz w:val="20"/>
                <w:szCs w:val="20"/>
                <w:color w:val="auto"/>
              </w:rPr>
            </w:pPr>
            <w:r>
              <w:rPr>
                <w:rFonts w:ascii="Arial" w:cs="Arial" w:eastAsia="Arial" w:hAnsi="Arial"/>
                <w:sz w:val="10"/>
                <w:szCs w:val="10"/>
                <w:color w:val="376DB5"/>
              </w:rPr>
              <w:t>Shares</w:t>
            </w:r>
          </w:p>
        </w:tc>
        <w:tc>
          <w:tcPr>
            <w:tcW w:w="760" w:type="dxa"/>
            <w:vAlign w:val="bottom"/>
          </w:tcPr>
          <w:p>
            <w:pPr>
              <w:jc w:val="center"/>
              <w:spacing w:after="0" w:line="97" w:lineRule="exact"/>
              <w:rPr>
                <w:sz w:val="20"/>
                <w:szCs w:val="20"/>
                <w:color w:val="auto"/>
              </w:rPr>
            </w:pPr>
            <w:r>
              <w:rPr>
                <w:rFonts w:ascii="Arial" w:cs="Arial" w:eastAsia="Arial" w:hAnsi="Arial"/>
                <w:sz w:val="10"/>
                <w:szCs w:val="10"/>
                <w:color w:val="376DB5"/>
              </w:rPr>
              <w:t>and</w:t>
            </w: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Borders>
              <w:top w:val="single" w:sz="8" w:color="376DB5"/>
            </w:tcBorders>
          </w:tcPr>
          <w:p>
            <w:pPr>
              <w:spacing w:after="0"/>
              <w:rPr>
                <w:sz w:val="11"/>
                <w:szCs w:val="11"/>
                <w:color w:val="auto"/>
              </w:rPr>
            </w:pPr>
          </w:p>
        </w:tc>
        <w:tc>
          <w:tcPr>
            <w:tcW w:w="940" w:type="dxa"/>
            <w:vAlign w:val="bottom"/>
            <w:tcBorders>
              <w:top w:val="single" w:sz="8" w:color="376DB5"/>
            </w:tcBorders>
          </w:tcPr>
          <w:p>
            <w:pPr>
              <w:spacing w:after="0"/>
              <w:rPr>
                <w:sz w:val="11"/>
                <w:szCs w:val="11"/>
                <w:color w:val="auto"/>
              </w:rPr>
            </w:pPr>
          </w:p>
        </w:tc>
        <w:tc>
          <w:tcPr>
            <w:tcW w:w="700" w:type="dxa"/>
            <w:vAlign w:val="bottom"/>
            <w:tcBorders>
              <w:top w:val="single" w:sz="8" w:color="376DB5"/>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top w:val="single" w:sz="8" w:color="376DB5"/>
            </w:tcBorders>
          </w:tcPr>
          <w:p>
            <w:pPr>
              <w:spacing w:after="0"/>
              <w:rPr>
                <w:sz w:val="11"/>
                <w:szCs w:val="11"/>
                <w:color w:val="auto"/>
              </w:rPr>
            </w:pPr>
          </w:p>
        </w:tc>
        <w:tc>
          <w:tcPr>
            <w:tcW w:w="760" w:type="dxa"/>
            <w:vAlign w:val="bottom"/>
            <w:tcBorders>
              <w:top w:val="single" w:sz="8" w:color="376DB5"/>
            </w:tcBorders>
          </w:tcPr>
          <w:p>
            <w:pPr>
              <w:spacing w:after="0"/>
              <w:rPr>
                <w:sz w:val="11"/>
                <w:szCs w:val="11"/>
                <w:color w:val="auto"/>
              </w:rPr>
            </w:pPr>
          </w:p>
        </w:tc>
        <w:tc>
          <w:tcPr>
            <w:tcW w:w="600" w:type="dxa"/>
            <w:vAlign w:val="bottom"/>
            <w:tcBorders>
              <w:top w:val="single" w:sz="8" w:color="376DB5"/>
            </w:tcBorders>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376DB5"/>
                <w:w w:val="97"/>
              </w:rPr>
              <w:t>of Stock</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376DB5"/>
                <w:w w:val="99"/>
              </w:rPr>
              <w:t>Option</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820" w:type="dxa"/>
            <w:vAlign w:val="bottom"/>
          </w:tcPr>
          <w:p>
            <w:pPr>
              <w:jc w:val="right"/>
              <w:ind w:right="137"/>
              <w:spacing w:after="0" w:line="147" w:lineRule="exact"/>
              <w:rPr>
                <w:sz w:val="20"/>
                <w:szCs w:val="20"/>
                <w:color w:val="auto"/>
              </w:rPr>
            </w:pPr>
            <w:r>
              <w:rPr>
                <w:rFonts w:ascii="Arial" w:cs="Arial" w:eastAsia="Arial" w:hAnsi="Arial"/>
                <w:sz w:val="13"/>
                <w:szCs w:val="13"/>
                <w:color w:val="376DB5"/>
              </w:rPr>
              <w:t>Grant</w:t>
            </w: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376DB5"/>
              </w:rPr>
              <w:t>Threshold</w:t>
            </w:r>
          </w:p>
        </w:tc>
        <w:tc>
          <w:tcPr>
            <w:tcW w:w="940" w:type="dxa"/>
            <w:vAlign w:val="bottom"/>
          </w:tcPr>
          <w:p>
            <w:pPr>
              <w:jc w:val="right"/>
              <w:ind w:right="138"/>
              <w:spacing w:after="0" w:line="147" w:lineRule="exact"/>
              <w:rPr>
                <w:sz w:val="20"/>
                <w:szCs w:val="20"/>
                <w:color w:val="auto"/>
              </w:rPr>
            </w:pPr>
            <w:r>
              <w:rPr>
                <w:rFonts w:ascii="Arial" w:cs="Arial" w:eastAsia="Arial" w:hAnsi="Arial"/>
                <w:sz w:val="13"/>
                <w:szCs w:val="13"/>
                <w:color w:val="376DB5"/>
              </w:rPr>
              <w:t>Target</w:t>
            </w: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376DB5"/>
              </w:rPr>
              <w:t>Maximum</w:t>
            </w:r>
          </w:p>
        </w:tc>
        <w:tc>
          <w:tcPr>
            <w:tcW w:w="2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376DB5"/>
              </w:rPr>
              <w:t>Threshold</w:t>
            </w:r>
          </w:p>
        </w:tc>
        <w:tc>
          <w:tcPr>
            <w:tcW w:w="760" w:type="dxa"/>
            <w:vAlign w:val="bottom"/>
          </w:tcPr>
          <w:p>
            <w:pPr>
              <w:jc w:val="right"/>
              <w:ind w:right="102"/>
              <w:spacing w:after="0" w:line="147" w:lineRule="exact"/>
              <w:rPr>
                <w:sz w:val="20"/>
                <w:szCs w:val="20"/>
                <w:color w:val="auto"/>
              </w:rPr>
            </w:pPr>
            <w:r>
              <w:rPr>
                <w:rFonts w:ascii="Arial" w:cs="Arial" w:eastAsia="Arial" w:hAnsi="Arial"/>
                <w:sz w:val="13"/>
                <w:szCs w:val="13"/>
                <w:color w:val="376DB5"/>
              </w:rPr>
              <w:t>Target</w:t>
            </w:r>
          </w:p>
        </w:tc>
        <w:tc>
          <w:tcPr>
            <w:tcW w:w="600" w:type="dxa"/>
            <w:vAlign w:val="bottom"/>
          </w:tcPr>
          <w:p>
            <w:pPr>
              <w:jc w:val="right"/>
              <w:spacing w:after="0" w:line="147" w:lineRule="exact"/>
              <w:rPr>
                <w:sz w:val="20"/>
                <w:szCs w:val="20"/>
                <w:color w:val="auto"/>
              </w:rPr>
            </w:pPr>
            <w:r>
              <w:rPr>
                <w:rFonts w:ascii="Arial" w:cs="Arial" w:eastAsia="Arial" w:hAnsi="Arial"/>
                <w:sz w:val="13"/>
                <w:szCs w:val="13"/>
                <w:color w:val="376DB5"/>
              </w:rPr>
              <w:t>Maximum</w:t>
            </w:r>
          </w:p>
        </w:tc>
        <w:tc>
          <w:tcPr>
            <w:tcW w:w="740" w:type="dxa"/>
            <w:vAlign w:val="bottom"/>
          </w:tcPr>
          <w:p>
            <w:pPr>
              <w:jc w:val="center"/>
              <w:spacing w:after="0" w:line="147" w:lineRule="exact"/>
              <w:rPr>
                <w:sz w:val="20"/>
                <w:szCs w:val="20"/>
                <w:color w:val="auto"/>
              </w:rPr>
            </w:pPr>
            <w:r>
              <w:rPr>
                <w:rFonts w:ascii="Arial" w:cs="Arial" w:eastAsia="Arial" w:hAnsi="Arial"/>
                <w:sz w:val="13"/>
                <w:szCs w:val="13"/>
                <w:color w:val="376DB5"/>
                <w:w w:val="98"/>
              </w:rPr>
              <w:t>or Units</w:t>
            </w:r>
          </w:p>
        </w:tc>
        <w:tc>
          <w:tcPr>
            <w:tcW w:w="760" w:type="dxa"/>
            <w:vAlign w:val="bottom"/>
          </w:tcPr>
          <w:p>
            <w:pPr>
              <w:jc w:val="center"/>
              <w:spacing w:after="0" w:line="147" w:lineRule="exact"/>
              <w:rPr>
                <w:sz w:val="20"/>
                <w:szCs w:val="20"/>
                <w:color w:val="auto"/>
              </w:rPr>
            </w:pPr>
            <w:r>
              <w:rPr>
                <w:rFonts w:ascii="Arial" w:cs="Arial" w:eastAsia="Arial" w:hAnsi="Arial"/>
                <w:sz w:val="13"/>
                <w:szCs w:val="13"/>
                <w:color w:val="376DB5"/>
                <w:w w:val="96"/>
              </w:rPr>
              <w:t>Awards</w:t>
            </w:r>
          </w:p>
        </w:tc>
        <w:tc>
          <w:tcPr>
            <w:tcW w:w="0" w:type="dxa"/>
            <w:vAlign w:val="bottom"/>
          </w:tcPr>
          <w:p>
            <w:pPr>
              <w:spacing w:after="0"/>
              <w:rPr>
                <w:sz w:val="1"/>
                <w:szCs w:val="1"/>
                <w:color w:val="auto"/>
              </w:rPr>
            </w:pPr>
          </w:p>
        </w:tc>
      </w:tr>
      <w:tr>
        <w:trPr>
          <w:trHeight w:val="168"/>
        </w:trPr>
        <w:tc>
          <w:tcPr>
            <w:tcW w:w="3900" w:type="dxa"/>
            <w:vAlign w:val="bottom"/>
            <w:tcBorders>
              <w:bottom w:val="single" w:sz="8" w:color="376DB5"/>
            </w:tcBorders>
          </w:tcPr>
          <w:p>
            <w:pPr>
              <w:spacing w:after="0"/>
              <w:rPr>
                <w:sz w:val="20"/>
                <w:szCs w:val="20"/>
                <w:color w:val="auto"/>
              </w:rPr>
            </w:pPr>
            <w:r>
              <w:rPr>
                <w:rFonts w:ascii="Arial" w:cs="Arial" w:eastAsia="Arial" w:hAnsi="Arial"/>
                <w:sz w:val="13"/>
                <w:szCs w:val="13"/>
                <w:color w:val="376DB5"/>
              </w:rPr>
              <w:t>Name</w:t>
            </w:r>
          </w:p>
        </w:tc>
        <w:tc>
          <w:tcPr>
            <w:tcW w:w="820" w:type="dxa"/>
            <w:vAlign w:val="bottom"/>
            <w:tcBorders>
              <w:bottom w:val="single" w:sz="8" w:color="376DB5"/>
            </w:tcBorders>
          </w:tcPr>
          <w:p>
            <w:pPr>
              <w:jc w:val="right"/>
              <w:ind w:right="177"/>
              <w:spacing w:after="0"/>
              <w:rPr>
                <w:sz w:val="20"/>
                <w:szCs w:val="20"/>
                <w:color w:val="auto"/>
              </w:rPr>
            </w:pPr>
            <w:r>
              <w:rPr>
                <w:rFonts w:ascii="Arial" w:cs="Arial" w:eastAsia="Arial" w:hAnsi="Arial"/>
                <w:sz w:val="13"/>
                <w:szCs w:val="13"/>
                <w:color w:val="376DB5"/>
              </w:rPr>
              <w:t>Date</w:t>
            </w:r>
          </w:p>
        </w:tc>
        <w:tc>
          <w:tcPr>
            <w:tcW w:w="880" w:type="dxa"/>
            <w:vAlign w:val="bottom"/>
            <w:tcBorders>
              <w:bottom w:val="single" w:sz="8" w:color="376DB5"/>
            </w:tcBorders>
          </w:tcPr>
          <w:p>
            <w:pPr>
              <w:jc w:val="right"/>
              <w:ind w:right="157"/>
              <w:spacing w:after="0"/>
              <w:rPr>
                <w:sz w:val="20"/>
                <w:szCs w:val="20"/>
                <w:color w:val="auto"/>
              </w:rPr>
            </w:pPr>
            <w:r>
              <w:rPr>
                <w:rFonts w:ascii="Arial" w:cs="Arial" w:eastAsia="Arial" w:hAnsi="Arial"/>
                <w:sz w:val="13"/>
                <w:szCs w:val="13"/>
                <w:color w:val="376DB5"/>
              </w:rPr>
              <w:t>($)</w:t>
            </w:r>
          </w:p>
        </w:tc>
        <w:tc>
          <w:tcPr>
            <w:tcW w:w="940" w:type="dxa"/>
            <w:vAlign w:val="bottom"/>
            <w:tcBorders>
              <w:bottom w:val="single" w:sz="8" w:color="376DB5"/>
            </w:tcBorders>
          </w:tcPr>
          <w:p>
            <w:pPr>
              <w:jc w:val="right"/>
              <w:ind w:right="238"/>
              <w:spacing w:after="0"/>
              <w:rPr>
                <w:sz w:val="20"/>
                <w:szCs w:val="20"/>
                <w:color w:val="auto"/>
              </w:rPr>
            </w:pPr>
            <w:r>
              <w:rPr>
                <w:rFonts w:ascii="Arial" w:cs="Arial" w:eastAsia="Arial" w:hAnsi="Arial"/>
                <w:sz w:val="13"/>
                <w:szCs w:val="13"/>
                <w:color w:val="376DB5"/>
              </w:rPr>
              <w:t>($)</w:t>
            </w:r>
          </w:p>
        </w:tc>
        <w:tc>
          <w:tcPr>
            <w:tcW w:w="700" w:type="dxa"/>
            <w:vAlign w:val="bottom"/>
            <w:tcBorders>
              <w:bottom w:val="single" w:sz="8" w:color="376DB5"/>
            </w:tcBorders>
          </w:tcPr>
          <w:p>
            <w:pPr>
              <w:jc w:val="right"/>
              <w:ind w:right="197"/>
              <w:spacing w:after="0"/>
              <w:rPr>
                <w:sz w:val="20"/>
                <w:szCs w:val="20"/>
                <w:color w:val="auto"/>
              </w:rPr>
            </w:pPr>
            <w:r>
              <w:rPr>
                <w:rFonts w:ascii="Arial" w:cs="Arial" w:eastAsia="Arial" w:hAnsi="Arial"/>
                <w:sz w:val="13"/>
                <w:szCs w:val="13"/>
                <w:color w:val="376DB5"/>
              </w:rPr>
              <w:t>($)</w:t>
            </w:r>
          </w:p>
        </w:tc>
        <w:tc>
          <w:tcPr>
            <w:tcW w:w="920" w:type="dxa"/>
            <w:vAlign w:val="bottom"/>
            <w:tcBorders>
              <w:bottom w:val="single" w:sz="8" w:color="376DB5"/>
            </w:tcBorders>
            <w:gridSpan w:val="2"/>
          </w:tcPr>
          <w:p>
            <w:pPr>
              <w:jc w:val="right"/>
              <w:ind w:right="137"/>
              <w:spacing w:after="0"/>
              <w:rPr>
                <w:sz w:val="20"/>
                <w:szCs w:val="20"/>
                <w:color w:val="auto"/>
              </w:rPr>
            </w:pPr>
            <w:r>
              <w:rPr>
                <w:rFonts w:ascii="Arial" w:cs="Arial" w:eastAsia="Arial" w:hAnsi="Arial"/>
                <w:sz w:val="13"/>
                <w:szCs w:val="13"/>
                <w:color w:val="376DB5"/>
              </w:rPr>
              <w:t>(#)</w:t>
            </w:r>
          </w:p>
        </w:tc>
        <w:tc>
          <w:tcPr>
            <w:tcW w:w="760" w:type="dxa"/>
            <w:vAlign w:val="bottom"/>
            <w:tcBorders>
              <w:bottom w:val="single" w:sz="8" w:color="376DB5"/>
            </w:tcBorders>
          </w:tcPr>
          <w:p>
            <w:pPr>
              <w:jc w:val="right"/>
              <w:ind w:right="202"/>
              <w:spacing w:after="0"/>
              <w:rPr>
                <w:sz w:val="20"/>
                <w:szCs w:val="20"/>
                <w:color w:val="auto"/>
              </w:rPr>
            </w:pPr>
            <w:r>
              <w:rPr>
                <w:rFonts w:ascii="Arial" w:cs="Arial" w:eastAsia="Arial" w:hAnsi="Arial"/>
                <w:sz w:val="13"/>
                <w:szCs w:val="13"/>
                <w:color w:val="376DB5"/>
              </w:rPr>
              <w:t>(#)</w:t>
            </w:r>
          </w:p>
        </w:tc>
        <w:tc>
          <w:tcPr>
            <w:tcW w:w="600" w:type="dxa"/>
            <w:vAlign w:val="bottom"/>
            <w:tcBorders>
              <w:bottom w:val="single" w:sz="8" w:color="376DB5"/>
            </w:tcBorders>
          </w:tcPr>
          <w:p>
            <w:pPr>
              <w:jc w:val="right"/>
              <w:ind w:right="137"/>
              <w:spacing w:after="0"/>
              <w:rPr>
                <w:sz w:val="20"/>
                <w:szCs w:val="20"/>
                <w:color w:val="auto"/>
              </w:rPr>
            </w:pPr>
            <w:r>
              <w:rPr>
                <w:rFonts w:ascii="Arial" w:cs="Arial" w:eastAsia="Arial" w:hAnsi="Arial"/>
                <w:sz w:val="13"/>
                <w:szCs w:val="13"/>
                <w:color w:val="376DB5"/>
              </w:rPr>
              <w:t>(#)</w:t>
            </w:r>
          </w:p>
        </w:tc>
        <w:tc>
          <w:tcPr>
            <w:tcW w:w="740" w:type="dxa"/>
            <w:vAlign w:val="bottom"/>
            <w:tcBorders>
              <w:bottom w:val="single" w:sz="8" w:color="376DB5"/>
            </w:tcBorders>
          </w:tcPr>
          <w:p>
            <w:pPr>
              <w:jc w:val="center"/>
              <w:spacing w:after="0"/>
              <w:rPr>
                <w:sz w:val="20"/>
                <w:szCs w:val="20"/>
                <w:color w:val="auto"/>
              </w:rPr>
            </w:pPr>
            <w:r>
              <w:rPr>
                <w:rFonts w:ascii="Arial" w:cs="Arial" w:eastAsia="Arial" w:hAnsi="Arial"/>
                <w:sz w:val="13"/>
                <w:szCs w:val="13"/>
                <w:color w:val="376DB5"/>
              </w:rPr>
              <w:t>(#)</w:t>
            </w:r>
          </w:p>
        </w:tc>
        <w:tc>
          <w:tcPr>
            <w:tcW w:w="760" w:type="dxa"/>
            <w:vAlign w:val="bottom"/>
            <w:tcBorders>
              <w:bottom w:val="single" w:sz="8" w:color="376DB5"/>
            </w:tcBorders>
          </w:tcPr>
          <w:p>
            <w:pPr>
              <w:jc w:val="center"/>
              <w:spacing w:after="0" w:line="168" w:lineRule="exact"/>
              <w:rPr>
                <w:sz w:val="20"/>
                <w:szCs w:val="20"/>
                <w:color w:val="auto"/>
              </w:rPr>
            </w:pPr>
            <w:r>
              <w:rPr>
                <w:rFonts w:ascii="Arial" w:cs="Arial" w:eastAsia="Arial" w:hAnsi="Arial"/>
                <w:sz w:val="13"/>
                <w:szCs w:val="13"/>
                <w:color w:val="376DB5"/>
                <w:w w:val="84"/>
              </w:rPr>
              <w:t>($)</w:t>
            </w:r>
            <w:r>
              <w:rPr>
                <w:rFonts w:ascii="Arial" w:cs="Arial" w:eastAsia="Arial" w:hAnsi="Arial"/>
                <w:sz w:val="18"/>
                <w:szCs w:val="18"/>
                <w:color w:val="376DB5"/>
                <w:w w:val="84"/>
                <w:vertAlign w:val="superscript"/>
              </w:rPr>
              <w:t>(5)</w:t>
            </w:r>
          </w:p>
        </w:tc>
        <w:tc>
          <w:tcPr>
            <w:tcW w:w="0" w:type="dxa"/>
            <w:vAlign w:val="bottom"/>
          </w:tcPr>
          <w:p>
            <w:pPr>
              <w:spacing w:after="0"/>
              <w:rPr>
                <w:sz w:val="1"/>
                <w:szCs w:val="1"/>
                <w:color w:val="auto"/>
              </w:rPr>
            </w:pPr>
          </w:p>
        </w:tc>
      </w:tr>
      <w:tr>
        <w:trPr>
          <w:trHeight w:val="159"/>
        </w:trPr>
        <w:tc>
          <w:tcPr>
            <w:tcW w:w="3900" w:type="dxa"/>
            <w:vAlign w:val="bottom"/>
          </w:tcPr>
          <w:p>
            <w:pPr>
              <w:spacing w:after="0"/>
              <w:rPr>
                <w:sz w:val="20"/>
                <w:szCs w:val="20"/>
                <w:color w:val="auto"/>
              </w:rPr>
            </w:pPr>
            <w:r>
              <w:rPr>
                <w:rFonts w:ascii="Arial" w:cs="Arial" w:eastAsia="Arial" w:hAnsi="Arial"/>
                <w:sz w:val="13"/>
                <w:szCs w:val="13"/>
                <w:color w:val="auto"/>
              </w:rPr>
              <w:t>William Lansing</w:t>
            </w:r>
          </w:p>
        </w:tc>
        <w:tc>
          <w:tcPr>
            <w:tcW w:w="820" w:type="dxa"/>
            <w:vAlign w:val="bottom"/>
          </w:tcPr>
          <w:p>
            <w:pPr>
              <w:spacing w:after="0"/>
              <w:rPr>
                <w:sz w:val="13"/>
                <w:szCs w:val="1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93,750</w:t>
            </w: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750,000</w:t>
            </w:r>
          </w:p>
        </w:tc>
        <w:tc>
          <w:tcPr>
            <w:tcW w:w="700" w:type="dxa"/>
            <w:vAlign w:val="bottom"/>
          </w:tcPr>
          <w:p>
            <w:pPr>
              <w:jc w:val="right"/>
              <w:spacing w:after="0"/>
              <w:rPr>
                <w:sz w:val="20"/>
                <w:szCs w:val="20"/>
                <w:color w:val="auto"/>
              </w:rPr>
            </w:pPr>
            <w:r>
              <w:rPr>
                <w:rFonts w:ascii="Arial" w:cs="Arial" w:eastAsia="Arial" w:hAnsi="Arial"/>
                <w:sz w:val="13"/>
                <w:szCs w:val="13"/>
                <w:color w:val="auto"/>
              </w:rPr>
              <w:t>1,406,250</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9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12/09/2024</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gridSpan w:val="2"/>
          </w:tcPr>
          <w:p>
            <w:pPr>
              <w:jc w:val="right"/>
              <w:ind w:right="57"/>
              <w:spacing w:after="0" w:line="207" w:lineRule="exact"/>
              <w:rPr>
                <w:sz w:val="20"/>
                <w:szCs w:val="20"/>
                <w:color w:val="auto"/>
              </w:rPr>
            </w:pPr>
            <w:r>
              <w:rPr>
                <w:rFonts w:ascii="Arial" w:cs="Arial" w:eastAsia="Arial" w:hAnsi="Arial"/>
                <w:sz w:val="24"/>
                <w:szCs w:val="24"/>
                <w:color w:val="auto"/>
                <w:vertAlign w:val="subscript"/>
              </w:rPr>
              <w:t>0</w:t>
            </w:r>
            <w:r>
              <w:rPr>
                <w:rFonts w:ascii="Arial" w:cs="Arial" w:eastAsia="Arial" w:hAnsi="Arial"/>
                <w:sz w:val="9"/>
                <w:szCs w:val="9"/>
                <w:color w:val="auto"/>
              </w:rPr>
              <w:t>(2)</w:t>
            </w:r>
          </w:p>
        </w:tc>
        <w:tc>
          <w:tcPr>
            <w:tcW w:w="760" w:type="dxa"/>
            <w:vAlign w:val="bottom"/>
          </w:tcPr>
          <w:p>
            <w:pPr>
              <w:jc w:val="right"/>
              <w:ind w:right="42"/>
              <w:spacing w:after="0"/>
              <w:rPr>
                <w:sz w:val="20"/>
                <w:szCs w:val="20"/>
                <w:color w:val="auto"/>
              </w:rPr>
            </w:pPr>
            <w:r>
              <w:rPr>
                <w:rFonts w:ascii="Arial" w:cs="Arial" w:eastAsia="Arial" w:hAnsi="Arial"/>
                <w:sz w:val="13"/>
                <w:szCs w:val="13"/>
                <w:color w:val="auto"/>
              </w:rPr>
              <w:t>4,480</w:t>
            </w:r>
            <w:r>
              <w:rPr>
                <w:rFonts w:ascii="Arial" w:cs="Arial" w:eastAsia="Arial" w:hAnsi="Arial"/>
                <w:sz w:val="18"/>
                <w:szCs w:val="18"/>
                <w:color w:val="auto"/>
                <w:vertAlign w:val="superscript"/>
              </w:rPr>
              <w:t>(2)</w:t>
            </w:r>
          </w:p>
        </w:tc>
        <w:tc>
          <w:tcPr>
            <w:tcW w:w="600" w:type="dxa"/>
            <w:vAlign w:val="bottom"/>
          </w:tcPr>
          <w:p>
            <w:pPr>
              <w:jc w:val="right"/>
              <w:spacing w:after="0"/>
              <w:rPr>
                <w:sz w:val="20"/>
                <w:szCs w:val="20"/>
                <w:color w:val="auto"/>
              </w:rPr>
            </w:pPr>
            <w:r>
              <w:rPr>
                <w:rFonts w:ascii="Arial" w:cs="Arial" w:eastAsia="Arial" w:hAnsi="Arial"/>
                <w:sz w:val="13"/>
                <w:szCs w:val="13"/>
                <w:color w:val="auto"/>
              </w:rPr>
              <w:t>8,960</w:t>
            </w:r>
            <w:r>
              <w:rPr>
                <w:rFonts w:ascii="Arial" w:cs="Arial" w:eastAsia="Arial" w:hAnsi="Arial"/>
                <w:sz w:val="18"/>
                <w:szCs w:val="18"/>
                <w:color w:val="auto"/>
                <w:vertAlign w:val="superscript"/>
              </w:rPr>
              <w:t>(2)</w:t>
            </w:r>
          </w:p>
        </w:tc>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14,136,954</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12/09/2024</w:t>
            </w: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gridSpan w:val="2"/>
          </w:tcPr>
          <w:p>
            <w:pPr>
              <w:jc w:val="right"/>
              <w:ind w:right="57"/>
              <w:spacing w:after="0" w:line="189" w:lineRule="exact"/>
              <w:rPr>
                <w:sz w:val="20"/>
                <w:szCs w:val="20"/>
                <w:color w:val="auto"/>
              </w:rPr>
            </w:pPr>
            <w:r>
              <w:rPr>
                <w:rFonts w:ascii="Arial" w:cs="Arial" w:eastAsia="Arial" w:hAnsi="Arial"/>
                <w:sz w:val="21"/>
                <w:szCs w:val="21"/>
                <w:color w:val="auto"/>
                <w:vertAlign w:val="subscript"/>
              </w:rPr>
              <w:t>0</w:t>
            </w:r>
            <w:r>
              <w:rPr>
                <w:rFonts w:ascii="Arial" w:cs="Arial" w:eastAsia="Arial" w:hAnsi="Arial"/>
                <w:sz w:val="9"/>
                <w:szCs w:val="9"/>
                <w:color w:val="auto"/>
              </w:rPr>
              <w:t>(3)</w:t>
            </w:r>
          </w:p>
        </w:tc>
        <w:tc>
          <w:tcPr>
            <w:tcW w:w="760" w:type="dxa"/>
            <w:vAlign w:val="bottom"/>
          </w:tcPr>
          <w:p>
            <w:pPr>
              <w:jc w:val="right"/>
              <w:ind w:right="42"/>
              <w:spacing w:after="0" w:line="189" w:lineRule="exact"/>
              <w:rPr>
                <w:sz w:val="20"/>
                <w:szCs w:val="20"/>
                <w:color w:val="auto"/>
              </w:rPr>
            </w:pPr>
            <w:r>
              <w:rPr>
                <w:rFonts w:ascii="Arial" w:cs="Arial" w:eastAsia="Arial" w:hAnsi="Arial"/>
                <w:sz w:val="13"/>
                <w:szCs w:val="13"/>
                <w:color w:val="auto"/>
              </w:rPr>
              <w:t>4,480</w:t>
            </w:r>
            <w:r>
              <w:rPr>
                <w:rFonts w:ascii="Arial" w:cs="Arial" w:eastAsia="Arial" w:hAnsi="Arial"/>
                <w:sz w:val="18"/>
                <w:szCs w:val="18"/>
                <w:color w:val="auto"/>
                <w:vertAlign w:val="superscript"/>
              </w:rPr>
              <w:t>(3)</w:t>
            </w:r>
          </w:p>
        </w:tc>
        <w:tc>
          <w:tcPr>
            <w:tcW w:w="600" w:type="dxa"/>
            <w:vAlign w:val="bottom"/>
          </w:tcPr>
          <w:p>
            <w:pPr>
              <w:jc w:val="right"/>
              <w:spacing w:after="0" w:line="189" w:lineRule="exact"/>
              <w:rPr>
                <w:sz w:val="20"/>
                <w:szCs w:val="20"/>
                <w:color w:val="auto"/>
              </w:rPr>
            </w:pPr>
            <w:r>
              <w:rPr>
                <w:rFonts w:ascii="Arial" w:cs="Arial" w:eastAsia="Arial" w:hAnsi="Arial"/>
                <w:sz w:val="13"/>
                <w:szCs w:val="13"/>
                <w:color w:val="auto"/>
              </w:rPr>
              <w:t>8,960</w:t>
            </w:r>
            <w:r>
              <w:rPr>
                <w:rFonts w:ascii="Arial" w:cs="Arial" w:eastAsia="Arial" w:hAnsi="Arial"/>
                <w:sz w:val="18"/>
                <w:szCs w:val="18"/>
                <w:color w:val="auto"/>
                <w:vertAlign w:val="superscript"/>
              </w:rPr>
              <w:t>(3)</w:t>
            </w:r>
          </w:p>
        </w:tc>
        <w:tc>
          <w:tcPr>
            <w:tcW w:w="7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9,977,453</w:t>
            </w:r>
          </w:p>
        </w:tc>
        <w:tc>
          <w:tcPr>
            <w:tcW w:w="0" w:type="dxa"/>
            <w:vAlign w:val="bottom"/>
          </w:tcPr>
          <w:p>
            <w:pPr>
              <w:spacing w:after="0"/>
              <w:rPr>
                <w:sz w:val="1"/>
                <w:szCs w:val="1"/>
                <w:color w:val="auto"/>
              </w:rPr>
            </w:pPr>
          </w:p>
        </w:tc>
      </w:tr>
      <w:tr>
        <w:trPr>
          <w:trHeight w:val="180"/>
        </w:trPr>
        <w:tc>
          <w:tcPr>
            <w:tcW w:w="39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12/09/2024</w:t>
            </w: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jc w:val="right"/>
              <w:ind w:right="60"/>
              <w:spacing w:after="0" w:line="180" w:lineRule="exact"/>
              <w:rPr>
                <w:sz w:val="20"/>
                <w:szCs w:val="20"/>
                <w:color w:val="auto"/>
              </w:rPr>
            </w:pPr>
            <w:r>
              <w:rPr>
                <w:rFonts w:ascii="Arial" w:cs="Arial" w:eastAsia="Arial" w:hAnsi="Arial"/>
                <w:sz w:val="13"/>
                <w:szCs w:val="13"/>
                <w:color w:val="auto"/>
              </w:rPr>
              <w:t>4,480</w:t>
            </w:r>
            <w:r>
              <w:rPr>
                <w:rFonts w:ascii="Arial" w:cs="Arial" w:eastAsia="Arial" w:hAnsi="Arial"/>
                <w:sz w:val="18"/>
                <w:szCs w:val="18"/>
                <w:color w:val="auto"/>
                <w:vertAlign w:val="superscript"/>
              </w:rPr>
              <w:t>(4)</w:t>
            </w:r>
          </w:p>
        </w:tc>
        <w:tc>
          <w:tcPr>
            <w:tcW w:w="760" w:type="dxa"/>
            <w:vAlign w:val="bottom"/>
          </w:tcPr>
          <w:p>
            <w:pPr>
              <w:jc w:val="right"/>
              <w:spacing w:after="0"/>
              <w:rPr>
                <w:sz w:val="20"/>
                <w:szCs w:val="20"/>
                <w:color w:val="auto"/>
              </w:rPr>
            </w:pPr>
            <w:r>
              <w:rPr>
                <w:rFonts w:ascii="Arial" w:cs="Arial" w:eastAsia="Arial" w:hAnsi="Arial"/>
                <w:sz w:val="13"/>
                <w:szCs w:val="13"/>
                <w:color w:val="auto"/>
              </w:rPr>
              <w:t>9,977,453</w:t>
            </w:r>
          </w:p>
        </w:tc>
        <w:tc>
          <w:tcPr>
            <w:tcW w:w="0" w:type="dxa"/>
            <w:vAlign w:val="bottom"/>
          </w:tcPr>
          <w:p>
            <w:pPr>
              <w:spacing w:after="0"/>
              <w:rPr>
                <w:sz w:val="1"/>
                <w:szCs w:val="1"/>
                <w:color w:val="auto"/>
              </w:rPr>
            </w:pPr>
          </w:p>
        </w:tc>
      </w:tr>
      <w:tr>
        <w:trPr>
          <w:trHeight w:val="175"/>
        </w:trPr>
        <w:tc>
          <w:tcPr>
            <w:tcW w:w="3900" w:type="dxa"/>
            <w:vAlign w:val="bottom"/>
            <w:shd w:val="clear" w:color="auto" w:fill="F2F2F2"/>
          </w:tcPr>
          <w:p>
            <w:pPr>
              <w:spacing w:after="0"/>
              <w:rPr>
                <w:sz w:val="20"/>
                <w:szCs w:val="20"/>
                <w:color w:val="auto"/>
              </w:rPr>
            </w:pPr>
            <w:r>
              <w:rPr>
                <w:rFonts w:ascii="Arial" w:cs="Arial" w:eastAsia="Arial" w:hAnsi="Arial"/>
                <w:sz w:val="13"/>
                <w:szCs w:val="13"/>
                <w:color w:val="auto"/>
              </w:rPr>
              <w:t>Steven Weber</w:t>
            </w:r>
          </w:p>
        </w:tc>
        <w:tc>
          <w:tcPr>
            <w:tcW w:w="820" w:type="dxa"/>
            <w:vAlign w:val="bottom"/>
            <w:shd w:val="clear" w:color="auto" w:fill="F2F2F2"/>
          </w:tcPr>
          <w:p>
            <w:pPr>
              <w:spacing w:after="0"/>
              <w:rPr>
                <w:sz w:val="15"/>
                <w:szCs w:val="15"/>
                <w:color w:val="auto"/>
              </w:rPr>
            </w:pPr>
          </w:p>
        </w:tc>
        <w:tc>
          <w:tcPr>
            <w:tcW w:w="88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25,000</w:t>
            </w:r>
          </w:p>
        </w:tc>
        <w:tc>
          <w:tcPr>
            <w:tcW w:w="940" w:type="dxa"/>
            <w:vAlign w:val="bottom"/>
            <w:shd w:val="clear" w:color="auto" w:fill="F2F2F2"/>
          </w:tcPr>
          <w:p>
            <w:pPr>
              <w:jc w:val="right"/>
              <w:ind w:right="58"/>
              <w:spacing w:after="0"/>
              <w:rPr>
                <w:sz w:val="20"/>
                <w:szCs w:val="20"/>
                <w:color w:val="auto"/>
              </w:rPr>
            </w:pPr>
            <w:r>
              <w:rPr>
                <w:rFonts w:ascii="Arial" w:cs="Arial" w:eastAsia="Arial" w:hAnsi="Arial"/>
                <w:sz w:val="13"/>
                <w:szCs w:val="13"/>
                <w:color w:val="auto"/>
              </w:rPr>
              <w:t>200,000</w:t>
            </w:r>
          </w:p>
        </w:tc>
        <w:tc>
          <w:tcPr>
            <w:tcW w:w="700" w:type="dxa"/>
            <w:vAlign w:val="bottom"/>
            <w:shd w:val="clear" w:color="auto" w:fill="F2F2F2"/>
          </w:tcPr>
          <w:p>
            <w:pPr>
              <w:jc w:val="right"/>
              <w:spacing w:after="0"/>
              <w:rPr>
                <w:sz w:val="20"/>
                <w:szCs w:val="20"/>
                <w:color w:val="auto"/>
              </w:rPr>
            </w:pPr>
            <w:r>
              <w:rPr>
                <w:rFonts w:ascii="Arial" w:cs="Arial" w:eastAsia="Arial" w:hAnsi="Arial"/>
                <w:sz w:val="13"/>
                <w:szCs w:val="13"/>
                <w:color w:val="auto"/>
              </w:rPr>
              <w:t>375,000</w:t>
            </w:r>
          </w:p>
        </w:tc>
        <w:tc>
          <w:tcPr>
            <w:tcW w:w="200" w:type="dxa"/>
            <w:vAlign w:val="bottom"/>
            <w:shd w:val="clear" w:color="auto" w:fill="F2F2F2"/>
          </w:tcPr>
          <w:p>
            <w:pPr>
              <w:spacing w:after="0"/>
              <w:rPr>
                <w:sz w:val="15"/>
                <w:szCs w:val="15"/>
                <w:color w:val="auto"/>
              </w:rPr>
            </w:pPr>
          </w:p>
        </w:tc>
        <w:tc>
          <w:tcPr>
            <w:tcW w:w="720" w:type="dxa"/>
            <w:vAlign w:val="bottom"/>
            <w:shd w:val="clear" w:color="auto" w:fill="F2F2F2"/>
          </w:tcPr>
          <w:p>
            <w:pPr>
              <w:spacing w:after="0"/>
              <w:rPr>
                <w:sz w:val="15"/>
                <w:szCs w:val="15"/>
                <w:color w:val="auto"/>
              </w:rPr>
            </w:pPr>
          </w:p>
        </w:tc>
        <w:tc>
          <w:tcPr>
            <w:tcW w:w="760" w:type="dxa"/>
            <w:vAlign w:val="bottom"/>
            <w:shd w:val="clear" w:color="auto" w:fill="F2F2F2"/>
          </w:tcPr>
          <w:p>
            <w:pPr>
              <w:spacing w:after="0"/>
              <w:rPr>
                <w:sz w:val="15"/>
                <w:szCs w:val="15"/>
                <w:color w:val="auto"/>
              </w:rPr>
            </w:pPr>
          </w:p>
        </w:tc>
        <w:tc>
          <w:tcPr>
            <w:tcW w:w="600" w:type="dxa"/>
            <w:vAlign w:val="bottom"/>
            <w:shd w:val="clear" w:color="auto" w:fill="F2F2F2"/>
          </w:tcPr>
          <w:p>
            <w:pPr>
              <w:spacing w:after="0"/>
              <w:rPr>
                <w:sz w:val="15"/>
                <w:szCs w:val="15"/>
                <w:color w:val="auto"/>
              </w:rPr>
            </w:pPr>
          </w:p>
        </w:tc>
        <w:tc>
          <w:tcPr>
            <w:tcW w:w="740" w:type="dxa"/>
            <w:vAlign w:val="bottom"/>
            <w:shd w:val="clear" w:color="auto" w:fill="F2F2F2"/>
          </w:tcPr>
          <w:p>
            <w:pPr>
              <w:spacing w:after="0"/>
              <w:rPr>
                <w:sz w:val="15"/>
                <w:szCs w:val="15"/>
                <w:color w:val="auto"/>
              </w:rPr>
            </w:pPr>
          </w:p>
        </w:tc>
        <w:tc>
          <w:tcPr>
            <w:tcW w:w="76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F2F2F2"/>
          </w:tcPr>
          <w:p>
            <w:pPr>
              <w:spacing w:after="0"/>
              <w:rPr>
                <w:sz w:val="17"/>
                <w:szCs w:val="17"/>
                <w:color w:val="auto"/>
              </w:rPr>
            </w:pPr>
          </w:p>
        </w:tc>
        <w:tc>
          <w:tcPr>
            <w:tcW w:w="820" w:type="dxa"/>
            <w:vAlign w:val="bottom"/>
            <w:shd w:val="clear" w:color="auto" w:fill="F2F2F2"/>
          </w:tcPr>
          <w:p>
            <w:pPr>
              <w:jc w:val="right"/>
              <w:spacing w:after="0"/>
              <w:rPr>
                <w:sz w:val="20"/>
                <w:szCs w:val="20"/>
                <w:color w:val="auto"/>
              </w:rPr>
            </w:pPr>
            <w:r>
              <w:rPr>
                <w:rFonts w:ascii="Arial" w:cs="Arial" w:eastAsia="Arial" w:hAnsi="Arial"/>
                <w:sz w:val="13"/>
                <w:szCs w:val="13"/>
                <w:color w:val="auto"/>
              </w:rPr>
              <w:t>12/09/2024</w:t>
            </w:r>
          </w:p>
        </w:tc>
        <w:tc>
          <w:tcPr>
            <w:tcW w:w="880" w:type="dxa"/>
            <w:vAlign w:val="bottom"/>
            <w:shd w:val="clear" w:color="auto" w:fill="F2F2F2"/>
          </w:tcPr>
          <w:p>
            <w:pPr>
              <w:spacing w:after="0"/>
              <w:rPr>
                <w:sz w:val="17"/>
                <w:szCs w:val="17"/>
                <w:color w:val="auto"/>
              </w:rPr>
            </w:pPr>
          </w:p>
        </w:tc>
        <w:tc>
          <w:tcPr>
            <w:tcW w:w="940" w:type="dxa"/>
            <w:vAlign w:val="bottom"/>
            <w:shd w:val="clear" w:color="auto" w:fill="F2F2F2"/>
          </w:tcPr>
          <w:p>
            <w:pPr>
              <w:spacing w:after="0"/>
              <w:rPr>
                <w:sz w:val="17"/>
                <w:szCs w:val="17"/>
                <w:color w:val="auto"/>
              </w:rPr>
            </w:pPr>
          </w:p>
        </w:tc>
        <w:tc>
          <w:tcPr>
            <w:tcW w:w="700" w:type="dxa"/>
            <w:vAlign w:val="bottom"/>
            <w:shd w:val="clear" w:color="auto" w:fill="F2F2F2"/>
          </w:tcPr>
          <w:p>
            <w:pPr>
              <w:spacing w:after="0"/>
              <w:rPr>
                <w:sz w:val="17"/>
                <w:szCs w:val="17"/>
                <w:color w:val="auto"/>
              </w:rPr>
            </w:pPr>
          </w:p>
        </w:tc>
        <w:tc>
          <w:tcPr>
            <w:tcW w:w="920" w:type="dxa"/>
            <w:vAlign w:val="bottom"/>
            <w:gridSpan w:val="2"/>
            <w:shd w:val="clear" w:color="auto" w:fill="F2F2F2"/>
          </w:tcPr>
          <w:p>
            <w:pPr>
              <w:jc w:val="right"/>
              <w:ind w:right="57"/>
              <w:spacing w:after="0" w:line="203" w:lineRule="exact"/>
              <w:rPr>
                <w:sz w:val="20"/>
                <w:szCs w:val="20"/>
                <w:color w:val="auto"/>
              </w:rPr>
            </w:pPr>
            <w:r>
              <w:rPr>
                <w:rFonts w:ascii="Arial" w:cs="Arial" w:eastAsia="Arial" w:hAnsi="Arial"/>
                <w:sz w:val="23"/>
                <w:szCs w:val="23"/>
                <w:color w:val="auto"/>
                <w:vertAlign w:val="subscript"/>
              </w:rPr>
              <w:t>0</w:t>
            </w:r>
            <w:r>
              <w:rPr>
                <w:rFonts w:ascii="Arial" w:cs="Arial" w:eastAsia="Arial" w:hAnsi="Arial"/>
                <w:sz w:val="9"/>
                <w:szCs w:val="9"/>
                <w:color w:val="auto"/>
              </w:rPr>
              <w:t>(2)</w:t>
            </w:r>
          </w:p>
        </w:tc>
        <w:tc>
          <w:tcPr>
            <w:tcW w:w="760" w:type="dxa"/>
            <w:vAlign w:val="bottom"/>
            <w:shd w:val="clear" w:color="auto" w:fill="F2F2F2"/>
          </w:tcPr>
          <w:p>
            <w:pPr>
              <w:jc w:val="right"/>
              <w:ind w:right="42"/>
              <w:spacing w:after="0" w:line="203" w:lineRule="exact"/>
              <w:rPr>
                <w:sz w:val="20"/>
                <w:szCs w:val="20"/>
                <w:color w:val="auto"/>
              </w:rPr>
            </w:pPr>
            <w:r>
              <w:rPr>
                <w:rFonts w:ascii="Arial" w:cs="Arial" w:eastAsia="Arial" w:hAnsi="Arial"/>
                <w:sz w:val="13"/>
                <w:szCs w:val="13"/>
                <w:color w:val="auto"/>
              </w:rPr>
              <w:t>822</w:t>
            </w:r>
            <w:r>
              <w:rPr>
                <w:rFonts w:ascii="Arial" w:cs="Arial" w:eastAsia="Arial" w:hAnsi="Arial"/>
                <w:sz w:val="18"/>
                <w:szCs w:val="18"/>
                <w:color w:val="auto"/>
                <w:vertAlign w:val="superscript"/>
              </w:rPr>
              <w:t>(2)</w:t>
            </w:r>
          </w:p>
        </w:tc>
        <w:tc>
          <w:tcPr>
            <w:tcW w:w="600" w:type="dxa"/>
            <w:vAlign w:val="bottom"/>
            <w:shd w:val="clear" w:color="auto" w:fill="F2F2F2"/>
          </w:tcPr>
          <w:p>
            <w:pPr>
              <w:jc w:val="right"/>
              <w:spacing w:after="0" w:line="203" w:lineRule="exact"/>
              <w:rPr>
                <w:sz w:val="20"/>
                <w:szCs w:val="20"/>
                <w:color w:val="auto"/>
              </w:rPr>
            </w:pPr>
            <w:r>
              <w:rPr>
                <w:rFonts w:ascii="Arial" w:cs="Arial" w:eastAsia="Arial" w:hAnsi="Arial"/>
                <w:sz w:val="13"/>
                <w:szCs w:val="13"/>
                <w:color w:val="auto"/>
              </w:rPr>
              <w:t>1,644</w:t>
            </w:r>
            <w:r>
              <w:rPr>
                <w:rFonts w:ascii="Arial" w:cs="Arial" w:eastAsia="Arial" w:hAnsi="Arial"/>
                <w:sz w:val="18"/>
                <w:szCs w:val="18"/>
                <w:color w:val="auto"/>
                <w:vertAlign w:val="superscript"/>
              </w:rPr>
              <w:t>(2)</w:t>
            </w:r>
          </w:p>
        </w:tc>
        <w:tc>
          <w:tcPr>
            <w:tcW w:w="740" w:type="dxa"/>
            <w:vAlign w:val="bottom"/>
            <w:shd w:val="clear" w:color="auto" w:fill="F2F2F2"/>
          </w:tcPr>
          <w:p>
            <w:pPr>
              <w:spacing w:after="0"/>
              <w:rPr>
                <w:sz w:val="17"/>
                <w:szCs w:val="17"/>
                <w:color w:val="auto"/>
              </w:rPr>
            </w:pPr>
          </w:p>
        </w:tc>
        <w:tc>
          <w:tcPr>
            <w:tcW w:w="7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2,593,879</w:t>
            </w:r>
          </w:p>
        </w:tc>
        <w:tc>
          <w:tcPr>
            <w:tcW w:w="0" w:type="dxa"/>
            <w:vAlign w:val="bottom"/>
          </w:tcPr>
          <w:p>
            <w:pPr>
              <w:spacing w:after="0"/>
              <w:rPr>
                <w:sz w:val="1"/>
                <w:szCs w:val="1"/>
                <w:color w:val="auto"/>
              </w:rPr>
            </w:pPr>
          </w:p>
        </w:tc>
      </w:tr>
      <w:tr>
        <w:trPr>
          <w:trHeight w:val="189"/>
        </w:trPr>
        <w:tc>
          <w:tcPr>
            <w:tcW w:w="3900" w:type="dxa"/>
            <w:vAlign w:val="bottom"/>
            <w:shd w:val="clear" w:color="auto" w:fill="F2F2F2"/>
          </w:tcPr>
          <w:p>
            <w:pPr>
              <w:spacing w:after="0"/>
              <w:rPr>
                <w:sz w:val="16"/>
                <w:szCs w:val="16"/>
                <w:color w:val="auto"/>
              </w:rPr>
            </w:pPr>
          </w:p>
        </w:tc>
        <w:tc>
          <w:tcPr>
            <w:tcW w:w="820" w:type="dxa"/>
            <w:vAlign w:val="bottom"/>
            <w:shd w:val="clear" w:color="auto" w:fill="F2F2F2"/>
          </w:tcPr>
          <w:p>
            <w:pPr>
              <w:jc w:val="right"/>
              <w:spacing w:after="0"/>
              <w:rPr>
                <w:sz w:val="20"/>
                <w:szCs w:val="20"/>
                <w:color w:val="auto"/>
              </w:rPr>
            </w:pPr>
            <w:r>
              <w:rPr>
                <w:rFonts w:ascii="Arial" w:cs="Arial" w:eastAsia="Arial" w:hAnsi="Arial"/>
                <w:sz w:val="13"/>
                <w:szCs w:val="13"/>
                <w:color w:val="auto"/>
              </w:rPr>
              <w:t>12/09/2024</w:t>
            </w:r>
          </w:p>
        </w:tc>
        <w:tc>
          <w:tcPr>
            <w:tcW w:w="880" w:type="dxa"/>
            <w:vAlign w:val="bottom"/>
            <w:shd w:val="clear" w:color="auto" w:fill="F2F2F2"/>
          </w:tcPr>
          <w:p>
            <w:pPr>
              <w:spacing w:after="0"/>
              <w:rPr>
                <w:sz w:val="16"/>
                <w:szCs w:val="16"/>
                <w:color w:val="auto"/>
              </w:rPr>
            </w:pPr>
          </w:p>
        </w:tc>
        <w:tc>
          <w:tcPr>
            <w:tcW w:w="940" w:type="dxa"/>
            <w:vAlign w:val="bottom"/>
            <w:shd w:val="clear" w:color="auto" w:fill="F2F2F2"/>
          </w:tcPr>
          <w:p>
            <w:pPr>
              <w:spacing w:after="0"/>
              <w:rPr>
                <w:sz w:val="16"/>
                <w:szCs w:val="16"/>
                <w:color w:val="auto"/>
              </w:rPr>
            </w:pPr>
          </w:p>
        </w:tc>
        <w:tc>
          <w:tcPr>
            <w:tcW w:w="700" w:type="dxa"/>
            <w:vAlign w:val="bottom"/>
            <w:shd w:val="clear" w:color="auto" w:fill="F2F2F2"/>
          </w:tcPr>
          <w:p>
            <w:pPr>
              <w:spacing w:after="0"/>
              <w:rPr>
                <w:sz w:val="16"/>
                <w:szCs w:val="16"/>
                <w:color w:val="auto"/>
              </w:rPr>
            </w:pPr>
          </w:p>
        </w:tc>
        <w:tc>
          <w:tcPr>
            <w:tcW w:w="920" w:type="dxa"/>
            <w:vAlign w:val="bottom"/>
            <w:gridSpan w:val="2"/>
            <w:shd w:val="clear" w:color="auto" w:fill="F2F2F2"/>
          </w:tcPr>
          <w:p>
            <w:pPr>
              <w:jc w:val="right"/>
              <w:ind w:right="57"/>
              <w:spacing w:after="0" w:line="189" w:lineRule="exact"/>
              <w:rPr>
                <w:sz w:val="20"/>
                <w:szCs w:val="20"/>
                <w:color w:val="auto"/>
              </w:rPr>
            </w:pPr>
            <w:r>
              <w:rPr>
                <w:rFonts w:ascii="Arial" w:cs="Arial" w:eastAsia="Arial" w:hAnsi="Arial"/>
                <w:sz w:val="21"/>
                <w:szCs w:val="21"/>
                <w:color w:val="auto"/>
                <w:vertAlign w:val="subscript"/>
              </w:rPr>
              <w:t>0</w:t>
            </w:r>
            <w:r>
              <w:rPr>
                <w:rFonts w:ascii="Arial" w:cs="Arial" w:eastAsia="Arial" w:hAnsi="Arial"/>
                <w:sz w:val="9"/>
                <w:szCs w:val="9"/>
                <w:color w:val="auto"/>
              </w:rPr>
              <w:t>(3)</w:t>
            </w:r>
          </w:p>
        </w:tc>
        <w:tc>
          <w:tcPr>
            <w:tcW w:w="760" w:type="dxa"/>
            <w:vAlign w:val="bottom"/>
            <w:shd w:val="clear" w:color="auto" w:fill="F2F2F2"/>
          </w:tcPr>
          <w:p>
            <w:pPr>
              <w:jc w:val="right"/>
              <w:ind w:right="42"/>
              <w:spacing w:after="0" w:line="189" w:lineRule="exact"/>
              <w:rPr>
                <w:sz w:val="20"/>
                <w:szCs w:val="20"/>
                <w:color w:val="auto"/>
              </w:rPr>
            </w:pPr>
            <w:r>
              <w:rPr>
                <w:rFonts w:ascii="Arial" w:cs="Arial" w:eastAsia="Arial" w:hAnsi="Arial"/>
                <w:sz w:val="21"/>
                <w:szCs w:val="21"/>
                <w:color w:val="auto"/>
                <w:vertAlign w:val="subscript"/>
              </w:rPr>
              <w:t>822</w:t>
            </w:r>
            <w:r>
              <w:rPr>
                <w:rFonts w:ascii="Arial" w:cs="Arial" w:eastAsia="Arial" w:hAnsi="Arial"/>
                <w:sz w:val="9"/>
                <w:szCs w:val="9"/>
                <w:color w:val="auto"/>
              </w:rPr>
              <w:t>(3)</w:t>
            </w:r>
          </w:p>
        </w:tc>
        <w:tc>
          <w:tcPr>
            <w:tcW w:w="600" w:type="dxa"/>
            <w:vAlign w:val="bottom"/>
            <w:shd w:val="clear" w:color="auto" w:fill="F2F2F2"/>
          </w:tcPr>
          <w:p>
            <w:pPr>
              <w:jc w:val="right"/>
              <w:spacing w:after="0" w:line="189" w:lineRule="exact"/>
              <w:rPr>
                <w:sz w:val="20"/>
                <w:szCs w:val="20"/>
                <w:color w:val="auto"/>
              </w:rPr>
            </w:pPr>
            <w:r>
              <w:rPr>
                <w:rFonts w:ascii="Arial" w:cs="Arial" w:eastAsia="Arial" w:hAnsi="Arial"/>
                <w:sz w:val="13"/>
                <w:szCs w:val="13"/>
                <w:color w:val="auto"/>
              </w:rPr>
              <w:t>1,644</w:t>
            </w:r>
            <w:r>
              <w:rPr>
                <w:rFonts w:ascii="Arial" w:cs="Arial" w:eastAsia="Arial" w:hAnsi="Arial"/>
                <w:sz w:val="18"/>
                <w:szCs w:val="18"/>
                <w:color w:val="auto"/>
                <w:vertAlign w:val="superscript"/>
              </w:rPr>
              <w:t>(3)</w:t>
            </w:r>
          </w:p>
        </w:tc>
        <w:tc>
          <w:tcPr>
            <w:tcW w:w="740" w:type="dxa"/>
            <w:vAlign w:val="bottom"/>
            <w:shd w:val="clear" w:color="auto" w:fill="F2F2F2"/>
          </w:tcPr>
          <w:p>
            <w:pPr>
              <w:spacing w:after="0"/>
              <w:rPr>
                <w:sz w:val="16"/>
                <w:szCs w:val="16"/>
                <w:color w:val="auto"/>
              </w:rPr>
            </w:pPr>
          </w:p>
        </w:tc>
        <w:tc>
          <w:tcPr>
            <w:tcW w:w="7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1,830,684</w:t>
            </w:r>
          </w:p>
        </w:tc>
        <w:tc>
          <w:tcPr>
            <w:tcW w:w="0" w:type="dxa"/>
            <w:vAlign w:val="bottom"/>
          </w:tcPr>
          <w:p>
            <w:pPr>
              <w:spacing w:after="0"/>
              <w:rPr>
                <w:sz w:val="1"/>
                <w:szCs w:val="1"/>
                <w:color w:val="auto"/>
              </w:rPr>
            </w:pPr>
          </w:p>
        </w:tc>
      </w:tr>
      <w:tr>
        <w:trPr>
          <w:trHeight w:val="189"/>
        </w:trPr>
        <w:tc>
          <w:tcPr>
            <w:tcW w:w="3900" w:type="dxa"/>
            <w:vAlign w:val="bottom"/>
            <w:shd w:val="clear" w:color="auto" w:fill="F2F2F2"/>
          </w:tcPr>
          <w:p>
            <w:pPr>
              <w:spacing w:after="0"/>
              <w:rPr>
                <w:sz w:val="16"/>
                <w:szCs w:val="16"/>
                <w:color w:val="auto"/>
              </w:rPr>
            </w:pPr>
          </w:p>
        </w:tc>
        <w:tc>
          <w:tcPr>
            <w:tcW w:w="820" w:type="dxa"/>
            <w:vAlign w:val="bottom"/>
            <w:shd w:val="clear" w:color="auto" w:fill="F2F2F2"/>
          </w:tcPr>
          <w:p>
            <w:pPr>
              <w:jc w:val="right"/>
              <w:spacing w:after="0"/>
              <w:rPr>
                <w:sz w:val="20"/>
                <w:szCs w:val="20"/>
                <w:color w:val="auto"/>
              </w:rPr>
            </w:pPr>
            <w:r>
              <w:rPr>
                <w:rFonts w:ascii="Arial" w:cs="Arial" w:eastAsia="Arial" w:hAnsi="Arial"/>
                <w:sz w:val="13"/>
                <w:szCs w:val="13"/>
                <w:color w:val="auto"/>
              </w:rPr>
              <w:t>12/09/2024</w:t>
            </w:r>
          </w:p>
        </w:tc>
        <w:tc>
          <w:tcPr>
            <w:tcW w:w="880" w:type="dxa"/>
            <w:vAlign w:val="bottom"/>
            <w:shd w:val="clear" w:color="auto" w:fill="F2F2F2"/>
          </w:tcPr>
          <w:p>
            <w:pPr>
              <w:spacing w:after="0"/>
              <w:rPr>
                <w:sz w:val="16"/>
                <w:szCs w:val="16"/>
                <w:color w:val="auto"/>
              </w:rPr>
            </w:pPr>
          </w:p>
        </w:tc>
        <w:tc>
          <w:tcPr>
            <w:tcW w:w="940" w:type="dxa"/>
            <w:vAlign w:val="bottom"/>
            <w:shd w:val="clear" w:color="auto" w:fill="F2F2F2"/>
          </w:tcPr>
          <w:p>
            <w:pPr>
              <w:spacing w:after="0"/>
              <w:rPr>
                <w:sz w:val="16"/>
                <w:szCs w:val="16"/>
                <w:color w:val="auto"/>
              </w:rPr>
            </w:pPr>
          </w:p>
        </w:tc>
        <w:tc>
          <w:tcPr>
            <w:tcW w:w="700" w:type="dxa"/>
            <w:vAlign w:val="bottom"/>
            <w:shd w:val="clear" w:color="auto" w:fill="F2F2F2"/>
          </w:tcPr>
          <w:p>
            <w:pPr>
              <w:spacing w:after="0"/>
              <w:rPr>
                <w:sz w:val="16"/>
                <w:szCs w:val="16"/>
                <w:color w:val="auto"/>
              </w:rPr>
            </w:pPr>
          </w:p>
        </w:tc>
        <w:tc>
          <w:tcPr>
            <w:tcW w:w="20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c>
          <w:tcPr>
            <w:tcW w:w="760" w:type="dxa"/>
            <w:vAlign w:val="bottom"/>
            <w:shd w:val="clear" w:color="auto" w:fill="F2F2F2"/>
          </w:tcPr>
          <w:p>
            <w:pPr>
              <w:spacing w:after="0"/>
              <w:rPr>
                <w:sz w:val="16"/>
                <w:szCs w:val="16"/>
                <w:color w:val="auto"/>
              </w:rPr>
            </w:pPr>
          </w:p>
        </w:tc>
        <w:tc>
          <w:tcPr>
            <w:tcW w:w="600" w:type="dxa"/>
            <w:vAlign w:val="bottom"/>
            <w:shd w:val="clear" w:color="auto" w:fill="F2F2F2"/>
          </w:tcPr>
          <w:p>
            <w:pPr>
              <w:spacing w:after="0"/>
              <w:rPr>
                <w:sz w:val="16"/>
                <w:szCs w:val="16"/>
                <w:color w:val="auto"/>
              </w:rPr>
            </w:pPr>
          </w:p>
        </w:tc>
        <w:tc>
          <w:tcPr>
            <w:tcW w:w="740" w:type="dxa"/>
            <w:vAlign w:val="bottom"/>
            <w:shd w:val="clear" w:color="auto" w:fill="F2F2F2"/>
          </w:tcPr>
          <w:p>
            <w:pPr>
              <w:jc w:val="right"/>
              <w:ind w:right="60"/>
              <w:spacing w:after="0" w:line="189" w:lineRule="exact"/>
              <w:rPr>
                <w:sz w:val="20"/>
                <w:szCs w:val="20"/>
                <w:color w:val="auto"/>
              </w:rPr>
            </w:pPr>
            <w:r>
              <w:rPr>
                <w:rFonts w:ascii="Arial" w:cs="Arial" w:eastAsia="Arial" w:hAnsi="Arial"/>
                <w:sz w:val="13"/>
                <w:szCs w:val="13"/>
                <w:color w:val="auto"/>
              </w:rPr>
              <w:t>822</w:t>
            </w:r>
            <w:r>
              <w:rPr>
                <w:rFonts w:ascii="Arial" w:cs="Arial" w:eastAsia="Arial" w:hAnsi="Arial"/>
                <w:sz w:val="18"/>
                <w:szCs w:val="18"/>
                <w:color w:val="auto"/>
                <w:vertAlign w:val="superscript"/>
              </w:rPr>
              <w:t>(4)</w:t>
            </w:r>
          </w:p>
        </w:tc>
        <w:tc>
          <w:tcPr>
            <w:tcW w:w="7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1,830,684</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20"/>
                <w:szCs w:val="20"/>
                <w:color w:val="auto"/>
              </w:rPr>
            </w:pPr>
            <w:r>
              <w:rPr>
                <w:rFonts w:ascii="Arial" w:cs="Arial" w:eastAsia="Arial" w:hAnsi="Arial"/>
                <w:sz w:val="13"/>
                <w:szCs w:val="13"/>
                <w:color w:val="auto"/>
              </w:rPr>
              <w:t>Nikhil Behl</w:t>
            </w:r>
          </w:p>
        </w:tc>
        <w:tc>
          <w:tcPr>
            <w:tcW w:w="820" w:type="dxa"/>
            <w:vAlign w:val="bottom"/>
          </w:tcPr>
          <w:p>
            <w:pPr>
              <w:spacing w:after="0"/>
              <w:rPr>
                <w:sz w:val="15"/>
                <w:szCs w:val="15"/>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31,250</w:t>
            </w: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250,000</w:t>
            </w:r>
          </w:p>
        </w:tc>
        <w:tc>
          <w:tcPr>
            <w:tcW w:w="700" w:type="dxa"/>
            <w:vAlign w:val="bottom"/>
          </w:tcPr>
          <w:p>
            <w:pPr>
              <w:jc w:val="right"/>
              <w:spacing w:after="0"/>
              <w:rPr>
                <w:sz w:val="20"/>
                <w:szCs w:val="20"/>
                <w:color w:val="auto"/>
              </w:rPr>
            </w:pPr>
            <w:r>
              <w:rPr>
                <w:rFonts w:ascii="Arial" w:cs="Arial" w:eastAsia="Arial" w:hAnsi="Arial"/>
                <w:sz w:val="13"/>
                <w:szCs w:val="13"/>
                <w:color w:val="auto"/>
              </w:rPr>
              <w:t>468,750</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12/09/2024</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gridSpan w:val="2"/>
          </w:tcPr>
          <w:p>
            <w:pPr>
              <w:jc w:val="right"/>
              <w:ind w:right="57"/>
              <w:spacing w:after="0" w:line="212" w:lineRule="exact"/>
              <w:rPr>
                <w:sz w:val="20"/>
                <w:szCs w:val="20"/>
                <w:color w:val="auto"/>
              </w:rPr>
            </w:pPr>
            <w:r>
              <w:rPr>
                <w:rFonts w:ascii="Arial" w:cs="Arial" w:eastAsia="Arial" w:hAnsi="Arial"/>
                <w:sz w:val="24"/>
                <w:szCs w:val="24"/>
                <w:color w:val="auto"/>
                <w:vertAlign w:val="subscript"/>
              </w:rPr>
              <w:t>0</w:t>
            </w:r>
            <w:r>
              <w:rPr>
                <w:rFonts w:ascii="Arial" w:cs="Arial" w:eastAsia="Arial" w:hAnsi="Arial"/>
                <w:sz w:val="9"/>
                <w:szCs w:val="9"/>
                <w:color w:val="auto"/>
              </w:rPr>
              <w:t>(2)</w:t>
            </w:r>
          </w:p>
        </w:tc>
        <w:tc>
          <w:tcPr>
            <w:tcW w:w="760" w:type="dxa"/>
            <w:vAlign w:val="bottom"/>
          </w:tcPr>
          <w:p>
            <w:pPr>
              <w:jc w:val="right"/>
              <w:ind w:right="42"/>
              <w:spacing w:after="0"/>
              <w:rPr>
                <w:sz w:val="20"/>
                <w:szCs w:val="20"/>
                <w:color w:val="auto"/>
              </w:rPr>
            </w:pPr>
            <w:r>
              <w:rPr>
                <w:rFonts w:ascii="Arial" w:cs="Arial" w:eastAsia="Arial" w:hAnsi="Arial"/>
                <w:sz w:val="13"/>
                <w:szCs w:val="13"/>
                <w:color w:val="auto"/>
              </w:rPr>
              <w:t>896</w:t>
            </w:r>
            <w:r>
              <w:rPr>
                <w:rFonts w:ascii="Arial" w:cs="Arial" w:eastAsia="Arial" w:hAnsi="Arial"/>
                <w:sz w:val="18"/>
                <w:szCs w:val="18"/>
                <w:color w:val="auto"/>
                <w:vertAlign w:val="superscript"/>
              </w:rPr>
              <w:t>(2)</w:t>
            </w:r>
          </w:p>
        </w:tc>
        <w:tc>
          <w:tcPr>
            <w:tcW w:w="600" w:type="dxa"/>
            <w:vAlign w:val="bottom"/>
          </w:tcPr>
          <w:p>
            <w:pPr>
              <w:jc w:val="right"/>
              <w:spacing w:after="0"/>
              <w:rPr>
                <w:sz w:val="20"/>
                <w:szCs w:val="20"/>
                <w:color w:val="auto"/>
              </w:rPr>
            </w:pPr>
            <w:r>
              <w:rPr>
                <w:rFonts w:ascii="Arial" w:cs="Arial" w:eastAsia="Arial" w:hAnsi="Arial"/>
                <w:sz w:val="13"/>
                <w:szCs w:val="13"/>
                <w:color w:val="auto"/>
              </w:rPr>
              <w:t>1,792</w:t>
            </w:r>
            <w:r>
              <w:rPr>
                <w:rFonts w:ascii="Arial" w:cs="Arial" w:eastAsia="Arial" w:hAnsi="Arial"/>
                <w:sz w:val="18"/>
                <w:szCs w:val="18"/>
                <w:color w:val="auto"/>
                <w:vertAlign w:val="superscript"/>
              </w:rPr>
              <w:t>(2)</w:t>
            </w:r>
          </w:p>
        </w:tc>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2,827,391</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12/09/2024</w:t>
            </w: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gridSpan w:val="2"/>
          </w:tcPr>
          <w:p>
            <w:pPr>
              <w:jc w:val="right"/>
              <w:ind w:right="57"/>
              <w:spacing w:after="0" w:line="189" w:lineRule="exact"/>
              <w:rPr>
                <w:sz w:val="20"/>
                <w:szCs w:val="20"/>
                <w:color w:val="auto"/>
              </w:rPr>
            </w:pPr>
            <w:r>
              <w:rPr>
                <w:rFonts w:ascii="Arial" w:cs="Arial" w:eastAsia="Arial" w:hAnsi="Arial"/>
                <w:sz w:val="21"/>
                <w:szCs w:val="21"/>
                <w:color w:val="auto"/>
                <w:vertAlign w:val="subscript"/>
              </w:rPr>
              <w:t>0</w:t>
            </w:r>
            <w:r>
              <w:rPr>
                <w:rFonts w:ascii="Arial" w:cs="Arial" w:eastAsia="Arial" w:hAnsi="Arial"/>
                <w:sz w:val="9"/>
                <w:szCs w:val="9"/>
                <w:color w:val="auto"/>
              </w:rPr>
              <w:t>(3)</w:t>
            </w:r>
          </w:p>
        </w:tc>
        <w:tc>
          <w:tcPr>
            <w:tcW w:w="760" w:type="dxa"/>
            <w:vAlign w:val="bottom"/>
          </w:tcPr>
          <w:p>
            <w:pPr>
              <w:jc w:val="right"/>
              <w:ind w:right="42"/>
              <w:spacing w:after="0" w:line="189" w:lineRule="exact"/>
              <w:rPr>
                <w:sz w:val="20"/>
                <w:szCs w:val="20"/>
                <w:color w:val="auto"/>
              </w:rPr>
            </w:pPr>
            <w:r>
              <w:rPr>
                <w:rFonts w:ascii="Arial" w:cs="Arial" w:eastAsia="Arial" w:hAnsi="Arial"/>
                <w:sz w:val="21"/>
                <w:szCs w:val="21"/>
                <w:color w:val="auto"/>
                <w:vertAlign w:val="subscript"/>
              </w:rPr>
              <w:t>896</w:t>
            </w:r>
            <w:r>
              <w:rPr>
                <w:rFonts w:ascii="Arial" w:cs="Arial" w:eastAsia="Arial" w:hAnsi="Arial"/>
                <w:sz w:val="9"/>
                <w:szCs w:val="9"/>
                <w:color w:val="auto"/>
              </w:rPr>
              <w:t>(3)</w:t>
            </w:r>
          </w:p>
        </w:tc>
        <w:tc>
          <w:tcPr>
            <w:tcW w:w="600" w:type="dxa"/>
            <w:vAlign w:val="bottom"/>
          </w:tcPr>
          <w:p>
            <w:pPr>
              <w:jc w:val="right"/>
              <w:spacing w:after="0" w:line="189" w:lineRule="exact"/>
              <w:rPr>
                <w:sz w:val="20"/>
                <w:szCs w:val="20"/>
                <w:color w:val="auto"/>
              </w:rPr>
            </w:pPr>
            <w:r>
              <w:rPr>
                <w:rFonts w:ascii="Arial" w:cs="Arial" w:eastAsia="Arial" w:hAnsi="Arial"/>
                <w:sz w:val="13"/>
                <w:szCs w:val="13"/>
                <w:color w:val="auto"/>
              </w:rPr>
              <w:t>1,792</w:t>
            </w:r>
            <w:r>
              <w:rPr>
                <w:rFonts w:ascii="Arial" w:cs="Arial" w:eastAsia="Arial" w:hAnsi="Arial"/>
                <w:sz w:val="18"/>
                <w:szCs w:val="18"/>
                <w:color w:val="auto"/>
                <w:vertAlign w:val="superscript"/>
              </w:rPr>
              <w:t>(3)</w:t>
            </w:r>
          </w:p>
        </w:tc>
        <w:tc>
          <w:tcPr>
            <w:tcW w:w="7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1,995,491</w:t>
            </w:r>
          </w:p>
        </w:tc>
        <w:tc>
          <w:tcPr>
            <w:tcW w:w="0" w:type="dxa"/>
            <w:vAlign w:val="bottom"/>
          </w:tcPr>
          <w:p>
            <w:pPr>
              <w:spacing w:after="0"/>
              <w:rPr>
                <w:sz w:val="1"/>
                <w:szCs w:val="1"/>
                <w:color w:val="auto"/>
              </w:rPr>
            </w:pPr>
          </w:p>
        </w:tc>
      </w:tr>
      <w:tr>
        <w:trPr>
          <w:trHeight w:val="180"/>
        </w:trPr>
        <w:tc>
          <w:tcPr>
            <w:tcW w:w="39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12/09/2024</w:t>
            </w: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jc w:val="right"/>
              <w:ind w:right="60"/>
              <w:spacing w:after="0" w:line="180" w:lineRule="exact"/>
              <w:rPr>
                <w:sz w:val="20"/>
                <w:szCs w:val="20"/>
                <w:color w:val="auto"/>
              </w:rPr>
            </w:pPr>
            <w:r>
              <w:rPr>
                <w:rFonts w:ascii="Arial" w:cs="Arial" w:eastAsia="Arial" w:hAnsi="Arial"/>
                <w:sz w:val="13"/>
                <w:szCs w:val="13"/>
                <w:color w:val="auto"/>
              </w:rPr>
              <w:t>896</w:t>
            </w:r>
            <w:r>
              <w:rPr>
                <w:rFonts w:ascii="Arial" w:cs="Arial" w:eastAsia="Arial" w:hAnsi="Arial"/>
                <w:sz w:val="18"/>
                <w:szCs w:val="18"/>
                <w:color w:val="auto"/>
                <w:vertAlign w:val="superscript"/>
              </w:rPr>
              <w:t>(4)</w:t>
            </w:r>
          </w:p>
        </w:tc>
        <w:tc>
          <w:tcPr>
            <w:tcW w:w="760" w:type="dxa"/>
            <w:vAlign w:val="bottom"/>
          </w:tcPr>
          <w:p>
            <w:pPr>
              <w:jc w:val="right"/>
              <w:spacing w:after="0"/>
              <w:rPr>
                <w:sz w:val="20"/>
                <w:szCs w:val="20"/>
                <w:color w:val="auto"/>
              </w:rPr>
            </w:pPr>
            <w:r>
              <w:rPr>
                <w:rFonts w:ascii="Arial" w:cs="Arial" w:eastAsia="Arial" w:hAnsi="Arial"/>
                <w:sz w:val="13"/>
                <w:szCs w:val="13"/>
                <w:color w:val="auto"/>
              </w:rPr>
              <w:t>1,995,491</w:t>
            </w:r>
          </w:p>
        </w:tc>
        <w:tc>
          <w:tcPr>
            <w:tcW w:w="0" w:type="dxa"/>
            <w:vAlign w:val="bottom"/>
          </w:tcPr>
          <w:p>
            <w:pPr>
              <w:spacing w:after="0"/>
              <w:rPr>
                <w:sz w:val="1"/>
                <w:szCs w:val="1"/>
                <w:color w:val="auto"/>
              </w:rPr>
            </w:pPr>
          </w:p>
        </w:tc>
      </w:tr>
      <w:tr>
        <w:trPr>
          <w:trHeight w:val="175"/>
        </w:trPr>
        <w:tc>
          <w:tcPr>
            <w:tcW w:w="3900" w:type="dxa"/>
            <w:vAlign w:val="bottom"/>
            <w:shd w:val="clear" w:color="auto" w:fill="F2F2F2"/>
          </w:tcPr>
          <w:p>
            <w:pPr>
              <w:spacing w:after="0"/>
              <w:rPr>
                <w:sz w:val="20"/>
                <w:szCs w:val="20"/>
                <w:color w:val="auto"/>
              </w:rPr>
            </w:pPr>
            <w:r>
              <w:rPr>
                <w:rFonts w:ascii="Arial" w:cs="Arial" w:eastAsia="Arial" w:hAnsi="Arial"/>
                <w:sz w:val="13"/>
                <w:szCs w:val="13"/>
                <w:color w:val="auto"/>
              </w:rPr>
              <w:t>Richard Deal</w:t>
            </w:r>
          </w:p>
        </w:tc>
        <w:tc>
          <w:tcPr>
            <w:tcW w:w="820" w:type="dxa"/>
            <w:vAlign w:val="bottom"/>
            <w:shd w:val="clear" w:color="auto" w:fill="F2F2F2"/>
          </w:tcPr>
          <w:p>
            <w:pPr>
              <w:spacing w:after="0"/>
              <w:rPr>
                <w:sz w:val="15"/>
                <w:szCs w:val="15"/>
                <w:color w:val="auto"/>
              </w:rPr>
            </w:pPr>
          </w:p>
        </w:tc>
        <w:tc>
          <w:tcPr>
            <w:tcW w:w="88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25,000</w:t>
            </w:r>
          </w:p>
        </w:tc>
        <w:tc>
          <w:tcPr>
            <w:tcW w:w="940" w:type="dxa"/>
            <w:vAlign w:val="bottom"/>
            <w:shd w:val="clear" w:color="auto" w:fill="F2F2F2"/>
          </w:tcPr>
          <w:p>
            <w:pPr>
              <w:jc w:val="right"/>
              <w:ind w:right="58"/>
              <w:spacing w:after="0"/>
              <w:rPr>
                <w:sz w:val="20"/>
                <w:szCs w:val="20"/>
                <w:color w:val="auto"/>
              </w:rPr>
            </w:pPr>
            <w:r>
              <w:rPr>
                <w:rFonts w:ascii="Arial" w:cs="Arial" w:eastAsia="Arial" w:hAnsi="Arial"/>
                <w:sz w:val="13"/>
                <w:szCs w:val="13"/>
                <w:color w:val="auto"/>
              </w:rPr>
              <w:t>200,000</w:t>
            </w:r>
          </w:p>
        </w:tc>
        <w:tc>
          <w:tcPr>
            <w:tcW w:w="700" w:type="dxa"/>
            <w:vAlign w:val="bottom"/>
            <w:shd w:val="clear" w:color="auto" w:fill="F2F2F2"/>
          </w:tcPr>
          <w:p>
            <w:pPr>
              <w:jc w:val="right"/>
              <w:spacing w:after="0"/>
              <w:rPr>
                <w:sz w:val="20"/>
                <w:szCs w:val="20"/>
                <w:color w:val="auto"/>
              </w:rPr>
            </w:pPr>
            <w:r>
              <w:rPr>
                <w:rFonts w:ascii="Arial" w:cs="Arial" w:eastAsia="Arial" w:hAnsi="Arial"/>
                <w:sz w:val="13"/>
                <w:szCs w:val="13"/>
                <w:color w:val="auto"/>
              </w:rPr>
              <w:t>375,000</w:t>
            </w:r>
          </w:p>
        </w:tc>
        <w:tc>
          <w:tcPr>
            <w:tcW w:w="200" w:type="dxa"/>
            <w:vAlign w:val="bottom"/>
            <w:shd w:val="clear" w:color="auto" w:fill="F2F2F2"/>
          </w:tcPr>
          <w:p>
            <w:pPr>
              <w:spacing w:after="0"/>
              <w:rPr>
                <w:sz w:val="15"/>
                <w:szCs w:val="15"/>
                <w:color w:val="auto"/>
              </w:rPr>
            </w:pPr>
          </w:p>
        </w:tc>
        <w:tc>
          <w:tcPr>
            <w:tcW w:w="720" w:type="dxa"/>
            <w:vAlign w:val="bottom"/>
            <w:shd w:val="clear" w:color="auto" w:fill="F2F2F2"/>
          </w:tcPr>
          <w:p>
            <w:pPr>
              <w:spacing w:after="0"/>
              <w:rPr>
                <w:sz w:val="15"/>
                <w:szCs w:val="15"/>
                <w:color w:val="auto"/>
              </w:rPr>
            </w:pPr>
          </w:p>
        </w:tc>
        <w:tc>
          <w:tcPr>
            <w:tcW w:w="760" w:type="dxa"/>
            <w:vAlign w:val="bottom"/>
            <w:shd w:val="clear" w:color="auto" w:fill="F2F2F2"/>
          </w:tcPr>
          <w:p>
            <w:pPr>
              <w:spacing w:after="0"/>
              <w:rPr>
                <w:sz w:val="15"/>
                <w:szCs w:val="15"/>
                <w:color w:val="auto"/>
              </w:rPr>
            </w:pPr>
          </w:p>
        </w:tc>
        <w:tc>
          <w:tcPr>
            <w:tcW w:w="600" w:type="dxa"/>
            <w:vAlign w:val="bottom"/>
            <w:shd w:val="clear" w:color="auto" w:fill="F2F2F2"/>
          </w:tcPr>
          <w:p>
            <w:pPr>
              <w:spacing w:after="0"/>
              <w:rPr>
                <w:sz w:val="15"/>
                <w:szCs w:val="15"/>
                <w:color w:val="auto"/>
              </w:rPr>
            </w:pPr>
          </w:p>
        </w:tc>
        <w:tc>
          <w:tcPr>
            <w:tcW w:w="740" w:type="dxa"/>
            <w:vAlign w:val="bottom"/>
            <w:shd w:val="clear" w:color="auto" w:fill="F2F2F2"/>
          </w:tcPr>
          <w:p>
            <w:pPr>
              <w:spacing w:after="0"/>
              <w:rPr>
                <w:sz w:val="15"/>
                <w:szCs w:val="15"/>
                <w:color w:val="auto"/>
              </w:rPr>
            </w:pPr>
          </w:p>
        </w:tc>
        <w:tc>
          <w:tcPr>
            <w:tcW w:w="76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F2F2F2"/>
          </w:tcPr>
          <w:p>
            <w:pPr>
              <w:spacing w:after="0"/>
              <w:rPr>
                <w:sz w:val="17"/>
                <w:szCs w:val="17"/>
                <w:color w:val="auto"/>
              </w:rPr>
            </w:pPr>
          </w:p>
        </w:tc>
        <w:tc>
          <w:tcPr>
            <w:tcW w:w="820" w:type="dxa"/>
            <w:vAlign w:val="bottom"/>
            <w:shd w:val="clear" w:color="auto" w:fill="F2F2F2"/>
          </w:tcPr>
          <w:p>
            <w:pPr>
              <w:jc w:val="right"/>
              <w:spacing w:after="0"/>
              <w:rPr>
                <w:sz w:val="20"/>
                <w:szCs w:val="20"/>
                <w:color w:val="auto"/>
              </w:rPr>
            </w:pPr>
            <w:r>
              <w:rPr>
                <w:rFonts w:ascii="Arial" w:cs="Arial" w:eastAsia="Arial" w:hAnsi="Arial"/>
                <w:sz w:val="13"/>
                <w:szCs w:val="13"/>
                <w:color w:val="auto"/>
              </w:rPr>
              <w:t>12/09/2024</w:t>
            </w:r>
          </w:p>
        </w:tc>
        <w:tc>
          <w:tcPr>
            <w:tcW w:w="880" w:type="dxa"/>
            <w:vAlign w:val="bottom"/>
            <w:shd w:val="clear" w:color="auto" w:fill="F2F2F2"/>
          </w:tcPr>
          <w:p>
            <w:pPr>
              <w:spacing w:after="0"/>
              <w:rPr>
                <w:sz w:val="17"/>
                <w:szCs w:val="17"/>
                <w:color w:val="auto"/>
              </w:rPr>
            </w:pPr>
          </w:p>
        </w:tc>
        <w:tc>
          <w:tcPr>
            <w:tcW w:w="940" w:type="dxa"/>
            <w:vAlign w:val="bottom"/>
            <w:shd w:val="clear" w:color="auto" w:fill="F2F2F2"/>
          </w:tcPr>
          <w:p>
            <w:pPr>
              <w:spacing w:after="0"/>
              <w:rPr>
                <w:sz w:val="17"/>
                <w:szCs w:val="17"/>
                <w:color w:val="auto"/>
              </w:rPr>
            </w:pPr>
          </w:p>
        </w:tc>
        <w:tc>
          <w:tcPr>
            <w:tcW w:w="700" w:type="dxa"/>
            <w:vAlign w:val="bottom"/>
            <w:shd w:val="clear" w:color="auto" w:fill="F2F2F2"/>
          </w:tcPr>
          <w:p>
            <w:pPr>
              <w:spacing w:after="0"/>
              <w:rPr>
                <w:sz w:val="17"/>
                <w:szCs w:val="17"/>
                <w:color w:val="auto"/>
              </w:rPr>
            </w:pPr>
          </w:p>
        </w:tc>
        <w:tc>
          <w:tcPr>
            <w:tcW w:w="920" w:type="dxa"/>
            <w:vAlign w:val="bottom"/>
            <w:gridSpan w:val="2"/>
            <w:shd w:val="clear" w:color="auto" w:fill="F2F2F2"/>
          </w:tcPr>
          <w:p>
            <w:pPr>
              <w:jc w:val="right"/>
              <w:ind w:right="57"/>
              <w:spacing w:after="0" w:line="203" w:lineRule="exact"/>
              <w:rPr>
                <w:sz w:val="20"/>
                <w:szCs w:val="20"/>
                <w:color w:val="auto"/>
              </w:rPr>
            </w:pPr>
            <w:r>
              <w:rPr>
                <w:rFonts w:ascii="Arial" w:cs="Arial" w:eastAsia="Arial" w:hAnsi="Arial"/>
                <w:sz w:val="23"/>
                <w:szCs w:val="23"/>
                <w:color w:val="auto"/>
                <w:vertAlign w:val="subscript"/>
              </w:rPr>
              <w:t>0</w:t>
            </w:r>
            <w:r>
              <w:rPr>
                <w:rFonts w:ascii="Arial" w:cs="Arial" w:eastAsia="Arial" w:hAnsi="Arial"/>
                <w:sz w:val="9"/>
                <w:szCs w:val="9"/>
                <w:color w:val="auto"/>
              </w:rPr>
              <w:t>(2)</w:t>
            </w:r>
          </w:p>
        </w:tc>
        <w:tc>
          <w:tcPr>
            <w:tcW w:w="760" w:type="dxa"/>
            <w:vAlign w:val="bottom"/>
            <w:shd w:val="clear" w:color="auto" w:fill="F2F2F2"/>
          </w:tcPr>
          <w:p>
            <w:pPr>
              <w:jc w:val="right"/>
              <w:ind w:right="42"/>
              <w:spacing w:after="0" w:line="203" w:lineRule="exact"/>
              <w:rPr>
                <w:sz w:val="20"/>
                <w:szCs w:val="20"/>
                <w:color w:val="auto"/>
              </w:rPr>
            </w:pPr>
            <w:r>
              <w:rPr>
                <w:rFonts w:ascii="Arial" w:cs="Arial" w:eastAsia="Arial" w:hAnsi="Arial"/>
                <w:sz w:val="13"/>
                <w:szCs w:val="13"/>
                <w:color w:val="auto"/>
              </w:rPr>
              <w:t>822</w:t>
            </w:r>
            <w:r>
              <w:rPr>
                <w:rFonts w:ascii="Arial" w:cs="Arial" w:eastAsia="Arial" w:hAnsi="Arial"/>
                <w:sz w:val="18"/>
                <w:szCs w:val="18"/>
                <w:color w:val="auto"/>
                <w:vertAlign w:val="superscript"/>
              </w:rPr>
              <w:t>(2)</w:t>
            </w:r>
          </w:p>
        </w:tc>
        <w:tc>
          <w:tcPr>
            <w:tcW w:w="600" w:type="dxa"/>
            <w:vAlign w:val="bottom"/>
            <w:shd w:val="clear" w:color="auto" w:fill="F2F2F2"/>
          </w:tcPr>
          <w:p>
            <w:pPr>
              <w:jc w:val="right"/>
              <w:spacing w:after="0" w:line="203" w:lineRule="exact"/>
              <w:rPr>
                <w:sz w:val="20"/>
                <w:szCs w:val="20"/>
                <w:color w:val="auto"/>
              </w:rPr>
            </w:pPr>
            <w:r>
              <w:rPr>
                <w:rFonts w:ascii="Arial" w:cs="Arial" w:eastAsia="Arial" w:hAnsi="Arial"/>
                <w:sz w:val="13"/>
                <w:szCs w:val="13"/>
                <w:color w:val="auto"/>
              </w:rPr>
              <w:t>1,644</w:t>
            </w:r>
            <w:r>
              <w:rPr>
                <w:rFonts w:ascii="Arial" w:cs="Arial" w:eastAsia="Arial" w:hAnsi="Arial"/>
                <w:sz w:val="18"/>
                <w:szCs w:val="18"/>
                <w:color w:val="auto"/>
                <w:vertAlign w:val="superscript"/>
              </w:rPr>
              <w:t>(2)</w:t>
            </w:r>
          </w:p>
        </w:tc>
        <w:tc>
          <w:tcPr>
            <w:tcW w:w="740" w:type="dxa"/>
            <w:vAlign w:val="bottom"/>
            <w:shd w:val="clear" w:color="auto" w:fill="F2F2F2"/>
          </w:tcPr>
          <w:p>
            <w:pPr>
              <w:spacing w:after="0"/>
              <w:rPr>
                <w:sz w:val="17"/>
                <w:szCs w:val="17"/>
                <w:color w:val="auto"/>
              </w:rPr>
            </w:pPr>
          </w:p>
        </w:tc>
        <w:tc>
          <w:tcPr>
            <w:tcW w:w="7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2,593,879</w:t>
            </w:r>
          </w:p>
        </w:tc>
        <w:tc>
          <w:tcPr>
            <w:tcW w:w="0" w:type="dxa"/>
            <w:vAlign w:val="bottom"/>
          </w:tcPr>
          <w:p>
            <w:pPr>
              <w:spacing w:after="0"/>
              <w:rPr>
                <w:sz w:val="1"/>
                <w:szCs w:val="1"/>
                <w:color w:val="auto"/>
              </w:rPr>
            </w:pPr>
          </w:p>
        </w:tc>
      </w:tr>
      <w:tr>
        <w:trPr>
          <w:trHeight w:val="189"/>
        </w:trPr>
        <w:tc>
          <w:tcPr>
            <w:tcW w:w="3900" w:type="dxa"/>
            <w:vAlign w:val="bottom"/>
            <w:shd w:val="clear" w:color="auto" w:fill="F2F2F2"/>
          </w:tcPr>
          <w:p>
            <w:pPr>
              <w:spacing w:after="0"/>
              <w:rPr>
                <w:sz w:val="16"/>
                <w:szCs w:val="16"/>
                <w:color w:val="auto"/>
              </w:rPr>
            </w:pPr>
          </w:p>
        </w:tc>
        <w:tc>
          <w:tcPr>
            <w:tcW w:w="820" w:type="dxa"/>
            <w:vAlign w:val="bottom"/>
            <w:shd w:val="clear" w:color="auto" w:fill="F2F2F2"/>
          </w:tcPr>
          <w:p>
            <w:pPr>
              <w:jc w:val="right"/>
              <w:spacing w:after="0"/>
              <w:rPr>
                <w:sz w:val="20"/>
                <w:szCs w:val="20"/>
                <w:color w:val="auto"/>
              </w:rPr>
            </w:pPr>
            <w:r>
              <w:rPr>
                <w:rFonts w:ascii="Arial" w:cs="Arial" w:eastAsia="Arial" w:hAnsi="Arial"/>
                <w:sz w:val="13"/>
                <w:szCs w:val="13"/>
                <w:color w:val="auto"/>
              </w:rPr>
              <w:t>12/09/2024</w:t>
            </w:r>
          </w:p>
        </w:tc>
        <w:tc>
          <w:tcPr>
            <w:tcW w:w="880" w:type="dxa"/>
            <w:vAlign w:val="bottom"/>
            <w:shd w:val="clear" w:color="auto" w:fill="F2F2F2"/>
          </w:tcPr>
          <w:p>
            <w:pPr>
              <w:spacing w:after="0"/>
              <w:rPr>
                <w:sz w:val="16"/>
                <w:szCs w:val="16"/>
                <w:color w:val="auto"/>
              </w:rPr>
            </w:pPr>
          </w:p>
        </w:tc>
        <w:tc>
          <w:tcPr>
            <w:tcW w:w="940" w:type="dxa"/>
            <w:vAlign w:val="bottom"/>
            <w:shd w:val="clear" w:color="auto" w:fill="F2F2F2"/>
          </w:tcPr>
          <w:p>
            <w:pPr>
              <w:spacing w:after="0"/>
              <w:rPr>
                <w:sz w:val="16"/>
                <w:szCs w:val="16"/>
                <w:color w:val="auto"/>
              </w:rPr>
            </w:pPr>
          </w:p>
        </w:tc>
        <w:tc>
          <w:tcPr>
            <w:tcW w:w="700" w:type="dxa"/>
            <w:vAlign w:val="bottom"/>
            <w:shd w:val="clear" w:color="auto" w:fill="F2F2F2"/>
          </w:tcPr>
          <w:p>
            <w:pPr>
              <w:spacing w:after="0"/>
              <w:rPr>
                <w:sz w:val="16"/>
                <w:szCs w:val="16"/>
                <w:color w:val="auto"/>
              </w:rPr>
            </w:pPr>
          </w:p>
        </w:tc>
        <w:tc>
          <w:tcPr>
            <w:tcW w:w="920" w:type="dxa"/>
            <w:vAlign w:val="bottom"/>
            <w:gridSpan w:val="2"/>
            <w:shd w:val="clear" w:color="auto" w:fill="F2F2F2"/>
          </w:tcPr>
          <w:p>
            <w:pPr>
              <w:jc w:val="right"/>
              <w:ind w:right="57"/>
              <w:spacing w:after="0" w:line="189" w:lineRule="exact"/>
              <w:rPr>
                <w:sz w:val="20"/>
                <w:szCs w:val="20"/>
                <w:color w:val="auto"/>
              </w:rPr>
            </w:pPr>
            <w:r>
              <w:rPr>
                <w:rFonts w:ascii="Arial" w:cs="Arial" w:eastAsia="Arial" w:hAnsi="Arial"/>
                <w:sz w:val="21"/>
                <w:szCs w:val="21"/>
                <w:color w:val="auto"/>
                <w:vertAlign w:val="subscript"/>
              </w:rPr>
              <w:t>0</w:t>
            </w:r>
            <w:r>
              <w:rPr>
                <w:rFonts w:ascii="Arial" w:cs="Arial" w:eastAsia="Arial" w:hAnsi="Arial"/>
                <w:sz w:val="9"/>
                <w:szCs w:val="9"/>
                <w:color w:val="auto"/>
              </w:rPr>
              <w:t>(3)</w:t>
            </w:r>
          </w:p>
        </w:tc>
        <w:tc>
          <w:tcPr>
            <w:tcW w:w="760" w:type="dxa"/>
            <w:vAlign w:val="bottom"/>
            <w:shd w:val="clear" w:color="auto" w:fill="F2F2F2"/>
          </w:tcPr>
          <w:p>
            <w:pPr>
              <w:jc w:val="right"/>
              <w:ind w:right="42"/>
              <w:spacing w:after="0" w:line="189" w:lineRule="exact"/>
              <w:rPr>
                <w:sz w:val="20"/>
                <w:szCs w:val="20"/>
                <w:color w:val="auto"/>
              </w:rPr>
            </w:pPr>
            <w:r>
              <w:rPr>
                <w:rFonts w:ascii="Arial" w:cs="Arial" w:eastAsia="Arial" w:hAnsi="Arial"/>
                <w:sz w:val="13"/>
                <w:szCs w:val="13"/>
                <w:color w:val="auto"/>
              </w:rPr>
              <w:t>822</w:t>
            </w:r>
            <w:r>
              <w:rPr>
                <w:rFonts w:ascii="Arial" w:cs="Arial" w:eastAsia="Arial" w:hAnsi="Arial"/>
                <w:sz w:val="18"/>
                <w:szCs w:val="18"/>
                <w:color w:val="auto"/>
                <w:vertAlign w:val="superscript"/>
              </w:rPr>
              <w:t>(3)</w:t>
            </w:r>
          </w:p>
        </w:tc>
        <w:tc>
          <w:tcPr>
            <w:tcW w:w="600" w:type="dxa"/>
            <w:vAlign w:val="bottom"/>
            <w:shd w:val="clear" w:color="auto" w:fill="F2F2F2"/>
          </w:tcPr>
          <w:p>
            <w:pPr>
              <w:jc w:val="right"/>
              <w:spacing w:after="0" w:line="189" w:lineRule="exact"/>
              <w:rPr>
                <w:sz w:val="20"/>
                <w:szCs w:val="20"/>
                <w:color w:val="auto"/>
              </w:rPr>
            </w:pPr>
            <w:r>
              <w:rPr>
                <w:rFonts w:ascii="Arial" w:cs="Arial" w:eastAsia="Arial" w:hAnsi="Arial"/>
                <w:sz w:val="13"/>
                <w:szCs w:val="13"/>
                <w:color w:val="auto"/>
              </w:rPr>
              <w:t>1,644</w:t>
            </w:r>
            <w:r>
              <w:rPr>
                <w:rFonts w:ascii="Arial" w:cs="Arial" w:eastAsia="Arial" w:hAnsi="Arial"/>
                <w:sz w:val="18"/>
                <w:szCs w:val="18"/>
                <w:color w:val="auto"/>
                <w:vertAlign w:val="superscript"/>
              </w:rPr>
              <w:t>(3)</w:t>
            </w:r>
          </w:p>
        </w:tc>
        <w:tc>
          <w:tcPr>
            <w:tcW w:w="740" w:type="dxa"/>
            <w:vAlign w:val="bottom"/>
            <w:shd w:val="clear" w:color="auto" w:fill="F2F2F2"/>
          </w:tcPr>
          <w:p>
            <w:pPr>
              <w:spacing w:after="0"/>
              <w:rPr>
                <w:sz w:val="16"/>
                <w:szCs w:val="16"/>
                <w:color w:val="auto"/>
              </w:rPr>
            </w:pPr>
          </w:p>
        </w:tc>
        <w:tc>
          <w:tcPr>
            <w:tcW w:w="7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1,830,684</w:t>
            </w:r>
          </w:p>
        </w:tc>
        <w:tc>
          <w:tcPr>
            <w:tcW w:w="0" w:type="dxa"/>
            <w:vAlign w:val="bottom"/>
          </w:tcPr>
          <w:p>
            <w:pPr>
              <w:spacing w:after="0"/>
              <w:rPr>
                <w:sz w:val="1"/>
                <w:szCs w:val="1"/>
                <w:color w:val="auto"/>
              </w:rPr>
            </w:pPr>
          </w:p>
        </w:tc>
      </w:tr>
      <w:tr>
        <w:trPr>
          <w:trHeight w:val="189"/>
        </w:trPr>
        <w:tc>
          <w:tcPr>
            <w:tcW w:w="3900" w:type="dxa"/>
            <w:vAlign w:val="bottom"/>
            <w:shd w:val="clear" w:color="auto" w:fill="F2F2F2"/>
          </w:tcPr>
          <w:p>
            <w:pPr>
              <w:spacing w:after="0"/>
              <w:rPr>
                <w:sz w:val="16"/>
                <w:szCs w:val="16"/>
                <w:color w:val="auto"/>
              </w:rPr>
            </w:pPr>
          </w:p>
        </w:tc>
        <w:tc>
          <w:tcPr>
            <w:tcW w:w="820" w:type="dxa"/>
            <w:vAlign w:val="bottom"/>
            <w:shd w:val="clear" w:color="auto" w:fill="F2F2F2"/>
          </w:tcPr>
          <w:p>
            <w:pPr>
              <w:jc w:val="right"/>
              <w:spacing w:after="0"/>
              <w:rPr>
                <w:sz w:val="20"/>
                <w:szCs w:val="20"/>
                <w:color w:val="auto"/>
              </w:rPr>
            </w:pPr>
            <w:r>
              <w:rPr>
                <w:rFonts w:ascii="Arial" w:cs="Arial" w:eastAsia="Arial" w:hAnsi="Arial"/>
                <w:sz w:val="13"/>
                <w:szCs w:val="13"/>
                <w:color w:val="auto"/>
              </w:rPr>
              <w:t>12/09/2024</w:t>
            </w:r>
          </w:p>
        </w:tc>
        <w:tc>
          <w:tcPr>
            <w:tcW w:w="880" w:type="dxa"/>
            <w:vAlign w:val="bottom"/>
            <w:shd w:val="clear" w:color="auto" w:fill="F2F2F2"/>
          </w:tcPr>
          <w:p>
            <w:pPr>
              <w:spacing w:after="0"/>
              <w:rPr>
                <w:sz w:val="16"/>
                <w:szCs w:val="16"/>
                <w:color w:val="auto"/>
              </w:rPr>
            </w:pPr>
          </w:p>
        </w:tc>
        <w:tc>
          <w:tcPr>
            <w:tcW w:w="940" w:type="dxa"/>
            <w:vAlign w:val="bottom"/>
            <w:shd w:val="clear" w:color="auto" w:fill="F2F2F2"/>
          </w:tcPr>
          <w:p>
            <w:pPr>
              <w:spacing w:after="0"/>
              <w:rPr>
                <w:sz w:val="16"/>
                <w:szCs w:val="16"/>
                <w:color w:val="auto"/>
              </w:rPr>
            </w:pPr>
          </w:p>
        </w:tc>
        <w:tc>
          <w:tcPr>
            <w:tcW w:w="700" w:type="dxa"/>
            <w:vAlign w:val="bottom"/>
            <w:shd w:val="clear" w:color="auto" w:fill="F2F2F2"/>
          </w:tcPr>
          <w:p>
            <w:pPr>
              <w:spacing w:after="0"/>
              <w:rPr>
                <w:sz w:val="16"/>
                <w:szCs w:val="16"/>
                <w:color w:val="auto"/>
              </w:rPr>
            </w:pPr>
          </w:p>
        </w:tc>
        <w:tc>
          <w:tcPr>
            <w:tcW w:w="20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c>
          <w:tcPr>
            <w:tcW w:w="760" w:type="dxa"/>
            <w:vAlign w:val="bottom"/>
            <w:shd w:val="clear" w:color="auto" w:fill="F2F2F2"/>
          </w:tcPr>
          <w:p>
            <w:pPr>
              <w:spacing w:after="0"/>
              <w:rPr>
                <w:sz w:val="16"/>
                <w:szCs w:val="16"/>
                <w:color w:val="auto"/>
              </w:rPr>
            </w:pPr>
          </w:p>
        </w:tc>
        <w:tc>
          <w:tcPr>
            <w:tcW w:w="600" w:type="dxa"/>
            <w:vAlign w:val="bottom"/>
            <w:shd w:val="clear" w:color="auto" w:fill="F2F2F2"/>
          </w:tcPr>
          <w:p>
            <w:pPr>
              <w:spacing w:after="0"/>
              <w:rPr>
                <w:sz w:val="16"/>
                <w:szCs w:val="16"/>
                <w:color w:val="auto"/>
              </w:rPr>
            </w:pPr>
          </w:p>
        </w:tc>
        <w:tc>
          <w:tcPr>
            <w:tcW w:w="740" w:type="dxa"/>
            <w:vAlign w:val="bottom"/>
            <w:shd w:val="clear" w:color="auto" w:fill="F2F2F2"/>
          </w:tcPr>
          <w:p>
            <w:pPr>
              <w:jc w:val="right"/>
              <w:ind w:right="60"/>
              <w:spacing w:after="0" w:line="189" w:lineRule="exact"/>
              <w:rPr>
                <w:sz w:val="20"/>
                <w:szCs w:val="20"/>
                <w:color w:val="auto"/>
              </w:rPr>
            </w:pPr>
            <w:r>
              <w:rPr>
                <w:rFonts w:ascii="Arial" w:cs="Arial" w:eastAsia="Arial" w:hAnsi="Arial"/>
                <w:sz w:val="21"/>
                <w:szCs w:val="21"/>
                <w:color w:val="auto"/>
                <w:vertAlign w:val="subscript"/>
              </w:rPr>
              <w:t>822</w:t>
            </w:r>
            <w:r>
              <w:rPr>
                <w:rFonts w:ascii="Arial" w:cs="Arial" w:eastAsia="Arial" w:hAnsi="Arial"/>
                <w:sz w:val="9"/>
                <w:szCs w:val="9"/>
                <w:color w:val="auto"/>
              </w:rPr>
              <w:t>(4)</w:t>
            </w:r>
          </w:p>
        </w:tc>
        <w:tc>
          <w:tcPr>
            <w:tcW w:w="7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1,830,684</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20"/>
                <w:szCs w:val="20"/>
                <w:color w:val="auto"/>
              </w:rPr>
            </w:pPr>
            <w:r>
              <w:rPr>
                <w:rFonts w:ascii="Arial" w:cs="Arial" w:eastAsia="Arial" w:hAnsi="Arial"/>
                <w:sz w:val="13"/>
                <w:szCs w:val="13"/>
                <w:color w:val="auto"/>
              </w:rPr>
              <w:t>Mark Scadina</w:t>
            </w:r>
          </w:p>
        </w:tc>
        <w:tc>
          <w:tcPr>
            <w:tcW w:w="820" w:type="dxa"/>
            <w:vAlign w:val="bottom"/>
          </w:tcPr>
          <w:p>
            <w:pPr>
              <w:spacing w:after="0"/>
              <w:rPr>
                <w:sz w:val="15"/>
                <w:szCs w:val="15"/>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25,000</w:t>
            </w: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200,000</w:t>
            </w:r>
          </w:p>
        </w:tc>
        <w:tc>
          <w:tcPr>
            <w:tcW w:w="700" w:type="dxa"/>
            <w:vAlign w:val="bottom"/>
          </w:tcPr>
          <w:p>
            <w:pPr>
              <w:jc w:val="right"/>
              <w:spacing w:after="0"/>
              <w:rPr>
                <w:sz w:val="20"/>
                <w:szCs w:val="20"/>
                <w:color w:val="auto"/>
              </w:rPr>
            </w:pPr>
            <w:r>
              <w:rPr>
                <w:rFonts w:ascii="Arial" w:cs="Arial" w:eastAsia="Arial" w:hAnsi="Arial"/>
                <w:sz w:val="13"/>
                <w:szCs w:val="13"/>
                <w:color w:val="auto"/>
              </w:rPr>
              <w:t>375,000</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12/09/2024</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gridSpan w:val="2"/>
          </w:tcPr>
          <w:p>
            <w:pPr>
              <w:jc w:val="right"/>
              <w:ind w:right="57"/>
              <w:spacing w:after="0" w:line="212" w:lineRule="exact"/>
              <w:rPr>
                <w:sz w:val="20"/>
                <w:szCs w:val="20"/>
                <w:color w:val="auto"/>
              </w:rPr>
            </w:pPr>
            <w:r>
              <w:rPr>
                <w:rFonts w:ascii="Arial" w:cs="Arial" w:eastAsia="Arial" w:hAnsi="Arial"/>
                <w:sz w:val="24"/>
                <w:szCs w:val="24"/>
                <w:color w:val="auto"/>
                <w:vertAlign w:val="subscript"/>
              </w:rPr>
              <w:t>0</w:t>
            </w:r>
            <w:r>
              <w:rPr>
                <w:rFonts w:ascii="Arial" w:cs="Arial" w:eastAsia="Arial" w:hAnsi="Arial"/>
                <w:sz w:val="9"/>
                <w:szCs w:val="9"/>
                <w:color w:val="auto"/>
              </w:rPr>
              <w:t>(2)</w:t>
            </w:r>
          </w:p>
        </w:tc>
        <w:tc>
          <w:tcPr>
            <w:tcW w:w="760" w:type="dxa"/>
            <w:vAlign w:val="bottom"/>
          </w:tcPr>
          <w:p>
            <w:pPr>
              <w:jc w:val="right"/>
              <w:ind w:right="42"/>
              <w:spacing w:after="0" w:line="212" w:lineRule="exact"/>
              <w:rPr>
                <w:sz w:val="20"/>
                <w:szCs w:val="20"/>
                <w:color w:val="auto"/>
              </w:rPr>
            </w:pPr>
            <w:r>
              <w:rPr>
                <w:rFonts w:ascii="Arial" w:cs="Arial" w:eastAsia="Arial" w:hAnsi="Arial"/>
                <w:sz w:val="24"/>
                <w:szCs w:val="24"/>
                <w:color w:val="auto"/>
                <w:vertAlign w:val="subscript"/>
              </w:rPr>
              <w:t>822</w:t>
            </w:r>
            <w:r>
              <w:rPr>
                <w:rFonts w:ascii="Arial" w:cs="Arial" w:eastAsia="Arial" w:hAnsi="Arial"/>
                <w:sz w:val="9"/>
                <w:szCs w:val="9"/>
                <w:color w:val="auto"/>
              </w:rPr>
              <w:t>(2)</w:t>
            </w:r>
          </w:p>
        </w:tc>
        <w:tc>
          <w:tcPr>
            <w:tcW w:w="600" w:type="dxa"/>
            <w:vAlign w:val="bottom"/>
          </w:tcPr>
          <w:p>
            <w:pPr>
              <w:jc w:val="right"/>
              <w:spacing w:after="0"/>
              <w:rPr>
                <w:sz w:val="20"/>
                <w:szCs w:val="20"/>
                <w:color w:val="auto"/>
              </w:rPr>
            </w:pPr>
            <w:r>
              <w:rPr>
                <w:rFonts w:ascii="Arial" w:cs="Arial" w:eastAsia="Arial" w:hAnsi="Arial"/>
                <w:sz w:val="13"/>
                <w:szCs w:val="13"/>
                <w:color w:val="auto"/>
              </w:rPr>
              <w:t>1,644</w:t>
            </w:r>
            <w:r>
              <w:rPr>
                <w:rFonts w:ascii="Arial" w:cs="Arial" w:eastAsia="Arial" w:hAnsi="Arial"/>
                <w:sz w:val="18"/>
                <w:szCs w:val="18"/>
                <w:color w:val="auto"/>
                <w:vertAlign w:val="superscript"/>
              </w:rPr>
              <w:t>(2)</w:t>
            </w:r>
          </w:p>
        </w:tc>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2,593,879</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12/09/2024</w:t>
            </w: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gridSpan w:val="2"/>
          </w:tcPr>
          <w:p>
            <w:pPr>
              <w:jc w:val="right"/>
              <w:ind w:right="57"/>
              <w:spacing w:after="0" w:line="189" w:lineRule="exact"/>
              <w:rPr>
                <w:sz w:val="20"/>
                <w:szCs w:val="20"/>
                <w:color w:val="auto"/>
              </w:rPr>
            </w:pPr>
            <w:r>
              <w:rPr>
                <w:rFonts w:ascii="Arial" w:cs="Arial" w:eastAsia="Arial" w:hAnsi="Arial"/>
                <w:sz w:val="21"/>
                <w:szCs w:val="21"/>
                <w:color w:val="auto"/>
                <w:vertAlign w:val="subscript"/>
              </w:rPr>
              <w:t>0</w:t>
            </w:r>
            <w:r>
              <w:rPr>
                <w:rFonts w:ascii="Arial" w:cs="Arial" w:eastAsia="Arial" w:hAnsi="Arial"/>
                <w:sz w:val="9"/>
                <w:szCs w:val="9"/>
                <w:color w:val="auto"/>
              </w:rPr>
              <w:t>(3)</w:t>
            </w:r>
          </w:p>
        </w:tc>
        <w:tc>
          <w:tcPr>
            <w:tcW w:w="760" w:type="dxa"/>
            <w:vAlign w:val="bottom"/>
          </w:tcPr>
          <w:p>
            <w:pPr>
              <w:jc w:val="right"/>
              <w:ind w:right="42"/>
              <w:spacing w:after="0" w:line="189" w:lineRule="exact"/>
              <w:rPr>
                <w:sz w:val="20"/>
                <w:szCs w:val="20"/>
                <w:color w:val="auto"/>
              </w:rPr>
            </w:pPr>
            <w:r>
              <w:rPr>
                <w:rFonts w:ascii="Arial" w:cs="Arial" w:eastAsia="Arial" w:hAnsi="Arial"/>
                <w:sz w:val="13"/>
                <w:szCs w:val="13"/>
                <w:color w:val="auto"/>
              </w:rPr>
              <w:t>822</w:t>
            </w:r>
            <w:r>
              <w:rPr>
                <w:rFonts w:ascii="Arial" w:cs="Arial" w:eastAsia="Arial" w:hAnsi="Arial"/>
                <w:sz w:val="18"/>
                <w:szCs w:val="18"/>
                <w:color w:val="auto"/>
                <w:vertAlign w:val="superscript"/>
              </w:rPr>
              <w:t>(3)</w:t>
            </w:r>
          </w:p>
        </w:tc>
        <w:tc>
          <w:tcPr>
            <w:tcW w:w="600" w:type="dxa"/>
            <w:vAlign w:val="bottom"/>
          </w:tcPr>
          <w:p>
            <w:pPr>
              <w:jc w:val="right"/>
              <w:spacing w:after="0" w:line="189" w:lineRule="exact"/>
              <w:rPr>
                <w:sz w:val="20"/>
                <w:szCs w:val="20"/>
                <w:color w:val="auto"/>
              </w:rPr>
            </w:pPr>
            <w:r>
              <w:rPr>
                <w:rFonts w:ascii="Arial" w:cs="Arial" w:eastAsia="Arial" w:hAnsi="Arial"/>
                <w:sz w:val="13"/>
                <w:szCs w:val="13"/>
                <w:color w:val="auto"/>
              </w:rPr>
              <w:t>1,644</w:t>
            </w:r>
            <w:r>
              <w:rPr>
                <w:rFonts w:ascii="Arial" w:cs="Arial" w:eastAsia="Arial" w:hAnsi="Arial"/>
                <w:sz w:val="18"/>
                <w:szCs w:val="18"/>
                <w:color w:val="auto"/>
                <w:vertAlign w:val="superscript"/>
              </w:rPr>
              <w:t>(3)</w:t>
            </w:r>
          </w:p>
        </w:tc>
        <w:tc>
          <w:tcPr>
            <w:tcW w:w="7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1,830,684</w:t>
            </w:r>
          </w:p>
        </w:tc>
        <w:tc>
          <w:tcPr>
            <w:tcW w:w="0" w:type="dxa"/>
            <w:vAlign w:val="bottom"/>
          </w:tcPr>
          <w:p>
            <w:pPr>
              <w:spacing w:after="0"/>
              <w:rPr>
                <w:sz w:val="1"/>
                <w:szCs w:val="1"/>
                <w:color w:val="auto"/>
              </w:rPr>
            </w:pPr>
          </w:p>
        </w:tc>
      </w:tr>
      <w:tr>
        <w:trPr>
          <w:trHeight w:val="180"/>
        </w:trPr>
        <w:tc>
          <w:tcPr>
            <w:tcW w:w="39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12/09/2024</w:t>
            </w: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jc w:val="right"/>
              <w:ind w:right="60"/>
              <w:spacing w:after="0" w:line="180" w:lineRule="exact"/>
              <w:rPr>
                <w:sz w:val="20"/>
                <w:szCs w:val="20"/>
                <w:color w:val="auto"/>
              </w:rPr>
            </w:pPr>
            <w:r>
              <w:rPr>
                <w:rFonts w:ascii="Arial" w:cs="Arial" w:eastAsia="Arial" w:hAnsi="Arial"/>
                <w:sz w:val="13"/>
                <w:szCs w:val="13"/>
                <w:color w:val="auto"/>
              </w:rPr>
              <w:t>822</w:t>
            </w:r>
            <w:r>
              <w:rPr>
                <w:rFonts w:ascii="Arial" w:cs="Arial" w:eastAsia="Arial" w:hAnsi="Arial"/>
                <w:sz w:val="18"/>
                <w:szCs w:val="18"/>
                <w:color w:val="auto"/>
                <w:vertAlign w:val="superscript"/>
              </w:rPr>
              <w:t>(4)</w:t>
            </w:r>
          </w:p>
        </w:tc>
        <w:tc>
          <w:tcPr>
            <w:tcW w:w="760" w:type="dxa"/>
            <w:vAlign w:val="bottom"/>
          </w:tcPr>
          <w:p>
            <w:pPr>
              <w:jc w:val="right"/>
              <w:spacing w:after="0"/>
              <w:rPr>
                <w:sz w:val="20"/>
                <w:szCs w:val="20"/>
                <w:color w:val="auto"/>
              </w:rPr>
            </w:pPr>
            <w:r>
              <w:rPr>
                <w:rFonts w:ascii="Arial" w:cs="Arial" w:eastAsia="Arial" w:hAnsi="Arial"/>
                <w:sz w:val="13"/>
                <w:szCs w:val="13"/>
                <w:color w:val="auto"/>
              </w:rPr>
              <w:t>1,830,684</w:t>
            </w:r>
          </w:p>
        </w:tc>
        <w:tc>
          <w:tcPr>
            <w:tcW w:w="0" w:type="dxa"/>
            <w:vAlign w:val="bottom"/>
          </w:tcPr>
          <w:p>
            <w:pPr>
              <w:spacing w:after="0"/>
              <w:rPr>
                <w:sz w:val="1"/>
                <w:szCs w:val="1"/>
                <w:color w:val="auto"/>
              </w:rPr>
            </w:pPr>
          </w:p>
        </w:tc>
      </w:tr>
      <w:tr>
        <w:trPr>
          <w:trHeight w:val="175"/>
        </w:trPr>
        <w:tc>
          <w:tcPr>
            <w:tcW w:w="3900" w:type="dxa"/>
            <w:vAlign w:val="bottom"/>
            <w:shd w:val="clear" w:color="auto" w:fill="F2F2F2"/>
          </w:tcPr>
          <w:p>
            <w:pPr>
              <w:spacing w:after="0"/>
              <w:rPr>
                <w:sz w:val="20"/>
                <w:szCs w:val="20"/>
                <w:color w:val="auto"/>
              </w:rPr>
            </w:pPr>
            <w:r>
              <w:rPr>
                <w:rFonts w:ascii="Arial" w:cs="Arial" w:eastAsia="Arial" w:hAnsi="Arial"/>
                <w:sz w:val="13"/>
                <w:szCs w:val="13"/>
                <w:color w:val="auto"/>
              </w:rPr>
              <w:t>James Wehmann</w:t>
            </w:r>
          </w:p>
        </w:tc>
        <w:tc>
          <w:tcPr>
            <w:tcW w:w="820" w:type="dxa"/>
            <w:vAlign w:val="bottom"/>
            <w:shd w:val="clear" w:color="auto" w:fill="F2F2F2"/>
          </w:tcPr>
          <w:p>
            <w:pPr>
              <w:spacing w:after="0"/>
              <w:rPr>
                <w:sz w:val="15"/>
                <w:szCs w:val="15"/>
                <w:color w:val="auto"/>
              </w:rPr>
            </w:pPr>
          </w:p>
        </w:tc>
        <w:tc>
          <w:tcPr>
            <w:tcW w:w="88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31,250</w:t>
            </w:r>
          </w:p>
        </w:tc>
        <w:tc>
          <w:tcPr>
            <w:tcW w:w="940" w:type="dxa"/>
            <w:vAlign w:val="bottom"/>
            <w:shd w:val="clear" w:color="auto" w:fill="F2F2F2"/>
          </w:tcPr>
          <w:p>
            <w:pPr>
              <w:jc w:val="right"/>
              <w:ind w:right="58"/>
              <w:spacing w:after="0"/>
              <w:rPr>
                <w:sz w:val="20"/>
                <w:szCs w:val="20"/>
                <w:color w:val="auto"/>
              </w:rPr>
            </w:pPr>
            <w:r>
              <w:rPr>
                <w:rFonts w:ascii="Arial" w:cs="Arial" w:eastAsia="Arial" w:hAnsi="Arial"/>
                <w:sz w:val="13"/>
                <w:szCs w:val="13"/>
                <w:color w:val="auto"/>
              </w:rPr>
              <w:t>250,000</w:t>
            </w:r>
          </w:p>
        </w:tc>
        <w:tc>
          <w:tcPr>
            <w:tcW w:w="700" w:type="dxa"/>
            <w:vAlign w:val="bottom"/>
            <w:shd w:val="clear" w:color="auto" w:fill="F2F2F2"/>
          </w:tcPr>
          <w:p>
            <w:pPr>
              <w:jc w:val="right"/>
              <w:spacing w:after="0"/>
              <w:rPr>
                <w:sz w:val="20"/>
                <w:szCs w:val="20"/>
                <w:color w:val="auto"/>
              </w:rPr>
            </w:pPr>
            <w:r>
              <w:rPr>
                <w:rFonts w:ascii="Arial" w:cs="Arial" w:eastAsia="Arial" w:hAnsi="Arial"/>
                <w:sz w:val="13"/>
                <w:szCs w:val="13"/>
                <w:color w:val="auto"/>
              </w:rPr>
              <w:t>468,750</w:t>
            </w:r>
          </w:p>
        </w:tc>
        <w:tc>
          <w:tcPr>
            <w:tcW w:w="200" w:type="dxa"/>
            <w:vAlign w:val="bottom"/>
            <w:shd w:val="clear" w:color="auto" w:fill="F2F2F2"/>
          </w:tcPr>
          <w:p>
            <w:pPr>
              <w:spacing w:after="0"/>
              <w:rPr>
                <w:sz w:val="15"/>
                <w:szCs w:val="15"/>
                <w:color w:val="auto"/>
              </w:rPr>
            </w:pPr>
          </w:p>
        </w:tc>
        <w:tc>
          <w:tcPr>
            <w:tcW w:w="720" w:type="dxa"/>
            <w:vAlign w:val="bottom"/>
            <w:shd w:val="clear" w:color="auto" w:fill="F2F2F2"/>
          </w:tcPr>
          <w:p>
            <w:pPr>
              <w:spacing w:after="0"/>
              <w:rPr>
                <w:sz w:val="15"/>
                <w:szCs w:val="15"/>
                <w:color w:val="auto"/>
              </w:rPr>
            </w:pPr>
          </w:p>
        </w:tc>
        <w:tc>
          <w:tcPr>
            <w:tcW w:w="760" w:type="dxa"/>
            <w:vAlign w:val="bottom"/>
            <w:shd w:val="clear" w:color="auto" w:fill="F2F2F2"/>
          </w:tcPr>
          <w:p>
            <w:pPr>
              <w:spacing w:after="0"/>
              <w:rPr>
                <w:sz w:val="15"/>
                <w:szCs w:val="15"/>
                <w:color w:val="auto"/>
              </w:rPr>
            </w:pPr>
          </w:p>
        </w:tc>
        <w:tc>
          <w:tcPr>
            <w:tcW w:w="600" w:type="dxa"/>
            <w:vAlign w:val="bottom"/>
            <w:shd w:val="clear" w:color="auto" w:fill="F2F2F2"/>
          </w:tcPr>
          <w:p>
            <w:pPr>
              <w:spacing w:after="0"/>
              <w:rPr>
                <w:sz w:val="15"/>
                <w:szCs w:val="15"/>
                <w:color w:val="auto"/>
              </w:rPr>
            </w:pPr>
          </w:p>
        </w:tc>
        <w:tc>
          <w:tcPr>
            <w:tcW w:w="740" w:type="dxa"/>
            <w:vAlign w:val="bottom"/>
            <w:shd w:val="clear" w:color="auto" w:fill="F2F2F2"/>
          </w:tcPr>
          <w:p>
            <w:pPr>
              <w:spacing w:after="0"/>
              <w:rPr>
                <w:sz w:val="15"/>
                <w:szCs w:val="15"/>
                <w:color w:val="auto"/>
              </w:rPr>
            </w:pPr>
          </w:p>
        </w:tc>
        <w:tc>
          <w:tcPr>
            <w:tcW w:w="76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F2F2F2"/>
          </w:tcPr>
          <w:p>
            <w:pPr>
              <w:spacing w:after="0"/>
              <w:rPr>
                <w:sz w:val="17"/>
                <w:szCs w:val="17"/>
                <w:color w:val="auto"/>
              </w:rPr>
            </w:pPr>
          </w:p>
        </w:tc>
        <w:tc>
          <w:tcPr>
            <w:tcW w:w="820" w:type="dxa"/>
            <w:vAlign w:val="bottom"/>
            <w:shd w:val="clear" w:color="auto" w:fill="F2F2F2"/>
          </w:tcPr>
          <w:p>
            <w:pPr>
              <w:jc w:val="right"/>
              <w:spacing w:after="0"/>
              <w:rPr>
                <w:sz w:val="20"/>
                <w:szCs w:val="20"/>
                <w:color w:val="auto"/>
              </w:rPr>
            </w:pPr>
            <w:r>
              <w:rPr>
                <w:rFonts w:ascii="Arial" w:cs="Arial" w:eastAsia="Arial" w:hAnsi="Arial"/>
                <w:sz w:val="13"/>
                <w:szCs w:val="13"/>
                <w:color w:val="auto"/>
              </w:rPr>
              <w:t>12/09/2024</w:t>
            </w:r>
          </w:p>
        </w:tc>
        <w:tc>
          <w:tcPr>
            <w:tcW w:w="880" w:type="dxa"/>
            <w:vAlign w:val="bottom"/>
            <w:shd w:val="clear" w:color="auto" w:fill="F2F2F2"/>
          </w:tcPr>
          <w:p>
            <w:pPr>
              <w:spacing w:after="0"/>
              <w:rPr>
                <w:sz w:val="17"/>
                <w:szCs w:val="17"/>
                <w:color w:val="auto"/>
              </w:rPr>
            </w:pPr>
          </w:p>
        </w:tc>
        <w:tc>
          <w:tcPr>
            <w:tcW w:w="940" w:type="dxa"/>
            <w:vAlign w:val="bottom"/>
            <w:shd w:val="clear" w:color="auto" w:fill="F2F2F2"/>
          </w:tcPr>
          <w:p>
            <w:pPr>
              <w:spacing w:after="0"/>
              <w:rPr>
                <w:sz w:val="17"/>
                <w:szCs w:val="17"/>
                <w:color w:val="auto"/>
              </w:rPr>
            </w:pPr>
          </w:p>
        </w:tc>
        <w:tc>
          <w:tcPr>
            <w:tcW w:w="700" w:type="dxa"/>
            <w:vAlign w:val="bottom"/>
            <w:shd w:val="clear" w:color="auto" w:fill="F2F2F2"/>
          </w:tcPr>
          <w:p>
            <w:pPr>
              <w:spacing w:after="0"/>
              <w:rPr>
                <w:sz w:val="17"/>
                <w:szCs w:val="17"/>
                <w:color w:val="auto"/>
              </w:rPr>
            </w:pPr>
          </w:p>
        </w:tc>
        <w:tc>
          <w:tcPr>
            <w:tcW w:w="920" w:type="dxa"/>
            <w:vAlign w:val="bottom"/>
            <w:gridSpan w:val="2"/>
            <w:shd w:val="clear" w:color="auto" w:fill="F2F2F2"/>
          </w:tcPr>
          <w:p>
            <w:pPr>
              <w:jc w:val="right"/>
              <w:ind w:right="57"/>
              <w:spacing w:after="0" w:line="203" w:lineRule="exact"/>
              <w:rPr>
                <w:sz w:val="20"/>
                <w:szCs w:val="20"/>
                <w:color w:val="auto"/>
              </w:rPr>
            </w:pPr>
            <w:r>
              <w:rPr>
                <w:rFonts w:ascii="Arial" w:cs="Arial" w:eastAsia="Arial" w:hAnsi="Arial"/>
                <w:sz w:val="23"/>
                <w:szCs w:val="23"/>
                <w:color w:val="auto"/>
                <w:vertAlign w:val="subscript"/>
              </w:rPr>
              <w:t>0</w:t>
            </w:r>
            <w:r>
              <w:rPr>
                <w:rFonts w:ascii="Arial" w:cs="Arial" w:eastAsia="Arial" w:hAnsi="Arial"/>
                <w:sz w:val="9"/>
                <w:szCs w:val="9"/>
                <w:color w:val="auto"/>
              </w:rPr>
              <w:t>(2)</w:t>
            </w:r>
          </w:p>
        </w:tc>
        <w:tc>
          <w:tcPr>
            <w:tcW w:w="760" w:type="dxa"/>
            <w:vAlign w:val="bottom"/>
            <w:shd w:val="clear" w:color="auto" w:fill="F2F2F2"/>
          </w:tcPr>
          <w:p>
            <w:pPr>
              <w:jc w:val="right"/>
              <w:ind w:right="42"/>
              <w:spacing w:after="0" w:line="203" w:lineRule="exact"/>
              <w:rPr>
                <w:sz w:val="20"/>
                <w:szCs w:val="20"/>
                <w:color w:val="auto"/>
              </w:rPr>
            </w:pPr>
            <w:r>
              <w:rPr>
                <w:rFonts w:ascii="Arial" w:cs="Arial" w:eastAsia="Arial" w:hAnsi="Arial"/>
                <w:sz w:val="13"/>
                <w:szCs w:val="13"/>
                <w:color w:val="auto"/>
              </w:rPr>
              <w:t>896</w:t>
            </w:r>
            <w:r>
              <w:rPr>
                <w:rFonts w:ascii="Arial" w:cs="Arial" w:eastAsia="Arial" w:hAnsi="Arial"/>
                <w:sz w:val="18"/>
                <w:szCs w:val="18"/>
                <w:color w:val="auto"/>
                <w:vertAlign w:val="superscript"/>
              </w:rPr>
              <w:t>(2)</w:t>
            </w:r>
          </w:p>
        </w:tc>
        <w:tc>
          <w:tcPr>
            <w:tcW w:w="600" w:type="dxa"/>
            <w:vAlign w:val="bottom"/>
            <w:shd w:val="clear" w:color="auto" w:fill="F2F2F2"/>
          </w:tcPr>
          <w:p>
            <w:pPr>
              <w:jc w:val="right"/>
              <w:spacing w:after="0" w:line="203" w:lineRule="exact"/>
              <w:rPr>
                <w:sz w:val="20"/>
                <w:szCs w:val="20"/>
                <w:color w:val="auto"/>
              </w:rPr>
            </w:pPr>
            <w:r>
              <w:rPr>
                <w:rFonts w:ascii="Arial" w:cs="Arial" w:eastAsia="Arial" w:hAnsi="Arial"/>
                <w:sz w:val="13"/>
                <w:szCs w:val="13"/>
                <w:color w:val="auto"/>
              </w:rPr>
              <w:t>1,792</w:t>
            </w:r>
            <w:r>
              <w:rPr>
                <w:rFonts w:ascii="Arial" w:cs="Arial" w:eastAsia="Arial" w:hAnsi="Arial"/>
                <w:sz w:val="18"/>
                <w:szCs w:val="18"/>
                <w:color w:val="auto"/>
                <w:vertAlign w:val="superscript"/>
              </w:rPr>
              <w:t>(2)</w:t>
            </w:r>
          </w:p>
        </w:tc>
        <w:tc>
          <w:tcPr>
            <w:tcW w:w="740" w:type="dxa"/>
            <w:vAlign w:val="bottom"/>
            <w:shd w:val="clear" w:color="auto" w:fill="F2F2F2"/>
          </w:tcPr>
          <w:p>
            <w:pPr>
              <w:spacing w:after="0"/>
              <w:rPr>
                <w:sz w:val="17"/>
                <w:szCs w:val="17"/>
                <w:color w:val="auto"/>
              </w:rPr>
            </w:pPr>
          </w:p>
        </w:tc>
        <w:tc>
          <w:tcPr>
            <w:tcW w:w="7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2,827,391</w:t>
            </w:r>
          </w:p>
        </w:tc>
        <w:tc>
          <w:tcPr>
            <w:tcW w:w="0" w:type="dxa"/>
            <w:vAlign w:val="bottom"/>
          </w:tcPr>
          <w:p>
            <w:pPr>
              <w:spacing w:after="0"/>
              <w:rPr>
                <w:sz w:val="1"/>
                <w:szCs w:val="1"/>
                <w:color w:val="auto"/>
              </w:rPr>
            </w:pPr>
          </w:p>
        </w:tc>
      </w:tr>
      <w:tr>
        <w:trPr>
          <w:trHeight w:val="189"/>
        </w:trPr>
        <w:tc>
          <w:tcPr>
            <w:tcW w:w="3900" w:type="dxa"/>
            <w:vAlign w:val="bottom"/>
            <w:shd w:val="clear" w:color="auto" w:fill="F2F2F2"/>
          </w:tcPr>
          <w:p>
            <w:pPr>
              <w:spacing w:after="0"/>
              <w:rPr>
                <w:sz w:val="16"/>
                <w:szCs w:val="16"/>
                <w:color w:val="auto"/>
              </w:rPr>
            </w:pPr>
          </w:p>
        </w:tc>
        <w:tc>
          <w:tcPr>
            <w:tcW w:w="820" w:type="dxa"/>
            <w:vAlign w:val="bottom"/>
            <w:shd w:val="clear" w:color="auto" w:fill="F2F2F2"/>
          </w:tcPr>
          <w:p>
            <w:pPr>
              <w:jc w:val="right"/>
              <w:spacing w:after="0"/>
              <w:rPr>
                <w:sz w:val="20"/>
                <w:szCs w:val="20"/>
                <w:color w:val="auto"/>
              </w:rPr>
            </w:pPr>
            <w:r>
              <w:rPr>
                <w:rFonts w:ascii="Arial" w:cs="Arial" w:eastAsia="Arial" w:hAnsi="Arial"/>
                <w:sz w:val="13"/>
                <w:szCs w:val="13"/>
                <w:color w:val="auto"/>
              </w:rPr>
              <w:t>12/09/2024</w:t>
            </w:r>
          </w:p>
        </w:tc>
        <w:tc>
          <w:tcPr>
            <w:tcW w:w="880" w:type="dxa"/>
            <w:vAlign w:val="bottom"/>
            <w:shd w:val="clear" w:color="auto" w:fill="F2F2F2"/>
          </w:tcPr>
          <w:p>
            <w:pPr>
              <w:spacing w:after="0"/>
              <w:rPr>
                <w:sz w:val="16"/>
                <w:szCs w:val="16"/>
                <w:color w:val="auto"/>
              </w:rPr>
            </w:pPr>
          </w:p>
        </w:tc>
        <w:tc>
          <w:tcPr>
            <w:tcW w:w="940" w:type="dxa"/>
            <w:vAlign w:val="bottom"/>
            <w:shd w:val="clear" w:color="auto" w:fill="F2F2F2"/>
          </w:tcPr>
          <w:p>
            <w:pPr>
              <w:spacing w:after="0"/>
              <w:rPr>
                <w:sz w:val="16"/>
                <w:szCs w:val="16"/>
                <w:color w:val="auto"/>
              </w:rPr>
            </w:pPr>
          </w:p>
        </w:tc>
        <w:tc>
          <w:tcPr>
            <w:tcW w:w="700" w:type="dxa"/>
            <w:vAlign w:val="bottom"/>
            <w:shd w:val="clear" w:color="auto" w:fill="F2F2F2"/>
          </w:tcPr>
          <w:p>
            <w:pPr>
              <w:spacing w:after="0"/>
              <w:rPr>
                <w:sz w:val="16"/>
                <w:szCs w:val="16"/>
                <w:color w:val="auto"/>
              </w:rPr>
            </w:pPr>
          </w:p>
        </w:tc>
        <w:tc>
          <w:tcPr>
            <w:tcW w:w="920" w:type="dxa"/>
            <w:vAlign w:val="bottom"/>
            <w:gridSpan w:val="2"/>
            <w:shd w:val="clear" w:color="auto" w:fill="F2F2F2"/>
          </w:tcPr>
          <w:p>
            <w:pPr>
              <w:jc w:val="right"/>
              <w:ind w:right="57"/>
              <w:spacing w:after="0" w:line="189" w:lineRule="exact"/>
              <w:rPr>
                <w:sz w:val="20"/>
                <w:szCs w:val="20"/>
                <w:color w:val="auto"/>
              </w:rPr>
            </w:pPr>
            <w:r>
              <w:rPr>
                <w:rFonts w:ascii="Arial" w:cs="Arial" w:eastAsia="Arial" w:hAnsi="Arial"/>
                <w:sz w:val="21"/>
                <w:szCs w:val="21"/>
                <w:color w:val="auto"/>
                <w:vertAlign w:val="subscript"/>
              </w:rPr>
              <w:t>0</w:t>
            </w:r>
            <w:r>
              <w:rPr>
                <w:rFonts w:ascii="Arial" w:cs="Arial" w:eastAsia="Arial" w:hAnsi="Arial"/>
                <w:sz w:val="9"/>
                <w:szCs w:val="9"/>
                <w:color w:val="auto"/>
              </w:rPr>
              <w:t>(3)</w:t>
            </w:r>
          </w:p>
        </w:tc>
        <w:tc>
          <w:tcPr>
            <w:tcW w:w="760" w:type="dxa"/>
            <w:vAlign w:val="bottom"/>
            <w:shd w:val="clear" w:color="auto" w:fill="F2F2F2"/>
          </w:tcPr>
          <w:p>
            <w:pPr>
              <w:jc w:val="right"/>
              <w:ind w:right="42"/>
              <w:spacing w:after="0" w:line="189" w:lineRule="exact"/>
              <w:rPr>
                <w:sz w:val="20"/>
                <w:szCs w:val="20"/>
                <w:color w:val="auto"/>
              </w:rPr>
            </w:pPr>
            <w:r>
              <w:rPr>
                <w:rFonts w:ascii="Arial" w:cs="Arial" w:eastAsia="Arial" w:hAnsi="Arial"/>
                <w:sz w:val="21"/>
                <w:szCs w:val="21"/>
                <w:color w:val="auto"/>
                <w:vertAlign w:val="subscript"/>
              </w:rPr>
              <w:t>896</w:t>
            </w:r>
            <w:r>
              <w:rPr>
                <w:rFonts w:ascii="Arial" w:cs="Arial" w:eastAsia="Arial" w:hAnsi="Arial"/>
                <w:sz w:val="9"/>
                <w:szCs w:val="9"/>
                <w:color w:val="auto"/>
              </w:rPr>
              <w:t>(3)</w:t>
            </w:r>
          </w:p>
        </w:tc>
        <w:tc>
          <w:tcPr>
            <w:tcW w:w="600" w:type="dxa"/>
            <w:vAlign w:val="bottom"/>
            <w:shd w:val="clear" w:color="auto" w:fill="F2F2F2"/>
          </w:tcPr>
          <w:p>
            <w:pPr>
              <w:jc w:val="right"/>
              <w:spacing w:after="0" w:line="189" w:lineRule="exact"/>
              <w:rPr>
                <w:sz w:val="20"/>
                <w:szCs w:val="20"/>
                <w:color w:val="auto"/>
              </w:rPr>
            </w:pPr>
            <w:r>
              <w:rPr>
                <w:rFonts w:ascii="Arial" w:cs="Arial" w:eastAsia="Arial" w:hAnsi="Arial"/>
                <w:sz w:val="13"/>
                <w:szCs w:val="13"/>
                <w:color w:val="auto"/>
              </w:rPr>
              <w:t>1,792</w:t>
            </w:r>
            <w:r>
              <w:rPr>
                <w:rFonts w:ascii="Arial" w:cs="Arial" w:eastAsia="Arial" w:hAnsi="Arial"/>
                <w:sz w:val="18"/>
                <w:szCs w:val="18"/>
                <w:color w:val="auto"/>
                <w:vertAlign w:val="superscript"/>
              </w:rPr>
              <w:t>(3)</w:t>
            </w:r>
          </w:p>
        </w:tc>
        <w:tc>
          <w:tcPr>
            <w:tcW w:w="740" w:type="dxa"/>
            <w:vAlign w:val="bottom"/>
            <w:shd w:val="clear" w:color="auto" w:fill="F2F2F2"/>
          </w:tcPr>
          <w:p>
            <w:pPr>
              <w:spacing w:after="0"/>
              <w:rPr>
                <w:sz w:val="16"/>
                <w:szCs w:val="16"/>
                <w:color w:val="auto"/>
              </w:rPr>
            </w:pPr>
          </w:p>
        </w:tc>
        <w:tc>
          <w:tcPr>
            <w:tcW w:w="7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1,995,491</w:t>
            </w:r>
          </w:p>
        </w:tc>
        <w:tc>
          <w:tcPr>
            <w:tcW w:w="0" w:type="dxa"/>
            <w:vAlign w:val="bottom"/>
          </w:tcPr>
          <w:p>
            <w:pPr>
              <w:spacing w:after="0"/>
              <w:rPr>
                <w:sz w:val="1"/>
                <w:szCs w:val="1"/>
                <w:color w:val="auto"/>
              </w:rPr>
            </w:pPr>
          </w:p>
        </w:tc>
      </w:tr>
      <w:tr>
        <w:trPr>
          <w:trHeight w:val="189"/>
        </w:trPr>
        <w:tc>
          <w:tcPr>
            <w:tcW w:w="3900" w:type="dxa"/>
            <w:vAlign w:val="bottom"/>
            <w:tcBorders>
              <w:bottom w:val="single" w:sz="8" w:color="376DB5"/>
            </w:tcBorders>
            <w:shd w:val="clear" w:color="auto" w:fill="F2F2F2"/>
          </w:tcPr>
          <w:p>
            <w:pPr>
              <w:spacing w:after="0"/>
              <w:rPr>
                <w:sz w:val="16"/>
                <w:szCs w:val="16"/>
                <w:color w:val="auto"/>
              </w:rPr>
            </w:pPr>
          </w:p>
        </w:tc>
        <w:tc>
          <w:tcPr>
            <w:tcW w:w="820" w:type="dxa"/>
            <w:vAlign w:val="bottom"/>
            <w:tcBorders>
              <w:bottom w:val="single" w:sz="8" w:color="376DB5"/>
            </w:tcBorders>
            <w:shd w:val="clear" w:color="auto" w:fill="F2F2F2"/>
          </w:tcPr>
          <w:p>
            <w:pPr>
              <w:jc w:val="right"/>
              <w:spacing w:after="0"/>
              <w:rPr>
                <w:sz w:val="20"/>
                <w:szCs w:val="20"/>
                <w:color w:val="auto"/>
              </w:rPr>
            </w:pPr>
            <w:r>
              <w:rPr>
                <w:rFonts w:ascii="Arial" w:cs="Arial" w:eastAsia="Arial" w:hAnsi="Arial"/>
                <w:sz w:val="13"/>
                <w:szCs w:val="13"/>
                <w:color w:val="auto"/>
              </w:rPr>
              <w:t>12/09/2024</w:t>
            </w:r>
          </w:p>
        </w:tc>
        <w:tc>
          <w:tcPr>
            <w:tcW w:w="880" w:type="dxa"/>
            <w:vAlign w:val="bottom"/>
            <w:tcBorders>
              <w:bottom w:val="single" w:sz="8" w:color="376DB5"/>
            </w:tcBorders>
            <w:shd w:val="clear" w:color="auto" w:fill="F2F2F2"/>
          </w:tcPr>
          <w:p>
            <w:pPr>
              <w:spacing w:after="0"/>
              <w:rPr>
                <w:sz w:val="16"/>
                <w:szCs w:val="16"/>
                <w:color w:val="auto"/>
              </w:rPr>
            </w:pPr>
          </w:p>
        </w:tc>
        <w:tc>
          <w:tcPr>
            <w:tcW w:w="940" w:type="dxa"/>
            <w:vAlign w:val="bottom"/>
            <w:tcBorders>
              <w:bottom w:val="single" w:sz="8" w:color="376DB5"/>
            </w:tcBorders>
            <w:shd w:val="clear" w:color="auto" w:fill="F2F2F2"/>
          </w:tcPr>
          <w:p>
            <w:pPr>
              <w:spacing w:after="0"/>
              <w:rPr>
                <w:sz w:val="16"/>
                <w:szCs w:val="16"/>
                <w:color w:val="auto"/>
              </w:rPr>
            </w:pPr>
          </w:p>
        </w:tc>
        <w:tc>
          <w:tcPr>
            <w:tcW w:w="700" w:type="dxa"/>
            <w:vAlign w:val="bottom"/>
            <w:tcBorders>
              <w:bottom w:val="single" w:sz="8" w:color="376DB5"/>
            </w:tcBorders>
            <w:shd w:val="clear" w:color="auto" w:fill="F2F2F2"/>
          </w:tcPr>
          <w:p>
            <w:pPr>
              <w:spacing w:after="0"/>
              <w:rPr>
                <w:sz w:val="16"/>
                <w:szCs w:val="16"/>
                <w:color w:val="auto"/>
              </w:rPr>
            </w:pPr>
          </w:p>
        </w:tc>
        <w:tc>
          <w:tcPr>
            <w:tcW w:w="200" w:type="dxa"/>
            <w:vAlign w:val="bottom"/>
            <w:tcBorders>
              <w:bottom w:val="single" w:sz="8" w:color="376DB5"/>
            </w:tcBorders>
            <w:shd w:val="clear" w:color="auto" w:fill="F2F2F2"/>
          </w:tcPr>
          <w:p>
            <w:pPr>
              <w:spacing w:after="0"/>
              <w:rPr>
                <w:sz w:val="16"/>
                <w:szCs w:val="16"/>
                <w:color w:val="auto"/>
              </w:rPr>
            </w:pPr>
          </w:p>
        </w:tc>
        <w:tc>
          <w:tcPr>
            <w:tcW w:w="720" w:type="dxa"/>
            <w:vAlign w:val="bottom"/>
            <w:tcBorders>
              <w:bottom w:val="single" w:sz="8" w:color="376DB5"/>
            </w:tcBorders>
            <w:shd w:val="clear" w:color="auto" w:fill="F2F2F2"/>
          </w:tcPr>
          <w:p>
            <w:pPr>
              <w:spacing w:after="0"/>
              <w:rPr>
                <w:sz w:val="16"/>
                <w:szCs w:val="16"/>
                <w:color w:val="auto"/>
              </w:rPr>
            </w:pPr>
          </w:p>
        </w:tc>
        <w:tc>
          <w:tcPr>
            <w:tcW w:w="760" w:type="dxa"/>
            <w:vAlign w:val="bottom"/>
            <w:tcBorders>
              <w:bottom w:val="single" w:sz="8" w:color="376DB5"/>
            </w:tcBorders>
            <w:shd w:val="clear" w:color="auto" w:fill="F2F2F2"/>
          </w:tcPr>
          <w:p>
            <w:pPr>
              <w:spacing w:after="0"/>
              <w:rPr>
                <w:sz w:val="16"/>
                <w:szCs w:val="16"/>
                <w:color w:val="auto"/>
              </w:rPr>
            </w:pPr>
          </w:p>
        </w:tc>
        <w:tc>
          <w:tcPr>
            <w:tcW w:w="600" w:type="dxa"/>
            <w:vAlign w:val="bottom"/>
            <w:tcBorders>
              <w:bottom w:val="single" w:sz="8" w:color="376DB5"/>
            </w:tcBorders>
            <w:shd w:val="clear" w:color="auto" w:fill="F2F2F2"/>
          </w:tcPr>
          <w:p>
            <w:pPr>
              <w:spacing w:after="0"/>
              <w:rPr>
                <w:sz w:val="16"/>
                <w:szCs w:val="16"/>
                <w:color w:val="auto"/>
              </w:rPr>
            </w:pPr>
          </w:p>
        </w:tc>
        <w:tc>
          <w:tcPr>
            <w:tcW w:w="740" w:type="dxa"/>
            <w:vAlign w:val="bottom"/>
            <w:tcBorders>
              <w:bottom w:val="single" w:sz="8" w:color="376DB5"/>
            </w:tcBorders>
            <w:shd w:val="clear" w:color="auto" w:fill="F2F2F2"/>
          </w:tcPr>
          <w:p>
            <w:pPr>
              <w:jc w:val="right"/>
              <w:ind w:right="60"/>
              <w:spacing w:after="0" w:line="189" w:lineRule="exact"/>
              <w:rPr>
                <w:sz w:val="20"/>
                <w:szCs w:val="20"/>
                <w:color w:val="auto"/>
              </w:rPr>
            </w:pPr>
            <w:r>
              <w:rPr>
                <w:rFonts w:ascii="Arial" w:cs="Arial" w:eastAsia="Arial" w:hAnsi="Arial"/>
                <w:sz w:val="21"/>
                <w:szCs w:val="21"/>
                <w:color w:val="auto"/>
                <w:vertAlign w:val="subscript"/>
              </w:rPr>
              <w:t>896</w:t>
            </w:r>
            <w:r>
              <w:rPr>
                <w:rFonts w:ascii="Arial" w:cs="Arial" w:eastAsia="Arial" w:hAnsi="Arial"/>
                <w:sz w:val="9"/>
                <w:szCs w:val="9"/>
                <w:color w:val="auto"/>
              </w:rPr>
              <w:t>(4)</w:t>
            </w:r>
          </w:p>
        </w:tc>
        <w:tc>
          <w:tcPr>
            <w:tcW w:w="760" w:type="dxa"/>
            <w:vAlign w:val="bottom"/>
            <w:tcBorders>
              <w:bottom w:val="single" w:sz="8" w:color="376DB5"/>
            </w:tcBorders>
            <w:shd w:val="clear" w:color="auto" w:fill="F2F2F2"/>
          </w:tcPr>
          <w:p>
            <w:pPr>
              <w:jc w:val="right"/>
              <w:spacing w:after="0"/>
              <w:rPr>
                <w:sz w:val="20"/>
                <w:szCs w:val="20"/>
                <w:color w:val="auto"/>
              </w:rPr>
            </w:pPr>
            <w:r>
              <w:rPr>
                <w:rFonts w:ascii="Arial" w:cs="Arial" w:eastAsia="Arial" w:hAnsi="Arial"/>
                <w:sz w:val="13"/>
                <w:szCs w:val="13"/>
                <w:color w:val="auto"/>
              </w:rPr>
              <w:t>1,995,491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1226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150" w:lineRule="exact"/>
        <w:rPr>
          <w:sz w:val="20"/>
          <w:szCs w:val="20"/>
          <w:color w:val="auto"/>
        </w:rPr>
      </w:pPr>
    </w:p>
    <w:p>
      <w:pPr>
        <w:jc w:val="both"/>
        <w:ind w:left="540" w:hanging="424"/>
        <w:spacing w:after="0" w:line="225" w:lineRule="auto"/>
        <w:tabs>
          <w:tab w:leader="none" w:pos="540" w:val="left"/>
        </w:tabs>
        <w:numPr>
          <w:ilvl w:val="0"/>
          <w:numId w:val="53"/>
        </w:numPr>
        <w:rPr>
          <w:rFonts w:ascii="Arial" w:cs="Arial" w:eastAsia="Arial" w:hAnsi="Arial"/>
          <w:sz w:val="27"/>
          <w:szCs w:val="27"/>
          <w:color w:val="auto"/>
          <w:vertAlign w:val="superscript"/>
        </w:rPr>
      </w:pPr>
      <w:r>
        <w:rPr>
          <w:rFonts w:ascii="Arial" w:cs="Arial" w:eastAsia="Arial" w:hAnsi="Arial"/>
          <w:sz w:val="18"/>
          <w:szCs w:val="18"/>
          <w:color w:val="auto"/>
        </w:rPr>
        <w:t>The amounts shown in these columns represent the estimated threshold (or minimum), target, and maximum possible cash incentive awards for each of the named executive officers. Under our Executive Incentive Plan, Mr. Lansing’s target amount is equal to 100% of his base salary and the target amount for each of the other named executive officers is equal to 50% of their base salary. The maximum amount in each case equals 1.875 times the target amount, which would result if the Company Performance Factor was 125% and the Participant Performance Factor was 150%. The threshold amount in each case is 12.50% of the target amount, which would result if the Company Performance Factor achieved the threshold level of performance and the Participant Performance Factor was 0%. Additional detail regarding the determination of cash incentives to executives for fiscal 2025 is included above under “Compensation Discussion and Analysis.” Actual payments are set forth in the “Summary Compensation Table” above.</w:t>
      </w:r>
    </w:p>
    <w:p>
      <w:pPr>
        <w:spacing w:after="0" w:line="11" w:lineRule="exact"/>
        <w:rPr>
          <w:rFonts w:ascii="Arial" w:cs="Arial" w:eastAsia="Arial" w:hAnsi="Arial"/>
          <w:sz w:val="27"/>
          <w:szCs w:val="27"/>
          <w:color w:val="auto"/>
          <w:vertAlign w:val="superscript"/>
        </w:rPr>
      </w:pPr>
    </w:p>
    <w:p>
      <w:pPr>
        <w:jc w:val="both"/>
        <w:ind w:left="540" w:hanging="424"/>
        <w:spacing w:after="0" w:line="216" w:lineRule="auto"/>
        <w:tabs>
          <w:tab w:leader="none" w:pos="540" w:val="left"/>
        </w:tabs>
        <w:numPr>
          <w:ilvl w:val="0"/>
          <w:numId w:val="53"/>
        </w:numPr>
        <w:rPr>
          <w:rFonts w:ascii="Arial" w:cs="Arial" w:eastAsia="Arial" w:hAnsi="Arial"/>
          <w:sz w:val="27"/>
          <w:szCs w:val="27"/>
          <w:color w:val="auto"/>
          <w:vertAlign w:val="superscript"/>
        </w:rPr>
      </w:pPr>
      <w:r>
        <w:rPr>
          <w:rFonts w:ascii="Arial" w:cs="Arial" w:eastAsia="Arial" w:hAnsi="Arial"/>
          <w:sz w:val="18"/>
          <w:szCs w:val="18"/>
          <w:color w:val="auto"/>
        </w:rPr>
        <w:t>Amounts shown reflect MSUs that were granted under our 2021 LTIP and are subject to the achievement of specific performance goals related to the Company’s total shareholder return relative to the S&amp;P 500 Index, with performance at the 55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of the Index required to achieve target payout, over performance periods of one, two and three years, approved by the LDCC, with no threshold (or minimum) levels of performance. On December 3, 2025, the LDCC certified that for all named executive officers, 0% of the target awards for the first performance period were earned for that tranche of awards eligible to vest on December 9, 2025. The remaining portion of the target awards may be earned subject to achievement of specific performance goals for the two- and three-year performance periods and then subsequently vest subject to the named executive officer’s continued Service as a Service Provider (as defined in the 2021 LTIP) through December 9, 2026, and December 9, 2027, respectively. These awards do not pay dividend equivalents.</w:t>
      </w:r>
    </w:p>
    <w:p>
      <w:pPr>
        <w:spacing w:after="0" w:line="118"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63</w:t>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jc w:val="both"/>
        <w:ind w:left="540" w:hanging="424"/>
        <w:spacing w:after="0" w:line="223" w:lineRule="auto"/>
        <w:tabs>
          <w:tab w:leader="none" w:pos="54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color w:val="auto"/>
        </w:rPr>
        <w:t>Amounts shown reflect PSUs that were granted under our 2021 LTIP and were subject to the achievement of specific performance goals related to adjusted revenue and adjusted EBITDA metrics approved by the LDCC, with no threshold (or minimum) levels of performance. For all named executive officers, 150.2% of the target awards were earned, one-third of the earned units vested on December 9, 2025, and the remaining two-thirds are scheduled to vest in two annual installments beginning December 9, 2026 (subject to the named executive officer’s continued Service as a Service Provider (as defined in the 2021 LTIP)). These awards do not pay dividend equivalents.</w:t>
      </w:r>
    </w:p>
    <w:p>
      <w:pPr>
        <w:spacing w:after="0" w:line="5" w:lineRule="exact"/>
        <w:rPr>
          <w:rFonts w:ascii="Arial" w:cs="Arial" w:eastAsia="Arial" w:hAnsi="Arial"/>
          <w:sz w:val="27"/>
          <w:szCs w:val="27"/>
          <w:color w:val="auto"/>
          <w:vertAlign w:val="superscript"/>
        </w:rPr>
      </w:pPr>
    </w:p>
    <w:p>
      <w:pPr>
        <w:jc w:val="both"/>
        <w:ind w:left="540" w:right="20" w:hanging="424"/>
        <w:spacing w:after="0" w:line="213" w:lineRule="auto"/>
        <w:tabs>
          <w:tab w:leader="none" w:pos="54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color w:val="auto"/>
        </w:rPr>
        <w:t>Reflects RSUs that were granted under our 2021 LTIP which vest in four equal increments on the first four anniversaries of the grant date subject to the named executive officer’s continued Service as a Service Provider (as defined in the 2021 LTIP). These awards do not pay dividend equivalents.</w:t>
      </w:r>
    </w:p>
    <w:p>
      <w:pPr>
        <w:spacing w:after="0" w:line="5" w:lineRule="exact"/>
        <w:rPr>
          <w:rFonts w:ascii="Arial" w:cs="Arial" w:eastAsia="Arial" w:hAnsi="Arial"/>
          <w:sz w:val="27"/>
          <w:szCs w:val="27"/>
          <w:color w:val="auto"/>
          <w:vertAlign w:val="superscript"/>
        </w:rPr>
      </w:pPr>
    </w:p>
    <w:p>
      <w:pPr>
        <w:jc w:val="both"/>
        <w:ind w:left="540" w:right="20" w:hanging="424"/>
        <w:spacing w:after="0" w:line="213" w:lineRule="auto"/>
        <w:tabs>
          <w:tab w:leader="none" w:pos="54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color w:val="auto"/>
        </w:rPr>
        <w:t>Represents the grant date fair value of each stock option, MSU, PSU, RSU, or Non-Qualified Option, as applicable, computed in accordance with FASB ASC Topic 718. The values included in the table for the MSUs, and PSUs are at target value, representing the probable outcome of the performance conditions as calculated at the time of grant.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Letter Agreements</w:t>
      </w:r>
    </w:p>
    <w:p>
      <w:pPr>
        <w:spacing w:after="0" w:line="104"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The Company is a party to Letter Agreements with each of the named executive officers. The material provisions of such Letter Agreements related to the executive officers’ ongoing compensation arrangements are described below.</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William Lansing</w:t>
      </w:r>
    </w:p>
    <w:p>
      <w:pPr>
        <w:spacing w:after="0" w:line="102"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For each full fiscal year of the Company during the term of his Letter Agreement, Mr. Lansing will be eligible to receive a cash incentive award with a target value equal to 100% of his annual base salary at the rate in effect at the end of such fiscal year, pursuant to the Company’s Executive Incentive Plan and the terms and conditions established by the LDCC from time to time.</w:t>
      </w:r>
    </w:p>
    <w:p>
      <w:pPr>
        <w:spacing w:after="0" w:line="61" w:lineRule="exact"/>
        <w:rPr>
          <w:sz w:val="20"/>
          <w:szCs w:val="20"/>
          <w:color w:val="auto"/>
        </w:rPr>
      </w:pPr>
    </w:p>
    <w:p>
      <w:pPr>
        <w:jc w:val="both"/>
        <w:ind w:left="120" w:firstLine="551"/>
        <w:spacing w:after="0" w:line="239" w:lineRule="auto"/>
        <w:rPr>
          <w:sz w:val="20"/>
          <w:szCs w:val="20"/>
          <w:color w:val="auto"/>
        </w:rPr>
      </w:pPr>
      <w:r>
        <w:rPr>
          <w:rFonts w:ascii="Arial" w:cs="Arial" w:eastAsia="Arial" w:hAnsi="Arial"/>
          <w:sz w:val="18"/>
          <w:szCs w:val="18"/>
          <w:color w:val="auto"/>
        </w:rPr>
        <w:t>If Mr. Lansing’s employment is terminated by the Company without Cause or if he voluntarily resigns for Good Reason (both as defined below) prior to the expiration of the term of the Letter Agreement, Mr. Lansing will be entitled to the following severance pay and benefits pursuant to the Letter Agreement: (i) a cash payment in an amount equal to two times the sum of (a) his annual base salary in effect on the last day of his employment (but in no event less than $ 675,000), plus (b) the annual cash incentive payment last paid to him before the termination of his employment, such cash payment to be made in a lump sum on the 70th day following Mr. Lansing’s separation from service, and (ii) continuation of certain benefits pursuant to COBRA for 18 months. Mr. Lansing’s receipt of severance pay and benefits would be conditioned on his execution of a release of claims against the Company, his compliance with the terms of any agreements in effect between him and the Company, his cooperation in the transition of his duties, and his agreement not to disparage the Company.</w:t>
      </w:r>
    </w:p>
    <w:p>
      <w:pPr>
        <w:spacing w:after="0" w:line="75"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Mr. Lansing’s Letter Agreement also provides that the Company will reimburse him annually up to $25,000 related to financial planning and/or personal income tax preparation and accounting services.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Named Executive Officers</w:t>
      </w:r>
    </w:p>
    <w:p>
      <w:pPr>
        <w:spacing w:after="0" w:line="102"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For each full fiscal year of the Company during the term of each executive officer’s Letter Agreement, the executive officer will be eligible to receive a cash incentive award with a target equal to 50% of his or her annual base salary at the rate in effect at the end of such fiscal year, pursuant to the Company’s Executive Incentive Plan and the terms and conditions established by the LDCC from time to time.</w:t>
      </w:r>
    </w:p>
    <w:p>
      <w:pPr>
        <w:spacing w:after="0" w:line="61" w:lineRule="exact"/>
        <w:rPr>
          <w:sz w:val="20"/>
          <w:szCs w:val="20"/>
          <w:color w:val="auto"/>
        </w:rPr>
      </w:pPr>
    </w:p>
    <w:p>
      <w:pPr>
        <w:jc w:val="both"/>
        <w:ind w:left="120" w:firstLine="551"/>
        <w:spacing w:after="0" w:line="239" w:lineRule="auto"/>
        <w:rPr>
          <w:sz w:val="20"/>
          <w:szCs w:val="20"/>
          <w:color w:val="auto"/>
        </w:rPr>
      </w:pPr>
      <w:r>
        <w:rPr>
          <w:rFonts w:ascii="Arial" w:cs="Arial" w:eastAsia="Arial" w:hAnsi="Arial"/>
          <w:sz w:val="18"/>
          <w:szCs w:val="18"/>
          <w:color w:val="auto"/>
        </w:rPr>
        <w:t>If an executive officer’s employment is terminated by the Company without Cause or if he or she voluntarily resigns for Good Reason (both as defined below) prior to the expiration of the term of his or her Letter Agreement, such executive officer will be entitled to the following severance pay and benefits pursuant to the Letter Agreement: (1) a cash payment in an amount equal to one times the sum of (a) his or her annual base salary in effect on the last day of employment, plus (b) the annual cash incentive payment last paid to him or her before the termination of employment, such cash payment to be made in a lump sum on the 70th day following his or her separation from service (subject to certain exceptions), and (2) continuation of certain benefits pursuant to COBRA for 12 months. The executive officer’s receipt of severance pay and benefits would be conditioned on his or her release of claims against the Company, compliance with the terms of any agreements in effect between such executive officer and the Company, his or her cooperation in the transition of his or her duties, and his or her agreement not to disparage the Company.</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64</w:t>
      </w:r>
    </w:p>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Definitions</w:t>
      </w:r>
    </w:p>
    <w:p>
      <w:pPr>
        <w:spacing w:after="0" w:line="102" w:lineRule="exact"/>
        <w:rPr>
          <w:sz w:val="20"/>
          <w:szCs w:val="20"/>
          <w:color w:val="auto"/>
        </w:rPr>
      </w:pPr>
    </w:p>
    <w:p>
      <w:pPr>
        <w:jc w:val="both"/>
        <w:ind w:left="120" w:right="20" w:firstLine="551"/>
        <w:spacing w:after="0" w:line="244" w:lineRule="auto"/>
        <w:rPr>
          <w:sz w:val="20"/>
          <w:szCs w:val="20"/>
          <w:color w:val="auto"/>
        </w:rPr>
      </w:pPr>
      <w:r>
        <w:rPr>
          <w:rFonts w:ascii="Arial" w:cs="Arial" w:eastAsia="Arial" w:hAnsi="Arial"/>
          <w:sz w:val="18"/>
          <w:szCs w:val="18"/>
          <w:color w:val="auto"/>
        </w:rPr>
        <w:t>In all of the Letter Agreements, “Cause” generally means a good faith determination by the Company of one or more of the following: (i) commission by the executive officer of a felony, (ii) an intentional act of fraud or material dishonesty connected with the executive officer’s employment with the Company or otherwise likely to cause the Company material harm, (iii) the executive officer’s willful failure or refusal to perform in all material respects his or her duties, or (iv) a material breach by the executive officer of the Company’s policies or codes of conduct or of another written agreement between the Company and the executive officer.</w:t>
      </w:r>
    </w:p>
    <w:p>
      <w:pPr>
        <w:spacing w:after="0" w:line="68" w:lineRule="exact"/>
        <w:rPr>
          <w:sz w:val="20"/>
          <w:szCs w:val="20"/>
          <w:color w:val="auto"/>
        </w:rPr>
      </w:pPr>
    </w:p>
    <w:p>
      <w:pPr>
        <w:jc w:val="both"/>
        <w:ind w:left="120" w:firstLine="551"/>
        <w:spacing w:after="0" w:line="244" w:lineRule="auto"/>
        <w:rPr>
          <w:sz w:val="20"/>
          <w:szCs w:val="20"/>
          <w:color w:val="auto"/>
        </w:rPr>
      </w:pPr>
      <w:r>
        <w:rPr>
          <w:rFonts w:ascii="Arial" w:cs="Arial" w:eastAsia="Arial" w:hAnsi="Arial"/>
          <w:sz w:val="18"/>
          <w:szCs w:val="18"/>
          <w:color w:val="auto"/>
        </w:rPr>
        <w:t>In Mr. Lansing’s Letter Agreement, “Good Reason” generally means that one of the following conditions occurs without his consent and the Company does not cure the condition after receiving notice of it: (i) a material diminution in Mr. Lansing’s status or position as Chief Executive Officer, (ii) a requirement that Mr. Lansing relocate to an office located more than 50 miles away from his current office location, (iii) a material breach by the Company of the terms of the Letter Agreement, or (iv) a failure by the Company to obtain agreement from any successor to assume the Letter Agreement.</w:t>
      </w:r>
    </w:p>
    <w:p>
      <w:pPr>
        <w:spacing w:after="0" w:line="68" w:lineRule="exact"/>
        <w:rPr>
          <w:sz w:val="20"/>
          <w:szCs w:val="20"/>
          <w:color w:val="auto"/>
        </w:rPr>
      </w:pPr>
    </w:p>
    <w:p>
      <w:pPr>
        <w:jc w:val="both"/>
        <w:ind w:left="120" w:right="20" w:firstLine="551"/>
        <w:spacing w:after="0" w:line="242" w:lineRule="auto"/>
        <w:rPr>
          <w:sz w:val="20"/>
          <w:szCs w:val="20"/>
          <w:color w:val="auto"/>
        </w:rPr>
      </w:pPr>
      <w:r>
        <w:rPr>
          <w:rFonts w:ascii="Arial" w:cs="Arial" w:eastAsia="Arial" w:hAnsi="Arial"/>
          <w:sz w:val="18"/>
          <w:szCs w:val="18"/>
          <w:color w:val="auto"/>
        </w:rPr>
        <w:t>In the other named executive officers’ Letter Agreements, “Good Reason” generally means that one of the following conditions occurs without the executive officer’s consent and the Company does not cure the condition after receiving notice of it: (i) a material reduction in the executive officer’s base salary, (ii) a material reduction in the executive officer’s annual cash incentive target expressed as a percentage of base salary, (iii) a requirement that the executive officer relocate to an office located more than 50 miles away from his or her current office location, (iv) a material breach by the Company of the terms of the Letter Agreement, or (v) a failure by the Company to obtain agreement from any successor to assume the Letter Agreement.</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65</w:t>
      </w:r>
    </w:p>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FISCAL 2025 YEAR END</w:t>
      </w:r>
    </w:p>
    <w:p>
      <w:pPr>
        <w:spacing w:after="0" w:line="212"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The following table sets forth certain information with respect to outstanding equity awards held by our named executive officers at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300" w:type="dxa"/>
            <w:vAlign w:val="bottom"/>
            <w:gridSpan w:val="2"/>
            <w:vMerge w:val="restart"/>
          </w:tcPr>
          <w:p>
            <w:pPr>
              <w:ind w:left="620"/>
              <w:spacing w:after="0"/>
              <w:rPr>
                <w:sz w:val="20"/>
                <w:szCs w:val="20"/>
                <w:color w:val="auto"/>
              </w:rPr>
            </w:pPr>
            <w:r>
              <w:rPr>
                <w:rFonts w:ascii="Arial" w:cs="Arial" w:eastAsia="Arial" w:hAnsi="Arial"/>
                <w:sz w:val="13"/>
                <w:szCs w:val="13"/>
                <w:color w:val="376DB5"/>
              </w:rPr>
              <w:t>Option Awards</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Borders>
              <w:bottom w:val="single" w:sz="8" w:color="376DB5"/>
            </w:tcBorders>
          </w:tcPr>
          <w:p>
            <w:pPr>
              <w:spacing w:after="0"/>
              <w:rPr>
                <w:sz w:val="15"/>
                <w:szCs w:val="15"/>
                <w:color w:val="auto"/>
              </w:rPr>
            </w:pPr>
          </w:p>
        </w:tc>
        <w:tc>
          <w:tcPr>
            <w:tcW w:w="800" w:type="dxa"/>
            <w:vAlign w:val="bottom"/>
            <w:tcBorders>
              <w:bottom w:val="single" w:sz="8" w:color="376DB5"/>
            </w:tcBorders>
          </w:tcPr>
          <w:p>
            <w:pPr>
              <w:spacing w:after="0"/>
              <w:rPr>
                <w:sz w:val="15"/>
                <w:szCs w:val="15"/>
                <w:color w:val="auto"/>
              </w:rPr>
            </w:pPr>
          </w:p>
        </w:tc>
        <w:tc>
          <w:tcPr>
            <w:tcW w:w="640" w:type="dxa"/>
            <w:vAlign w:val="bottom"/>
            <w:tcBorders>
              <w:bottom w:val="single" w:sz="8" w:color="376DB5"/>
            </w:tcBorders>
          </w:tcPr>
          <w:p>
            <w:pPr>
              <w:spacing w:after="0"/>
              <w:rPr>
                <w:sz w:val="15"/>
                <w:szCs w:val="15"/>
                <w:color w:val="auto"/>
              </w:rPr>
            </w:pPr>
          </w:p>
        </w:tc>
        <w:tc>
          <w:tcPr>
            <w:tcW w:w="880" w:type="dxa"/>
            <w:vAlign w:val="bottom"/>
            <w:tcBorders>
              <w:bottom w:val="single" w:sz="8" w:color="376DB5"/>
            </w:tcBorders>
          </w:tcPr>
          <w:p>
            <w:pPr>
              <w:jc w:val="center"/>
              <w:spacing w:after="0"/>
              <w:rPr>
                <w:sz w:val="20"/>
                <w:szCs w:val="20"/>
                <w:color w:val="auto"/>
              </w:rPr>
            </w:pPr>
            <w:r>
              <w:rPr>
                <w:rFonts w:ascii="Arial" w:cs="Arial" w:eastAsia="Arial" w:hAnsi="Arial"/>
                <w:sz w:val="13"/>
                <w:szCs w:val="13"/>
                <w:color w:val="376DB5"/>
                <w:w w:val="95"/>
              </w:rPr>
              <w:t>Stock Awards</w:t>
            </w:r>
          </w:p>
        </w:tc>
        <w:tc>
          <w:tcPr>
            <w:tcW w:w="720" w:type="dxa"/>
            <w:vAlign w:val="bottom"/>
            <w:tcBorders>
              <w:bottom w:val="single" w:sz="8" w:color="376DB5"/>
            </w:tcBorders>
          </w:tcPr>
          <w:p>
            <w:pPr>
              <w:spacing w:after="0"/>
              <w:rPr>
                <w:sz w:val="15"/>
                <w:szCs w:val="15"/>
                <w:color w:val="auto"/>
              </w:rPr>
            </w:pPr>
          </w:p>
        </w:tc>
        <w:tc>
          <w:tcPr>
            <w:tcW w:w="760" w:type="dxa"/>
            <w:vAlign w:val="bottom"/>
            <w:tcBorders>
              <w:bottom w:val="single" w:sz="8" w:color="376DB5"/>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376DB5"/>
                <w:w w:val="99"/>
              </w:rPr>
              <w:t>Equity</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376DB5"/>
                <w:w w:val="93"/>
              </w:rPr>
              <w:t>Equity</w:t>
            </w:r>
          </w:p>
        </w:tc>
        <w:tc>
          <w:tcPr>
            <w:tcW w:w="0" w:type="dxa"/>
            <w:vAlign w:val="bottom"/>
          </w:tcPr>
          <w:p>
            <w:pPr>
              <w:spacing w:after="0"/>
              <w:rPr>
                <w:sz w:val="1"/>
                <w:szCs w:val="1"/>
                <w:color w:val="auto"/>
              </w:rPr>
            </w:pPr>
          </w:p>
        </w:tc>
      </w:tr>
      <w:tr>
        <w:trPr>
          <w:trHeight w:val="35"/>
        </w:trPr>
        <w:tc>
          <w:tcPr>
            <w:tcW w:w="1220" w:type="dxa"/>
            <w:vAlign w:val="bottom"/>
          </w:tcPr>
          <w:p>
            <w:pPr>
              <w:spacing w:after="0"/>
              <w:rPr>
                <w:sz w:val="3"/>
                <w:szCs w:val="3"/>
                <w:color w:val="auto"/>
              </w:rPr>
            </w:pPr>
          </w:p>
        </w:tc>
        <w:tc>
          <w:tcPr>
            <w:tcW w:w="780" w:type="dxa"/>
            <w:vAlign w:val="bottom"/>
            <w:tcBorders>
              <w:bottom w:val="single" w:sz="8" w:color="376DB5"/>
            </w:tcBorders>
          </w:tcPr>
          <w:p>
            <w:pPr>
              <w:spacing w:after="0"/>
              <w:rPr>
                <w:sz w:val="3"/>
                <w:szCs w:val="3"/>
                <w:color w:val="auto"/>
              </w:rPr>
            </w:pPr>
          </w:p>
        </w:tc>
        <w:tc>
          <w:tcPr>
            <w:tcW w:w="120" w:type="dxa"/>
            <w:vAlign w:val="bottom"/>
            <w:tcBorders>
              <w:bottom w:val="single" w:sz="8" w:color="376DB5"/>
            </w:tcBorders>
          </w:tcPr>
          <w:p>
            <w:pPr>
              <w:spacing w:after="0"/>
              <w:rPr>
                <w:sz w:val="3"/>
                <w:szCs w:val="3"/>
                <w:color w:val="auto"/>
              </w:rPr>
            </w:pPr>
          </w:p>
        </w:tc>
        <w:tc>
          <w:tcPr>
            <w:tcW w:w="1060" w:type="dxa"/>
            <w:vAlign w:val="bottom"/>
            <w:tcBorders>
              <w:bottom w:val="single" w:sz="8" w:color="376DB5"/>
            </w:tcBorders>
          </w:tcPr>
          <w:p>
            <w:pPr>
              <w:spacing w:after="0"/>
              <w:rPr>
                <w:sz w:val="3"/>
                <w:szCs w:val="3"/>
                <w:color w:val="auto"/>
              </w:rPr>
            </w:pPr>
          </w:p>
        </w:tc>
        <w:tc>
          <w:tcPr>
            <w:tcW w:w="1220" w:type="dxa"/>
            <w:vAlign w:val="bottom"/>
            <w:tcBorders>
              <w:bottom w:val="single" w:sz="8" w:color="376DB5"/>
            </w:tcBorders>
          </w:tcPr>
          <w:p>
            <w:pPr>
              <w:spacing w:after="0"/>
              <w:rPr>
                <w:sz w:val="3"/>
                <w:szCs w:val="3"/>
                <w:color w:val="auto"/>
              </w:rPr>
            </w:pPr>
          </w:p>
        </w:tc>
        <w:tc>
          <w:tcPr>
            <w:tcW w:w="1080" w:type="dxa"/>
            <w:vAlign w:val="bottom"/>
            <w:tcBorders>
              <w:bottom w:val="single" w:sz="8" w:color="376DB5"/>
            </w:tcBorders>
          </w:tcPr>
          <w:p>
            <w:pPr>
              <w:spacing w:after="0"/>
              <w:rPr>
                <w:sz w:val="3"/>
                <w:szCs w:val="3"/>
                <w:color w:val="auto"/>
              </w:rPr>
            </w:pPr>
          </w:p>
        </w:tc>
        <w:tc>
          <w:tcPr>
            <w:tcW w:w="860" w:type="dxa"/>
            <w:vAlign w:val="bottom"/>
            <w:tcBorders>
              <w:bottom w:val="single" w:sz="8" w:color="376DB5"/>
            </w:tcBorders>
          </w:tcPr>
          <w:p>
            <w:pPr>
              <w:spacing w:after="0"/>
              <w:rPr>
                <w:sz w:val="3"/>
                <w:szCs w:val="3"/>
                <w:color w:val="auto"/>
              </w:rPr>
            </w:pPr>
          </w:p>
        </w:tc>
        <w:tc>
          <w:tcPr>
            <w:tcW w:w="820" w:type="dxa"/>
            <w:vAlign w:val="bottom"/>
            <w:tcBorders>
              <w:bottom w:val="single" w:sz="8" w:color="376DB5"/>
            </w:tcBorders>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376DB5"/>
                <w:w w:val="99"/>
              </w:rPr>
              <w:t>Incentive</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376DB5"/>
                <w:w w:val="96"/>
              </w:rPr>
              <w:t>Incentive</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376DB5"/>
                <w:w w:val="92"/>
              </w:rPr>
              <w:t>Plan</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376DB5"/>
                <w:w w:val="99"/>
              </w:rPr>
              <w:t>Plan</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376DB5"/>
                <w:w w:val="93"/>
              </w:rPr>
              <w:t>Awards: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376DB5"/>
                <w:w w:val="97"/>
              </w:rPr>
              <w:t>Awards:</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376DB5"/>
                <w:w w:val="95"/>
              </w:rPr>
              <w:t>Number</w:t>
            </w:r>
          </w:p>
        </w:tc>
        <w:tc>
          <w:tcPr>
            <w:tcW w:w="8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376DB5"/>
                <w:w w:val="98"/>
              </w:rPr>
              <w:t>Number of</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376DB5"/>
                <w:w w:val="98"/>
              </w:rPr>
              <w:t>Market or</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376DB5"/>
                <w:w w:val="99"/>
              </w:rPr>
              <w:t>Equity</w:t>
            </w: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376DB5"/>
              </w:rPr>
              <w:t>of</w:t>
            </w:r>
          </w:p>
        </w:tc>
        <w:tc>
          <w:tcPr>
            <w:tcW w:w="8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376DB5"/>
                <w:w w:val="98"/>
              </w:rPr>
              <w:t>Unearned</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376DB5"/>
                <w:w w:val="98"/>
              </w:rPr>
              <w:t>Payout</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376DB5"/>
                <w:w w:val="96"/>
              </w:rPr>
              <w:t>Incentive</w:t>
            </w: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376DB5"/>
                <w:w w:val="97"/>
              </w:rPr>
              <w:t>Shares</w:t>
            </w:r>
          </w:p>
        </w:tc>
        <w:tc>
          <w:tcPr>
            <w:tcW w:w="8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376DB5"/>
                <w:w w:val="98"/>
              </w:rPr>
              <w:t>Shares,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376DB5"/>
                <w:w w:val="96"/>
              </w:rPr>
              <w:t>Value of</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376DB5"/>
                <w:w w:val="96"/>
              </w:rPr>
              <w:t>Plan Awards:</w:t>
            </w: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376DB5"/>
              </w:rPr>
              <w:t>or</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376DB5"/>
              </w:rPr>
              <w:t>Market</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376DB5"/>
                <w:w w:val="98"/>
              </w:rPr>
              <w:t>Units or</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376DB5"/>
                <w:w w:val="98"/>
              </w:rPr>
              <w:t>Unearned</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7"/>
              <w:spacing w:after="0" w:line="135" w:lineRule="exact"/>
              <w:rPr>
                <w:sz w:val="20"/>
                <w:szCs w:val="20"/>
                <w:color w:val="auto"/>
              </w:rPr>
            </w:pPr>
            <w:r>
              <w:rPr>
                <w:rFonts w:ascii="Arial" w:cs="Arial" w:eastAsia="Arial" w:hAnsi="Arial"/>
                <w:sz w:val="13"/>
                <w:szCs w:val="13"/>
                <w:color w:val="376DB5"/>
                <w:w w:val="95"/>
              </w:rPr>
              <w:t>Number of</w:t>
            </w:r>
          </w:p>
        </w:tc>
        <w:tc>
          <w:tcPr>
            <w:tcW w:w="1220" w:type="dxa"/>
            <w:vAlign w:val="bottom"/>
          </w:tcPr>
          <w:p>
            <w:pPr>
              <w:jc w:val="center"/>
              <w:spacing w:after="0" w:line="135" w:lineRule="exact"/>
              <w:rPr>
                <w:sz w:val="20"/>
                <w:szCs w:val="20"/>
                <w:color w:val="auto"/>
              </w:rPr>
            </w:pPr>
            <w:r>
              <w:rPr>
                <w:rFonts w:ascii="Arial" w:cs="Arial" w:eastAsia="Arial" w:hAnsi="Arial"/>
                <w:sz w:val="13"/>
                <w:szCs w:val="13"/>
                <w:color w:val="376DB5"/>
                <w:w w:val="98"/>
              </w:rPr>
              <w:t>Number of</w:t>
            </w: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376DB5"/>
                <w:w w:val="98"/>
              </w:rPr>
              <w:t>Number of</w:t>
            </w: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376DB5"/>
                <w:w w:val="94"/>
              </w:rPr>
              <w:t>Units</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376DB5"/>
                <w:w w:val="92"/>
              </w:rPr>
              <w:t>Value of</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376DB5"/>
                <w:w w:val="98"/>
              </w:rPr>
              <w:t>Other</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376DB5"/>
                <w:w w:val="98"/>
              </w:rPr>
              <w:t>Shares,</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37"/>
              <w:spacing w:after="0" w:line="135" w:lineRule="exact"/>
              <w:rPr>
                <w:sz w:val="20"/>
                <w:szCs w:val="20"/>
                <w:color w:val="auto"/>
              </w:rPr>
            </w:pPr>
            <w:r>
              <w:rPr>
                <w:rFonts w:ascii="Arial" w:cs="Arial" w:eastAsia="Arial" w:hAnsi="Arial"/>
                <w:sz w:val="13"/>
                <w:szCs w:val="13"/>
                <w:color w:val="376DB5"/>
                <w:w w:val="98"/>
              </w:rPr>
              <w:t>Securities</w:t>
            </w:r>
          </w:p>
        </w:tc>
        <w:tc>
          <w:tcPr>
            <w:tcW w:w="1220" w:type="dxa"/>
            <w:vAlign w:val="bottom"/>
          </w:tcPr>
          <w:p>
            <w:pPr>
              <w:jc w:val="center"/>
              <w:spacing w:after="0" w:line="135" w:lineRule="exact"/>
              <w:rPr>
                <w:sz w:val="20"/>
                <w:szCs w:val="20"/>
                <w:color w:val="auto"/>
              </w:rPr>
            </w:pPr>
            <w:r>
              <w:rPr>
                <w:rFonts w:ascii="Arial" w:cs="Arial" w:eastAsia="Arial" w:hAnsi="Arial"/>
                <w:sz w:val="13"/>
                <w:szCs w:val="13"/>
                <w:color w:val="376DB5"/>
                <w:w w:val="98"/>
              </w:rPr>
              <w:t>Securities</w:t>
            </w: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376DB5"/>
                <w:w w:val="98"/>
              </w:rPr>
              <w:t>Securities</w:t>
            </w: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376DB5"/>
                <w:w w:val="93"/>
              </w:rPr>
              <w:t>of Stock</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376DB5"/>
                <w:w w:val="99"/>
              </w:rPr>
              <w:t>Shares or</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376DB5"/>
                <w:w w:val="97"/>
              </w:rPr>
              <w:t>Rights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376DB5"/>
                <w:w w:val="98"/>
              </w:rPr>
              <w:t>Units or</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37"/>
              <w:spacing w:after="0" w:line="135" w:lineRule="exact"/>
              <w:rPr>
                <w:sz w:val="20"/>
                <w:szCs w:val="20"/>
                <w:color w:val="auto"/>
              </w:rPr>
            </w:pPr>
            <w:r>
              <w:rPr>
                <w:rFonts w:ascii="Arial" w:cs="Arial" w:eastAsia="Arial" w:hAnsi="Arial"/>
                <w:sz w:val="13"/>
                <w:szCs w:val="13"/>
                <w:color w:val="376DB5"/>
                <w:w w:val="96"/>
              </w:rPr>
              <w:t>Underlying</w:t>
            </w:r>
          </w:p>
        </w:tc>
        <w:tc>
          <w:tcPr>
            <w:tcW w:w="1220" w:type="dxa"/>
            <w:vAlign w:val="bottom"/>
          </w:tcPr>
          <w:p>
            <w:pPr>
              <w:jc w:val="center"/>
              <w:spacing w:after="0" w:line="135" w:lineRule="exact"/>
              <w:rPr>
                <w:sz w:val="20"/>
                <w:szCs w:val="20"/>
                <w:color w:val="auto"/>
              </w:rPr>
            </w:pPr>
            <w:r>
              <w:rPr>
                <w:rFonts w:ascii="Arial" w:cs="Arial" w:eastAsia="Arial" w:hAnsi="Arial"/>
                <w:sz w:val="13"/>
                <w:szCs w:val="13"/>
                <w:color w:val="376DB5"/>
                <w:w w:val="96"/>
              </w:rPr>
              <w:t>Underlying</w:t>
            </w: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376DB5"/>
                <w:w w:val="96"/>
              </w:rPr>
              <w:t>Underlying</w:t>
            </w: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376DB5"/>
                <w:w w:val="92"/>
              </w:rPr>
              <w:t>That</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376DB5"/>
                <w:w w:val="99"/>
              </w:rPr>
              <w:t>Units of</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376DB5"/>
                <w:w w:val="92"/>
              </w:rPr>
              <w:t>That</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376DB5"/>
                <w:w w:val="98"/>
              </w:rPr>
              <w:t>Other</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7"/>
              <w:spacing w:after="0" w:line="135" w:lineRule="exact"/>
              <w:rPr>
                <w:sz w:val="20"/>
                <w:szCs w:val="20"/>
                <w:color w:val="auto"/>
              </w:rPr>
            </w:pPr>
            <w:r>
              <w:rPr>
                <w:rFonts w:ascii="Arial" w:cs="Arial" w:eastAsia="Arial" w:hAnsi="Arial"/>
                <w:sz w:val="13"/>
                <w:szCs w:val="13"/>
                <w:color w:val="376DB5"/>
                <w:w w:val="96"/>
              </w:rPr>
              <w:t>Unexercised</w:t>
            </w:r>
          </w:p>
        </w:tc>
        <w:tc>
          <w:tcPr>
            <w:tcW w:w="1220" w:type="dxa"/>
            <w:vAlign w:val="bottom"/>
          </w:tcPr>
          <w:p>
            <w:pPr>
              <w:jc w:val="center"/>
              <w:spacing w:after="0" w:line="135" w:lineRule="exact"/>
              <w:rPr>
                <w:sz w:val="20"/>
                <w:szCs w:val="20"/>
                <w:color w:val="auto"/>
              </w:rPr>
            </w:pPr>
            <w:r>
              <w:rPr>
                <w:rFonts w:ascii="Arial" w:cs="Arial" w:eastAsia="Arial" w:hAnsi="Arial"/>
                <w:sz w:val="13"/>
                <w:szCs w:val="13"/>
                <w:color w:val="376DB5"/>
                <w:w w:val="96"/>
              </w:rPr>
              <w:t>Unexercised</w:t>
            </w: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376DB5"/>
                <w:w w:val="96"/>
              </w:rPr>
              <w:t>Unexercised</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376DB5"/>
                <w:w w:val="99"/>
              </w:rPr>
              <w:t>Option</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376DB5"/>
                <w:w w:val="92"/>
              </w:rPr>
              <w:t>Have</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376DB5"/>
                <w:w w:val="96"/>
              </w:rPr>
              <w:t>Stock That</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376DB5"/>
                <w:w w:val="92"/>
              </w:rPr>
              <w:t>Have</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376DB5"/>
                <w:w w:val="96"/>
              </w:rPr>
              <w:t>Rights That</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37"/>
              <w:spacing w:after="0" w:line="135" w:lineRule="exact"/>
              <w:rPr>
                <w:sz w:val="20"/>
                <w:szCs w:val="20"/>
                <w:color w:val="auto"/>
              </w:rPr>
            </w:pPr>
            <w:r>
              <w:rPr>
                <w:rFonts w:ascii="Arial" w:cs="Arial" w:eastAsia="Arial" w:hAnsi="Arial"/>
                <w:sz w:val="13"/>
                <w:szCs w:val="13"/>
                <w:color w:val="376DB5"/>
                <w:w w:val="98"/>
              </w:rPr>
              <w:t>Options</w:t>
            </w:r>
          </w:p>
        </w:tc>
        <w:tc>
          <w:tcPr>
            <w:tcW w:w="1220" w:type="dxa"/>
            <w:vAlign w:val="bottom"/>
          </w:tcPr>
          <w:p>
            <w:pPr>
              <w:jc w:val="center"/>
              <w:spacing w:after="0" w:line="135" w:lineRule="exact"/>
              <w:rPr>
                <w:sz w:val="20"/>
                <w:szCs w:val="20"/>
                <w:color w:val="auto"/>
              </w:rPr>
            </w:pPr>
            <w:r>
              <w:rPr>
                <w:rFonts w:ascii="Arial" w:cs="Arial" w:eastAsia="Arial" w:hAnsi="Arial"/>
                <w:sz w:val="13"/>
                <w:szCs w:val="13"/>
                <w:color w:val="376DB5"/>
                <w:w w:val="98"/>
              </w:rPr>
              <w:t>Options</w:t>
            </w: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376DB5"/>
                <w:w w:val="98"/>
              </w:rPr>
              <w:t>Unearned</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376DB5"/>
              </w:rPr>
              <w:t>Exercise</w:t>
            </w: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color w:val="376DB5"/>
                <w:w w:val="99"/>
              </w:rPr>
              <w:t>Option</w:t>
            </w:r>
          </w:p>
        </w:tc>
        <w:tc>
          <w:tcPr>
            <w:tcW w:w="8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376DB5"/>
                <w:w w:val="98"/>
              </w:rPr>
              <w:t>Not</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376DB5"/>
                <w:w w:val="95"/>
              </w:rPr>
              <w:t>Have Not</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376DB5"/>
                <w:w w:val="98"/>
              </w:rPr>
              <w:t>Not</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376DB5"/>
                <w:w w:val="95"/>
              </w:rPr>
              <w:t>Have Not</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900" w:type="dxa"/>
            <w:vAlign w:val="bottom"/>
            <w:gridSpan w:val="2"/>
          </w:tcPr>
          <w:p>
            <w:pPr>
              <w:ind w:left="260"/>
              <w:spacing w:after="0" w:line="135" w:lineRule="exact"/>
              <w:rPr>
                <w:sz w:val="20"/>
                <w:szCs w:val="20"/>
                <w:color w:val="auto"/>
              </w:rPr>
            </w:pPr>
            <w:r>
              <w:rPr>
                <w:rFonts w:ascii="Arial" w:cs="Arial" w:eastAsia="Arial" w:hAnsi="Arial"/>
                <w:sz w:val="13"/>
                <w:szCs w:val="13"/>
                <w:color w:val="376DB5"/>
              </w:rPr>
              <w:t>Grant</w:t>
            </w:r>
          </w:p>
        </w:tc>
        <w:tc>
          <w:tcPr>
            <w:tcW w:w="1060" w:type="dxa"/>
            <w:vAlign w:val="bottom"/>
          </w:tcPr>
          <w:p>
            <w:pPr>
              <w:jc w:val="center"/>
              <w:ind w:right="37"/>
              <w:spacing w:after="0" w:line="135" w:lineRule="exact"/>
              <w:rPr>
                <w:sz w:val="20"/>
                <w:szCs w:val="20"/>
                <w:color w:val="auto"/>
              </w:rPr>
            </w:pPr>
            <w:r>
              <w:rPr>
                <w:rFonts w:ascii="Arial" w:cs="Arial" w:eastAsia="Arial" w:hAnsi="Arial"/>
                <w:sz w:val="13"/>
                <w:szCs w:val="13"/>
                <w:color w:val="376DB5"/>
              </w:rPr>
              <w:t>(#)</w:t>
            </w:r>
          </w:p>
        </w:tc>
        <w:tc>
          <w:tcPr>
            <w:tcW w:w="1220" w:type="dxa"/>
            <w:vAlign w:val="bottom"/>
          </w:tcPr>
          <w:p>
            <w:pPr>
              <w:jc w:val="center"/>
              <w:spacing w:after="0" w:line="135" w:lineRule="exact"/>
              <w:rPr>
                <w:sz w:val="20"/>
                <w:szCs w:val="20"/>
                <w:color w:val="auto"/>
              </w:rPr>
            </w:pPr>
            <w:r>
              <w:rPr>
                <w:rFonts w:ascii="Arial" w:cs="Arial" w:eastAsia="Arial" w:hAnsi="Arial"/>
                <w:sz w:val="13"/>
                <w:szCs w:val="13"/>
                <w:color w:val="376DB5"/>
              </w:rPr>
              <w:t>(#)</w:t>
            </w: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376DB5"/>
                <w:w w:val="98"/>
              </w:rPr>
              <w:t>Options</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376DB5"/>
              </w:rPr>
              <w:t>Price</w:t>
            </w: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color w:val="376DB5"/>
                <w:w w:val="96"/>
              </w:rPr>
              <w:t>Expiration</w:t>
            </w:r>
          </w:p>
        </w:tc>
        <w:tc>
          <w:tcPr>
            <w:tcW w:w="800" w:type="dxa"/>
            <w:vAlign w:val="bottom"/>
          </w:tcPr>
          <w:p>
            <w:pPr>
              <w:jc w:val="right"/>
              <w:ind w:right="217"/>
              <w:spacing w:after="0" w:line="135" w:lineRule="exact"/>
              <w:rPr>
                <w:sz w:val="20"/>
                <w:szCs w:val="20"/>
                <w:color w:val="auto"/>
              </w:rPr>
            </w:pPr>
            <w:r>
              <w:rPr>
                <w:rFonts w:ascii="Arial" w:cs="Arial" w:eastAsia="Arial" w:hAnsi="Arial"/>
                <w:sz w:val="13"/>
                <w:szCs w:val="13"/>
                <w:color w:val="376DB5"/>
              </w:rPr>
              <w:t>Grant</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376DB5"/>
                <w:w w:val="98"/>
              </w:rPr>
              <w:t>Vested</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376DB5"/>
                <w:w w:val="98"/>
              </w:rPr>
              <w:t>Vested</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376DB5"/>
                <w:w w:val="98"/>
              </w:rPr>
              <w:t>Vested</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376DB5"/>
                <w:w w:val="93"/>
              </w:rPr>
              <w:t>Vested</w:t>
            </w:r>
          </w:p>
        </w:tc>
        <w:tc>
          <w:tcPr>
            <w:tcW w:w="0" w:type="dxa"/>
            <w:vAlign w:val="bottom"/>
          </w:tcPr>
          <w:p>
            <w:pPr>
              <w:spacing w:after="0"/>
              <w:rPr>
                <w:sz w:val="1"/>
                <w:szCs w:val="1"/>
                <w:color w:val="auto"/>
              </w:rPr>
            </w:pPr>
          </w:p>
        </w:tc>
      </w:tr>
      <w:tr>
        <w:trPr>
          <w:trHeight w:val="175"/>
        </w:trPr>
        <w:tc>
          <w:tcPr>
            <w:tcW w:w="1220" w:type="dxa"/>
            <w:vAlign w:val="bottom"/>
            <w:tcBorders>
              <w:bottom w:val="single" w:sz="8" w:color="376DB5"/>
            </w:tcBorders>
          </w:tcPr>
          <w:p>
            <w:pPr>
              <w:spacing w:after="0"/>
              <w:rPr>
                <w:sz w:val="20"/>
                <w:szCs w:val="20"/>
                <w:color w:val="auto"/>
              </w:rPr>
            </w:pPr>
            <w:r>
              <w:rPr>
                <w:rFonts w:ascii="Arial" w:cs="Arial" w:eastAsia="Arial" w:hAnsi="Arial"/>
                <w:sz w:val="13"/>
                <w:szCs w:val="13"/>
                <w:color w:val="376DB5"/>
              </w:rPr>
              <w:t>Name</w:t>
            </w:r>
          </w:p>
        </w:tc>
        <w:tc>
          <w:tcPr>
            <w:tcW w:w="900" w:type="dxa"/>
            <w:vAlign w:val="bottom"/>
            <w:tcBorders>
              <w:bottom w:val="single" w:sz="8" w:color="376DB5"/>
            </w:tcBorders>
            <w:gridSpan w:val="2"/>
          </w:tcPr>
          <w:p>
            <w:pPr>
              <w:ind w:left="280"/>
              <w:spacing w:after="0"/>
              <w:rPr>
                <w:sz w:val="20"/>
                <w:szCs w:val="20"/>
                <w:color w:val="auto"/>
              </w:rPr>
            </w:pPr>
            <w:r>
              <w:rPr>
                <w:rFonts w:ascii="Arial" w:cs="Arial" w:eastAsia="Arial" w:hAnsi="Arial"/>
                <w:sz w:val="13"/>
                <w:szCs w:val="13"/>
                <w:color w:val="376DB5"/>
              </w:rPr>
              <w:t>Date</w:t>
            </w:r>
          </w:p>
        </w:tc>
        <w:tc>
          <w:tcPr>
            <w:tcW w:w="1060" w:type="dxa"/>
            <w:vAlign w:val="bottom"/>
            <w:tcBorders>
              <w:bottom w:val="single" w:sz="8" w:color="376DB5"/>
            </w:tcBorders>
          </w:tcPr>
          <w:p>
            <w:pPr>
              <w:jc w:val="center"/>
              <w:ind w:right="57"/>
              <w:spacing w:after="0"/>
              <w:rPr>
                <w:sz w:val="20"/>
                <w:szCs w:val="20"/>
                <w:color w:val="auto"/>
              </w:rPr>
            </w:pPr>
            <w:r>
              <w:rPr>
                <w:rFonts w:ascii="Arial" w:cs="Arial" w:eastAsia="Arial" w:hAnsi="Arial"/>
                <w:sz w:val="13"/>
                <w:szCs w:val="13"/>
                <w:color w:val="376DB5"/>
                <w:w w:val="98"/>
              </w:rPr>
              <w:t>Exercisable</w:t>
            </w:r>
          </w:p>
        </w:tc>
        <w:tc>
          <w:tcPr>
            <w:tcW w:w="1220" w:type="dxa"/>
            <w:vAlign w:val="bottom"/>
            <w:tcBorders>
              <w:bottom w:val="single" w:sz="8" w:color="376DB5"/>
            </w:tcBorders>
          </w:tcPr>
          <w:p>
            <w:pPr>
              <w:jc w:val="center"/>
              <w:spacing w:after="0"/>
              <w:rPr>
                <w:sz w:val="20"/>
                <w:szCs w:val="20"/>
                <w:color w:val="auto"/>
              </w:rPr>
            </w:pPr>
            <w:r>
              <w:rPr>
                <w:rFonts w:ascii="Arial" w:cs="Arial" w:eastAsia="Arial" w:hAnsi="Arial"/>
                <w:sz w:val="13"/>
                <w:szCs w:val="13"/>
                <w:color w:val="376DB5"/>
                <w:w w:val="97"/>
              </w:rPr>
              <w:t>Unexercisable</w:t>
            </w:r>
          </w:p>
        </w:tc>
        <w:tc>
          <w:tcPr>
            <w:tcW w:w="1080" w:type="dxa"/>
            <w:vAlign w:val="bottom"/>
            <w:tcBorders>
              <w:bottom w:val="single" w:sz="8" w:color="376DB5"/>
            </w:tcBorders>
          </w:tcPr>
          <w:p>
            <w:pPr>
              <w:jc w:val="center"/>
              <w:spacing w:after="0"/>
              <w:rPr>
                <w:sz w:val="20"/>
                <w:szCs w:val="20"/>
                <w:color w:val="auto"/>
              </w:rPr>
            </w:pPr>
            <w:r>
              <w:rPr>
                <w:rFonts w:ascii="Arial" w:cs="Arial" w:eastAsia="Arial" w:hAnsi="Arial"/>
                <w:sz w:val="13"/>
                <w:szCs w:val="13"/>
                <w:color w:val="376DB5"/>
              </w:rPr>
              <w:t>(#)</w:t>
            </w:r>
          </w:p>
        </w:tc>
        <w:tc>
          <w:tcPr>
            <w:tcW w:w="860" w:type="dxa"/>
            <w:vAlign w:val="bottom"/>
            <w:tcBorders>
              <w:bottom w:val="single" w:sz="8" w:color="376DB5"/>
            </w:tcBorders>
          </w:tcPr>
          <w:p>
            <w:pPr>
              <w:jc w:val="center"/>
              <w:spacing w:after="0"/>
              <w:rPr>
                <w:sz w:val="20"/>
                <w:szCs w:val="20"/>
                <w:color w:val="auto"/>
              </w:rPr>
            </w:pPr>
            <w:r>
              <w:rPr>
                <w:rFonts w:ascii="Arial" w:cs="Arial" w:eastAsia="Arial" w:hAnsi="Arial"/>
                <w:sz w:val="13"/>
                <w:szCs w:val="13"/>
                <w:color w:val="376DB5"/>
                <w:w w:val="87"/>
              </w:rPr>
              <w:t>($)</w:t>
            </w:r>
          </w:p>
        </w:tc>
        <w:tc>
          <w:tcPr>
            <w:tcW w:w="880" w:type="dxa"/>
            <w:vAlign w:val="bottom"/>
            <w:tcBorders>
              <w:bottom w:val="single" w:sz="8" w:color="376DB5"/>
            </w:tcBorders>
            <w:gridSpan w:val="2"/>
          </w:tcPr>
          <w:p>
            <w:pPr>
              <w:jc w:val="center"/>
              <w:spacing w:after="0"/>
              <w:rPr>
                <w:sz w:val="20"/>
                <w:szCs w:val="20"/>
                <w:color w:val="auto"/>
              </w:rPr>
            </w:pPr>
            <w:r>
              <w:rPr>
                <w:rFonts w:ascii="Arial" w:cs="Arial" w:eastAsia="Arial" w:hAnsi="Arial"/>
                <w:sz w:val="13"/>
                <w:szCs w:val="13"/>
                <w:color w:val="376DB5"/>
                <w:w w:val="94"/>
              </w:rPr>
              <w:t>Date</w:t>
            </w:r>
          </w:p>
        </w:tc>
        <w:tc>
          <w:tcPr>
            <w:tcW w:w="800" w:type="dxa"/>
            <w:vAlign w:val="bottom"/>
            <w:tcBorders>
              <w:bottom w:val="single" w:sz="8" w:color="376DB5"/>
            </w:tcBorders>
          </w:tcPr>
          <w:p>
            <w:pPr>
              <w:jc w:val="right"/>
              <w:ind w:right="257"/>
              <w:spacing w:after="0"/>
              <w:rPr>
                <w:sz w:val="20"/>
                <w:szCs w:val="20"/>
                <w:color w:val="auto"/>
              </w:rPr>
            </w:pPr>
            <w:r>
              <w:rPr>
                <w:rFonts w:ascii="Arial" w:cs="Arial" w:eastAsia="Arial" w:hAnsi="Arial"/>
                <w:sz w:val="13"/>
                <w:szCs w:val="13"/>
                <w:color w:val="376DB5"/>
              </w:rPr>
              <w:t>Date</w:t>
            </w:r>
          </w:p>
        </w:tc>
        <w:tc>
          <w:tcPr>
            <w:tcW w:w="640" w:type="dxa"/>
            <w:vAlign w:val="bottom"/>
            <w:tcBorders>
              <w:bottom w:val="single" w:sz="8" w:color="376DB5"/>
            </w:tcBorders>
          </w:tcPr>
          <w:p>
            <w:pPr>
              <w:jc w:val="center"/>
              <w:spacing w:after="0"/>
              <w:rPr>
                <w:sz w:val="20"/>
                <w:szCs w:val="20"/>
                <w:color w:val="auto"/>
              </w:rPr>
            </w:pPr>
            <w:r>
              <w:rPr>
                <w:rFonts w:ascii="Arial" w:cs="Arial" w:eastAsia="Arial" w:hAnsi="Arial"/>
                <w:sz w:val="13"/>
                <w:szCs w:val="13"/>
                <w:color w:val="376DB5"/>
              </w:rPr>
              <w:t>(#)</w:t>
            </w:r>
          </w:p>
        </w:tc>
        <w:tc>
          <w:tcPr>
            <w:tcW w:w="880" w:type="dxa"/>
            <w:vAlign w:val="bottom"/>
            <w:tcBorders>
              <w:bottom w:val="single" w:sz="8" w:color="376DB5"/>
            </w:tcBorders>
          </w:tcPr>
          <w:p>
            <w:pPr>
              <w:jc w:val="center"/>
              <w:spacing w:after="0" w:line="176" w:lineRule="exact"/>
              <w:rPr>
                <w:sz w:val="20"/>
                <w:szCs w:val="20"/>
                <w:color w:val="auto"/>
              </w:rPr>
            </w:pPr>
            <w:r>
              <w:rPr>
                <w:rFonts w:ascii="Arial" w:cs="Arial" w:eastAsia="Arial" w:hAnsi="Arial"/>
                <w:sz w:val="13"/>
                <w:szCs w:val="13"/>
                <w:color w:val="376DB5"/>
                <w:w w:val="91"/>
              </w:rPr>
              <w:t>($)</w:t>
            </w:r>
            <w:r>
              <w:rPr>
                <w:rFonts w:ascii="Arial" w:cs="Arial" w:eastAsia="Arial" w:hAnsi="Arial"/>
                <w:sz w:val="18"/>
                <w:szCs w:val="18"/>
                <w:color w:val="376DB5"/>
                <w:w w:val="91"/>
                <w:vertAlign w:val="superscript"/>
              </w:rPr>
              <w:t>(1)</w:t>
            </w:r>
          </w:p>
        </w:tc>
        <w:tc>
          <w:tcPr>
            <w:tcW w:w="720" w:type="dxa"/>
            <w:vAlign w:val="bottom"/>
            <w:tcBorders>
              <w:bottom w:val="single" w:sz="8" w:color="376DB5"/>
            </w:tcBorders>
          </w:tcPr>
          <w:p>
            <w:pPr>
              <w:jc w:val="center"/>
              <w:spacing w:after="0"/>
              <w:rPr>
                <w:sz w:val="20"/>
                <w:szCs w:val="20"/>
                <w:color w:val="auto"/>
              </w:rPr>
            </w:pPr>
            <w:r>
              <w:rPr>
                <w:rFonts w:ascii="Arial" w:cs="Arial" w:eastAsia="Arial" w:hAnsi="Arial"/>
                <w:sz w:val="13"/>
                <w:szCs w:val="13"/>
                <w:color w:val="376DB5"/>
              </w:rPr>
              <w:t>(#)</w:t>
            </w:r>
          </w:p>
        </w:tc>
        <w:tc>
          <w:tcPr>
            <w:tcW w:w="760" w:type="dxa"/>
            <w:vAlign w:val="bottom"/>
            <w:tcBorders>
              <w:bottom w:val="single" w:sz="8" w:color="376DB5"/>
            </w:tcBorders>
          </w:tcPr>
          <w:p>
            <w:pPr>
              <w:jc w:val="center"/>
              <w:spacing w:after="0" w:line="176" w:lineRule="exact"/>
              <w:rPr>
                <w:sz w:val="20"/>
                <w:szCs w:val="20"/>
                <w:color w:val="auto"/>
              </w:rPr>
            </w:pPr>
            <w:r>
              <w:rPr>
                <w:rFonts w:ascii="Arial" w:cs="Arial" w:eastAsia="Arial" w:hAnsi="Arial"/>
                <w:sz w:val="13"/>
                <w:szCs w:val="13"/>
                <w:color w:val="376DB5"/>
                <w:w w:val="84"/>
              </w:rPr>
              <w:t>($)</w:t>
            </w:r>
            <w:r>
              <w:rPr>
                <w:rFonts w:ascii="Arial" w:cs="Arial" w:eastAsia="Arial" w:hAnsi="Arial"/>
                <w:sz w:val="18"/>
                <w:szCs w:val="18"/>
                <w:color w:val="376DB5"/>
                <w:w w:val="84"/>
                <w:vertAlign w:val="superscript"/>
              </w:rPr>
              <w:t>(1)</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20"/>
                <w:szCs w:val="20"/>
                <w:color w:val="auto"/>
              </w:rPr>
            </w:pPr>
            <w:r>
              <w:rPr>
                <w:rFonts w:ascii="Arial" w:cs="Arial" w:eastAsia="Arial" w:hAnsi="Arial"/>
                <w:sz w:val="13"/>
                <w:szCs w:val="13"/>
                <w:color w:val="auto"/>
              </w:rPr>
              <w:t>William Lansing</w:t>
            </w: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12/10/2018</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6,011</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185.05</w:t>
            </w:r>
          </w:p>
        </w:tc>
        <w:tc>
          <w:tcPr>
            <w:tcW w:w="880" w:type="dxa"/>
            <w:vAlign w:val="bottom"/>
            <w:gridSpan w:val="2"/>
          </w:tcPr>
          <w:p>
            <w:pPr>
              <w:jc w:val="center"/>
              <w:ind w:left="57"/>
              <w:spacing w:after="0"/>
              <w:rPr>
                <w:sz w:val="20"/>
                <w:szCs w:val="20"/>
                <w:color w:val="auto"/>
              </w:rPr>
            </w:pPr>
            <w:r>
              <w:rPr>
                <w:rFonts w:ascii="Arial" w:cs="Arial" w:eastAsia="Arial" w:hAnsi="Arial"/>
                <w:sz w:val="13"/>
                <w:szCs w:val="13"/>
                <w:color w:val="auto"/>
                <w:w w:val="98"/>
              </w:rPr>
              <w:t>12/09/2025</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12/10/2018</w:t>
            </w:r>
          </w:p>
        </w:tc>
        <w:tc>
          <w:tcPr>
            <w:tcW w:w="64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12/10/2019</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9,782</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354.18</w:t>
            </w:r>
          </w:p>
        </w:tc>
        <w:tc>
          <w:tcPr>
            <w:tcW w:w="880" w:type="dxa"/>
            <w:vAlign w:val="bottom"/>
            <w:gridSpan w:val="2"/>
          </w:tcPr>
          <w:p>
            <w:pPr>
              <w:jc w:val="center"/>
              <w:ind w:left="57"/>
              <w:spacing w:after="0"/>
              <w:rPr>
                <w:sz w:val="20"/>
                <w:szCs w:val="20"/>
                <w:color w:val="auto"/>
              </w:rPr>
            </w:pPr>
            <w:r>
              <w:rPr>
                <w:rFonts w:ascii="Arial" w:cs="Arial" w:eastAsia="Arial" w:hAnsi="Arial"/>
                <w:sz w:val="13"/>
                <w:szCs w:val="13"/>
                <w:color w:val="auto"/>
                <w:w w:val="98"/>
              </w:rPr>
              <w:t>12/09/2026</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12/10/2019</w:t>
            </w:r>
          </w:p>
        </w:tc>
        <w:tc>
          <w:tcPr>
            <w:tcW w:w="64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3"/>
        </w:trPr>
        <w:tc>
          <w:tcPr>
            <w:tcW w:w="122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— </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12/10/2021</w:t>
            </w:r>
          </w:p>
        </w:tc>
        <w:tc>
          <w:tcPr>
            <w:tcW w:w="640" w:type="dxa"/>
            <w:vAlign w:val="bottom"/>
          </w:tcPr>
          <w:p>
            <w:pPr>
              <w:jc w:val="right"/>
              <w:ind w:right="19"/>
              <w:spacing w:after="0"/>
              <w:rPr>
                <w:sz w:val="20"/>
                <w:szCs w:val="20"/>
                <w:color w:val="auto"/>
              </w:rPr>
            </w:pPr>
            <w:r>
              <w:rPr>
                <w:rFonts w:ascii="Arial" w:cs="Arial" w:eastAsia="Arial" w:hAnsi="Arial"/>
                <w:sz w:val="13"/>
                <w:szCs w:val="13"/>
                <w:color w:val="auto"/>
              </w:rPr>
              <w:t>3,120</w:t>
            </w:r>
            <w:r>
              <w:rPr>
                <w:rFonts w:ascii="Arial" w:cs="Arial" w:eastAsia="Arial" w:hAnsi="Arial"/>
                <w:sz w:val="18"/>
                <w:szCs w:val="18"/>
                <w:color w:val="auto"/>
                <w:vertAlign w:val="superscript"/>
              </w:rPr>
              <w:t>(2)</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4,669,174</w:t>
            </w:r>
          </w:p>
        </w:tc>
        <w:tc>
          <w:tcPr>
            <w:tcW w:w="7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— </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12/09/2022</w:t>
            </w:r>
          </w:p>
        </w:tc>
        <w:tc>
          <w:tcPr>
            <w:tcW w:w="640" w:type="dxa"/>
            <w:vAlign w:val="bottom"/>
          </w:tcPr>
          <w:p>
            <w:pPr>
              <w:jc w:val="right"/>
              <w:ind w:right="19"/>
              <w:spacing w:after="0"/>
              <w:rPr>
                <w:sz w:val="20"/>
                <w:szCs w:val="20"/>
                <w:color w:val="auto"/>
              </w:rPr>
            </w:pPr>
            <w:r>
              <w:rPr>
                <w:rFonts w:ascii="Arial" w:cs="Arial" w:eastAsia="Arial" w:hAnsi="Arial"/>
                <w:sz w:val="13"/>
                <w:szCs w:val="13"/>
                <w:color w:val="auto"/>
              </w:rPr>
              <w:t>6,292</w:t>
            </w:r>
            <w:r>
              <w:rPr>
                <w:rFonts w:ascii="Arial" w:cs="Arial" w:eastAsia="Arial" w:hAnsi="Arial"/>
                <w:sz w:val="18"/>
                <w:szCs w:val="18"/>
                <w:color w:val="auto"/>
                <w:vertAlign w:val="superscript"/>
              </w:rPr>
              <w:t>(2)</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9,416,167</w:t>
            </w:r>
          </w:p>
        </w:tc>
        <w:tc>
          <w:tcPr>
            <w:tcW w:w="7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— </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12/09/2022</w:t>
            </w:r>
          </w:p>
        </w:tc>
        <w:tc>
          <w:tcPr>
            <w:tcW w:w="640" w:type="dxa"/>
            <w:vAlign w:val="bottom"/>
          </w:tcPr>
          <w:p>
            <w:pPr>
              <w:jc w:val="right"/>
              <w:ind w:right="19"/>
              <w:spacing w:after="0"/>
              <w:rPr>
                <w:sz w:val="20"/>
                <w:szCs w:val="20"/>
                <w:color w:val="auto"/>
              </w:rPr>
            </w:pPr>
            <w:r>
              <w:rPr>
                <w:rFonts w:ascii="Arial" w:cs="Arial" w:eastAsia="Arial" w:hAnsi="Arial"/>
                <w:sz w:val="13"/>
                <w:szCs w:val="13"/>
                <w:color w:val="auto"/>
              </w:rPr>
              <w:t>8,390</w:t>
            </w:r>
            <w:r>
              <w:rPr>
                <w:rFonts w:ascii="Arial" w:cs="Arial" w:eastAsia="Arial" w:hAnsi="Arial"/>
                <w:sz w:val="18"/>
                <w:szCs w:val="18"/>
                <w:color w:val="auto"/>
                <w:vertAlign w:val="superscript"/>
              </w:rPr>
              <w:t>(4)</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12,555,887</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8,390</w:t>
            </w:r>
            <w:r>
              <w:rPr>
                <w:rFonts w:ascii="Arial" w:cs="Arial" w:eastAsia="Arial" w:hAnsi="Arial"/>
                <w:sz w:val="18"/>
                <w:szCs w:val="18"/>
                <w:color w:val="auto"/>
                <w:vertAlign w:val="superscript"/>
              </w:rPr>
              <w:t>(7)</w:t>
            </w:r>
          </w:p>
        </w:tc>
        <w:tc>
          <w:tcPr>
            <w:tcW w:w="760" w:type="dxa"/>
            <w:vAlign w:val="bottom"/>
          </w:tcPr>
          <w:p>
            <w:pPr>
              <w:jc w:val="right"/>
              <w:spacing w:after="0"/>
              <w:rPr>
                <w:sz w:val="20"/>
                <w:szCs w:val="20"/>
                <w:color w:val="auto"/>
              </w:rPr>
            </w:pPr>
            <w:r>
              <w:rPr>
                <w:rFonts w:ascii="Arial" w:cs="Arial" w:eastAsia="Arial" w:hAnsi="Arial"/>
                <w:sz w:val="13"/>
                <w:szCs w:val="13"/>
                <w:color w:val="auto"/>
              </w:rPr>
              <w:t>12,555,887</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06/05/2023</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37"/>
              <w:spacing w:after="0"/>
              <w:rPr>
                <w:sz w:val="20"/>
                <w:szCs w:val="20"/>
                <w:color w:val="auto"/>
              </w:rPr>
            </w:pPr>
            <w:r>
              <w:rPr>
                <w:rFonts w:ascii="Arial" w:cs="Arial" w:eastAsia="Arial" w:hAnsi="Arial"/>
                <w:sz w:val="13"/>
                <w:szCs w:val="13"/>
                <w:color w:val="auto"/>
              </w:rPr>
              <w:t>52,082</w:t>
            </w:r>
            <w:r>
              <w:rPr>
                <w:rFonts w:ascii="Arial" w:cs="Arial" w:eastAsia="Arial" w:hAnsi="Arial"/>
                <w:sz w:val="18"/>
                <w:szCs w:val="18"/>
                <w:color w:val="auto"/>
                <w:vertAlign w:val="superscript"/>
              </w:rPr>
              <w:t>(10)</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791.60</w:t>
            </w:r>
          </w:p>
        </w:tc>
        <w:tc>
          <w:tcPr>
            <w:tcW w:w="820" w:type="dxa"/>
            <w:vAlign w:val="bottom"/>
          </w:tcPr>
          <w:p>
            <w:pPr>
              <w:jc w:val="center"/>
              <w:ind w:left="97"/>
              <w:spacing w:after="0"/>
              <w:rPr>
                <w:sz w:val="20"/>
                <w:szCs w:val="20"/>
                <w:color w:val="auto"/>
              </w:rPr>
            </w:pPr>
            <w:r>
              <w:rPr>
                <w:rFonts w:ascii="Arial" w:cs="Arial" w:eastAsia="Arial" w:hAnsi="Arial"/>
                <w:sz w:val="13"/>
                <w:szCs w:val="13"/>
                <w:color w:val="auto"/>
                <w:w w:val="95"/>
              </w:rPr>
              <w:t>06/04/2030</w:t>
            </w:r>
          </w:p>
        </w:tc>
        <w:tc>
          <w:tcPr>
            <w:tcW w:w="6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06/05/2023</w:t>
            </w:r>
          </w:p>
        </w:tc>
        <w:tc>
          <w:tcPr>
            <w:tcW w:w="64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19,576</w:t>
            </w:r>
            <w:r>
              <w:rPr>
                <w:rFonts w:ascii="Arial" w:cs="Arial" w:eastAsia="Arial" w:hAnsi="Arial"/>
                <w:sz w:val="18"/>
                <w:szCs w:val="18"/>
                <w:color w:val="auto"/>
                <w:vertAlign w:val="superscript"/>
              </w:rPr>
              <w:t>(11)</w:t>
            </w:r>
          </w:p>
        </w:tc>
        <w:tc>
          <w:tcPr>
            <w:tcW w:w="760" w:type="dxa"/>
            <w:vAlign w:val="bottom"/>
          </w:tcPr>
          <w:p>
            <w:pPr>
              <w:jc w:val="right"/>
              <w:spacing w:after="0"/>
              <w:rPr>
                <w:sz w:val="20"/>
                <w:szCs w:val="20"/>
                <w:color w:val="auto"/>
              </w:rPr>
            </w:pPr>
            <w:r>
              <w:rPr>
                <w:rFonts w:ascii="Arial" w:cs="Arial" w:eastAsia="Arial" w:hAnsi="Arial"/>
                <w:sz w:val="13"/>
                <w:szCs w:val="13"/>
                <w:color w:val="auto"/>
              </w:rPr>
              <w:t>29,296,071</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— </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12/09/2023</w:t>
            </w:r>
          </w:p>
        </w:tc>
        <w:tc>
          <w:tcPr>
            <w:tcW w:w="640" w:type="dxa"/>
            <w:vAlign w:val="bottom"/>
          </w:tcPr>
          <w:p>
            <w:pPr>
              <w:jc w:val="right"/>
              <w:ind w:right="19"/>
              <w:spacing w:after="0"/>
              <w:rPr>
                <w:sz w:val="20"/>
                <w:szCs w:val="20"/>
                <w:color w:val="auto"/>
              </w:rPr>
            </w:pPr>
            <w:r>
              <w:rPr>
                <w:rFonts w:ascii="Arial" w:cs="Arial" w:eastAsia="Arial" w:hAnsi="Arial"/>
                <w:sz w:val="13"/>
                <w:szCs w:val="13"/>
                <w:color w:val="auto"/>
              </w:rPr>
              <w:t>6,341</w:t>
            </w:r>
            <w:r>
              <w:rPr>
                <w:rFonts w:ascii="Arial" w:cs="Arial" w:eastAsia="Arial" w:hAnsi="Arial"/>
                <w:sz w:val="18"/>
                <w:szCs w:val="18"/>
                <w:color w:val="auto"/>
                <w:vertAlign w:val="superscript"/>
              </w:rPr>
              <w:t>(2)</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9,489,497</w:t>
            </w:r>
          </w:p>
        </w:tc>
        <w:tc>
          <w:tcPr>
            <w:tcW w:w="7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— </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12/09/2023</w:t>
            </w:r>
          </w:p>
        </w:tc>
        <w:tc>
          <w:tcPr>
            <w:tcW w:w="640" w:type="dxa"/>
            <w:vAlign w:val="bottom"/>
          </w:tcPr>
          <w:p>
            <w:pPr>
              <w:jc w:val="right"/>
              <w:ind w:right="19"/>
              <w:spacing w:after="0"/>
              <w:rPr>
                <w:sz w:val="20"/>
                <w:szCs w:val="20"/>
                <w:color w:val="auto"/>
              </w:rPr>
            </w:pPr>
            <w:r>
              <w:rPr>
                <w:rFonts w:ascii="Arial" w:cs="Arial" w:eastAsia="Arial" w:hAnsi="Arial"/>
                <w:sz w:val="13"/>
                <w:szCs w:val="13"/>
                <w:color w:val="auto"/>
                <w:w w:val="99"/>
              </w:rPr>
              <w:t>11,272</w:t>
            </w:r>
            <w:r>
              <w:rPr>
                <w:rFonts w:ascii="Arial" w:cs="Arial" w:eastAsia="Arial" w:hAnsi="Arial"/>
                <w:sz w:val="18"/>
                <w:szCs w:val="18"/>
                <w:color w:val="auto"/>
                <w:w w:val="99"/>
                <w:vertAlign w:val="superscript"/>
              </w:rPr>
              <w:t>(5)</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16,868,886</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11,272</w:t>
            </w:r>
            <w:r>
              <w:rPr>
                <w:rFonts w:ascii="Arial" w:cs="Arial" w:eastAsia="Arial" w:hAnsi="Arial"/>
                <w:sz w:val="18"/>
                <w:szCs w:val="18"/>
                <w:color w:val="auto"/>
                <w:vertAlign w:val="superscript"/>
              </w:rPr>
              <w:t>(8)</w:t>
            </w:r>
          </w:p>
        </w:tc>
        <w:tc>
          <w:tcPr>
            <w:tcW w:w="760" w:type="dxa"/>
            <w:vAlign w:val="bottom"/>
          </w:tcPr>
          <w:p>
            <w:pPr>
              <w:jc w:val="right"/>
              <w:spacing w:after="0"/>
              <w:rPr>
                <w:sz w:val="20"/>
                <w:szCs w:val="20"/>
                <w:color w:val="auto"/>
              </w:rPr>
            </w:pPr>
            <w:r>
              <w:rPr>
                <w:rFonts w:ascii="Arial" w:cs="Arial" w:eastAsia="Arial" w:hAnsi="Arial"/>
                <w:sz w:val="13"/>
                <w:szCs w:val="13"/>
                <w:color w:val="auto"/>
              </w:rPr>
              <w:t>16,868,886</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— </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12/09/2024</w:t>
            </w:r>
          </w:p>
        </w:tc>
        <w:tc>
          <w:tcPr>
            <w:tcW w:w="640" w:type="dxa"/>
            <w:vAlign w:val="bottom"/>
          </w:tcPr>
          <w:p>
            <w:pPr>
              <w:jc w:val="right"/>
              <w:ind w:right="19"/>
              <w:spacing w:after="0"/>
              <w:rPr>
                <w:sz w:val="20"/>
                <w:szCs w:val="20"/>
                <w:color w:val="auto"/>
              </w:rPr>
            </w:pPr>
            <w:r>
              <w:rPr>
                <w:rFonts w:ascii="Arial" w:cs="Arial" w:eastAsia="Arial" w:hAnsi="Arial"/>
                <w:sz w:val="13"/>
                <w:szCs w:val="13"/>
                <w:color w:val="auto"/>
              </w:rPr>
              <w:t>4,480</w:t>
            </w:r>
            <w:r>
              <w:rPr>
                <w:rFonts w:ascii="Arial" w:cs="Arial" w:eastAsia="Arial" w:hAnsi="Arial"/>
                <w:sz w:val="18"/>
                <w:szCs w:val="18"/>
                <w:color w:val="auto"/>
                <w:vertAlign w:val="superscript"/>
              </w:rPr>
              <w:t>(2)</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6,704,454</w:t>
            </w:r>
          </w:p>
        </w:tc>
        <w:tc>
          <w:tcPr>
            <w:tcW w:w="7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— </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12/09/2024</w:t>
            </w:r>
          </w:p>
        </w:tc>
        <w:tc>
          <w:tcPr>
            <w:tcW w:w="640" w:type="dxa"/>
            <w:vAlign w:val="bottom"/>
          </w:tcPr>
          <w:p>
            <w:pPr>
              <w:jc w:val="right"/>
              <w:ind w:right="19"/>
              <w:spacing w:after="0" w:line="180" w:lineRule="exact"/>
              <w:rPr>
                <w:sz w:val="20"/>
                <w:szCs w:val="20"/>
                <w:color w:val="auto"/>
              </w:rPr>
            </w:pPr>
            <w:r>
              <w:rPr>
                <w:rFonts w:ascii="Arial" w:cs="Arial" w:eastAsia="Arial" w:hAnsi="Arial"/>
                <w:sz w:val="13"/>
                <w:szCs w:val="13"/>
                <w:color w:val="auto"/>
              </w:rPr>
              <w:t>6,729</w:t>
            </w:r>
            <w:r>
              <w:rPr>
                <w:rFonts w:ascii="Arial" w:cs="Arial" w:eastAsia="Arial" w:hAnsi="Arial"/>
                <w:sz w:val="18"/>
                <w:szCs w:val="18"/>
                <w:color w:val="auto"/>
                <w:vertAlign w:val="superscript"/>
              </w:rPr>
              <w:t>(6)</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10,070,091</w:t>
            </w:r>
          </w:p>
        </w:tc>
        <w:tc>
          <w:tcPr>
            <w:tcW w:w="720" w:type="dxa"/>
            <w:vAlign w:val="bottom"/>
          </w:tcPr>
          <w:p>
            <w:pPr>
              <w:jc w:val="right"/>
              <w:ind w:right="77"/>
              <w:spacing w:after="0" w:line="180" w:lineRule="exact"/>
              <w:rPr>
                <w:sz w:val="20"/>
                <w:szCs w:val="20"/>
                <w:color w:val="auto"/>
              </w:rPr>
            </w:pPr>
            <w:r>
              <w:rPr>
                <w:rFonts w:ascii="Arial" w:cs="Arial" w:eastAsia="Arial" w:hAnsi="Arial"/>
                <w:sz w:val="13"/>
                <w:szCs w:val="13"/>
                <w:color w:val="auto"/>
              </w:rPr>
              <w:t>2,240</w:t>
            </w:r>
            <w:r>
              <w:rPr>
                <w:rFonts w:ascii="Arial" w:cs="Arial" w:eastAsia="Arial" w:hAnsi="Arial"/>
                <w:sz w:val="18"/>
                <w:szCs w:val="18"/>
                <w:color w:val="auto"/>
                <w:vertAlign w:val="superscript"/>
              </w:rPr>
              <w:t>(9)</w:t>
            </w:r>
          </w:p>
        </w:tc>
        <w:tc>
          <w:tcPr>
            <w:tcW w:w="760" w:type="dxa"/>
            <w:vAlign w:val="bottom"/>
          </w:tcPr>
          <w:p>
            <w:pPr>
              <w:jc w:val="right"/>
              <w:spacing w:after="0"/>
              <w:rPr>
                <w:sz w:val="20"/>
                <w:szCs w:val="20"/>
                <w:color w:val="auto"/>
              </w:rPr>
            </w:pPr>
            <w:r>
              <w:rPr>
                <w:rFonts w:ascii="Arial" w:cs="Arial" w:eastAsia="Arial" w:hAnsi="Arial"/>
                <w:sz w:val="13"/>
                <w:szCs w:val="13"/>
                <w:color w:val="auto"/>
              </w:rPr>
              <w:t>3,352,227</w:t>
            </w:r>
          </w:p>
        </w:tc>
        <w:tc>
          <w:tcPr>
            <w:tcW w:w="0" w:type="dxa"/>
            <w:vAlign w:val="bottom"/>
          </w:tcPr>
          <w:p>
            <w:pPr>
              <w:spacing w:after="0"/>
              <w:rPr>
                <w:sz w:val="1"/>
                <w:szCs w:val="1"/>
                <w:color w:val="auto"/>
              </w:rPr>
            </w:pPr>
          </w:p>
        </w:tc>
      </w:tr>
      <w:tr>
        <w:trPr>
          <w:trHeight w:val="68"/>
        </w:trPr>
        <w:tc>
          <w:tcPr>
            <w:tcW w:w="1220" w:type="dxa"/>
            <w:vAlign w:val="bottom"/>
            <w:vMerge w:val="restart"/>
            <w:shd w:val="clear" w:color="auto" w:fill="F2F2F2"/>
          </w:tcPr>
          <w:p>
            <w:pPr>
              <w:spacing w:after="0"/>
              <w:rPr>
                <w:sz w:val="20"/>
                <w:szCs w:val="20"/>
                <w:color w:val="auto"/>
              </w:rPr>
            </w:pPr>
            <w:r>
              <w:rPr>
                <w:rFonts w:ascii="Arial" w:cs="Arial" w:eastAsia="Arial" w:hAnsi="Arial"/>
                <w:sz w:val="13"/>
                <w:szCs w:val="13"/>
                <w:color w:val="auto"/>
              </w:rPr>
              <w:t>Steven Weber</w:t>
            </w:r>
          </w:p>
        </w:tc>
        <w:tc>
          <w:tcPr>
            <w:tcW w:w="780" w:type="dxa"/>
            <w:vAlign w:val="bottom"/>
            <w:vMerge w:val="restart"/>
            <w:shd w:val="clear" w:color="auto" w:fill="F2F2F2"/>
          </w:tcPr>
          <w:p>
            <w:pPr>
              <w:ind w:left="520"/>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F2F2F2"/>
          </w:tcPr>
          <w:p>
            <w:pPr>
              <w:spacing w:after="0"/>
              <w:rPr>
                <w:sz w:val="5"/>
                <w:szCs w:val="5"/>
                <w:color w:val="auto"/>
              </w:rPr>
            </w:pPr>
          </w:p>
        </w:tc>
        <w:tc>
          <w:tcPr>
            <w:tcW w:w="1060" w:type="dxa"/>
            <w:vAlign w:val="bottom"/>
            <w:vMerge w:val="restart"/>
            <w:shd w:val="clear" w:color="auto" w:fill="F2F2F2"/>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vMerge w:val="restart"/>
            <w:shd w:val="clear" w:color="auto" w:fill="F2F2F2"/>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F2F2F2"/>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vMerge w:val="restart"/>
            <w:shd w:val="clear" w:color="auto" w:fill="F2F2F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vMerge w:val="restart"/>
            <w:shd w:val="clear" w:color="auto" w:fill="F2F2F2"/>
          </w:tcPr>
          <w:p>
            <w:pPr>
              <w:jc w:val="right"/>
              <w:ind w:right="17"/>
              <w:spacing w:after="0"/>
              <w:rPr>
                <w:sz w:val="20"/>
                <w:szCs w:val="20"/>
                <w:color w:val="auto"/>
              </w:rPr>
            </w:pPr>
            <w:r>
              <w:rPr>
                <w:rFonts w:ascii="Arial" w:cs="Arial" w:eastAsia="Arial" w:hAnsi="Arial"/>
                <w:sz w:val="13"/>
                <w:szCs w:val="13"/>
                <w:color w:val="auto"/>
              </w:rPr>
              <w:t>12/10/2021</w:t>
            </w:r>
          </w:p>
        </w:tc>
        <w:tc>
          <w:tcPr>
            <w:tcW w:w="640" w:type="dxa"/>
            <w:vAlign w:val="bottom"/>
            <w:vMerge w:val="restart"/>
            <w:shd w:val="clear" w:color="auto" w:fill="F2F2F2"/>
          </w:tcPr>
          <w:p>
            <w:pPr>
              <w:jc w:val="right"/>
              <w:ind w:right="19"/>
              <w:spacing w:after="0"/>
              <w:rPr>
                <w:sz w:val="20"/>
                <w:szCs w:val="20"/>
                <w:color w:val="auto"/>
              </w:rPr>
            </w:pPr>
            <w:r>
              <w:rPr>
                <w:rFonts w:ascii="Arial" w:cs="Arial" w:eastAsia="Arial" w:hAnsi="Arial"/>
                <w:sz w:val="13"/>
                <w:szCs w:val="13"/>
                <w:color w:val="auto"/>
              </w:rPr>
              <w:t>200</w:t>
            </w:r>
            <w:r>
              <w:rPr>
                <w:rFonts w:ascii="Arial" w:cs="Arial" w:eastAsia="Arial" w:hAnsi="Arial"/>
                <w:sz w:val="18"/>
                <w:szCs w:val="18"/>
                <w:color w:val="auto"/>
                <w:vertAlign w:val="superscript"/>
              </w:rPr>
              <w:t>(2)</w:t>
            </w:r>
          </w:p>
        </w:tc>
        <w:tc>
          <w:tcPr>
            <w:tcW w:w="880" w:type="dxa"/>
            <w:vAlign w:val="bottom"/>
            <w:vMerge w:val="restart"/>
            <w:shd w:val="clear" w:color="auto" w:fill="F2F2F2"/>
          </w:tcPr>
          <w:p>
            <w:pPr>
              <w:jc w:val="right"/>
              <w:ind w:right="17"/>
              <w:spacing w:after="0"/>
              <w:rPr>
                <w:sz w:val="20"/>
                <w:szCs w:val="20"/>
                <w:color w:val="auto"/>
              </w:rPr>
            </w:pPr>
            <w:r>
              <w:rPr>
                <w:rFonts w:ascii="Arial" w:cs="Arial" w:eastAsia="Arial" w:hAnsi="Arial"/>
                <w:sz w:val="13"/>
                <w:szCs w:val="13"/>
                <w:color w:val="auto"/>
              </w:rPr>
              <w:t>299,306</w:t>
            </w:r>
          </w:p>
        </w:tc>
        <w:tc>
          <w:tcPr>
            <w:tcW w:w="720" w:type="dxa"/>
            <w:vAlign w:val="bottom"/>
            <w:vMerge w:val="restart"/>
            <w:shd w:val="clear" w:color="auto" w:fill="F2F2F2"/>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220" w:type="dxa"/>
            <w:vAlign w:val="bottom"/>
            <w:vMerge w:val="continue"/>
            <w:shd w:val="clear" w:color="auto" w:fill="F2F2F2"/>
          </w:tcPr>
          <w:p>
            <w:pPr>
              <w:spacing w:after="0"/>
              <w:rPr>
                <w:sz w:val="14"/>
                <w:szCs w:val="14"/>
                <w:color w:val="auto"/>
              </w:rPr>
            </w:pPr>
          </w:p>
        </w:tc>
        <w:tc>
          <w:tcPr>
            <w:tcW w:w="780" w:type="dxa"/>
            <w:vAlign w:val="bottom"/>
            <w:vMerge w:val="continue"/>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060" w:type="dxa"/>
            <w:vAlign w:val="bottom"/>
            <w:vMerge w:val="continue"/>
            <w:shd w:val="clear" w:color="auto" w:fill="F2F2F2"/>
          </w:tcPr>
          <w:p>
            <w:pPr>
              <w:spacing w:after="0"/>
              <w:rPr>
                <w:sz w:val="14"/>
                <w:szCs w:val="14"/>
                <w:color w:val="auto"/>
              </w:rPr>
            </w:pPr>
          </w:p>
        </w:tc>
        <w:tc>
          <w:tcPr>
            <w:tcW w:w="1220" w:type="dxa"/>
            <w:vAlign w:val="bottom"/>
            <w:vMerge w:val="continue"/>
            <w:shd w:val="clear" w:color="auto" w:fill="F2F2F2"/>
          </w:tcPr>
          <w:p>
            <w:pPr>
              <w:spacing w:after="0"/>
              <w:rPr>
                <w:sz w:val="14"/>
                <w:szCs w:val="14"/>
                <w:color w:val="auto"/>
              </w:rPr>
            </w:pPr>
          </w:p>
        </w:tc>
        <w:tc>
          <w:tcPr>
            <w:tcW w:w="1080" w:type="dxa"/>
            <w:vAlign w:val="bottom"/>
            <w:vMerge w:val="continue"/>
            <w:shd w:val="clear" w:color="auto" w:fill="F2F2F2"/>
          </w:tcPr>
          <w:p>
            <w:pPr>
              <w:spacing w:after="0"/>
              <w:rPr>
                <w:sz w:val="14"/>
                <w:szCs w:val="14"/>
                <w:color w:val="auto"/>
              </w:rPr>
            </w:pPr>
          </w:p>
        </w:tc>
        <w:tc>
          <w:tcPr>
            <w:tcW w:w="860" w:type="dxa"/>
            <w:vAlign w:val="bottom"/>
            <w:vMerge w:val="continue"/>
            <w:shd w:val="clear" w:color="auto" w:fill="F2F2F2"/>
          </w:tcPr>
          <w:p>
            <w:pPr>
              <w:spacing w:after="0"/>
              <w:rPr>
                <w:sz w:val="14"/>
                <w:szCs w:val="14"/>
                <w:color w:val="auto"/>
              </w:rPr>
            </w:pPr>
          </w:p>
        </w:tc>
        <w:tc>
          <w:tcPr>
            <w:tcW w:w="880" w:type="dxa"/>
            <w:vAlign w:val="bottom"/>
            <w:gridSpan w:val="2"/>
            <w:vMerge w:val="continue"/>
            <w:shd w:val="clear" w:color="auto" w:fill="F2F2F2"/>
          </w:tcPr>
          <w:p>
            <w:pPr>
              <w:spacing w:after="0"/>
              <w:rPr>
                <w:sz w:val="14"/>
                <w:szCs w:val="14"/>
                <w:color w:val="auto"/>
              </w:rPr>
            </w:pPr>
          </w:p>
        </w:tc>
        <w:tc>
          <w:tcPr>
            <w:tcW w:w="800" w:type="dxa"/>
            <w:vAlign w:val="bottom"/>
            <w:vMerge w:val="continue"/>
            <w:shd w:val="clear" w:color="auto" w:fill="F2F2F2"/>
          </w:tcPr>
          <w:p>
            <w:pPr>
              <w:spacing w:after="0"/>
              <w:rPr>
                <w:sz w:val="14"/>
                <w:szCs w:val="14"/>
                <w:color w:val="auto"/>
              </w:rPr>
            </w:pPr>
          </w:p>
        </w:tc>
        <w:tc>
          <w:tcPr>
            <w:tcW w:w="640" w:type="dxa"/>
            <w:vAlign w:val="bottom"/>
            <w:vMerge w:val="continue"/>
            <w:shd w:val="clear" w:color="auto" w:fill="F2F2F2"/>
          </w:tcPr>
          <w:p>
            <w:pPr>
              <w:spacing w:after="0"/>
              <w:rPr>
                <w:sz w:val="14"/>
                <w:szCs w:val="14"/>
                <w:color w:val="auto"/>
              </w:rPr>
            </w:pPr>
          </w:p>
        </w:tc>
        <w:tc>
          <w:tcPr>
            <w:tcW w:w="880" w:type="dxa"/>
            <w:vAlign w:val="bottom"/>
            <w:vMerge w:val="continue"/>
            <w:shd w:val="clear" w:color="auto" w:fill="F2F2F2"/>
          </w:tcPr>
          <w:p>
            <w:pPr>
              <w:spacing w:after="0"/>
              <w:rPr>
                <w:sz w:val="14"/>
                <w:szCs w:val="14"/>
                <w:color w:val="auto"/>
              </w:rPr>
            </w:pPr>
          </w:p>
        </w:tc>
        <w:tc>
          <w:tcPr>
            <w:tcW w:w="720" w:type="dxa"/>
            <w:vAlign w:val="bottom"/>
            <w:vMerge w:val="continue"/>
            <w:shd w:val="clear" w:color="auto" w:fill="F2F2F2"/>
          </w:tcPr>
          <w:p>
            <w:pPr>
              <w:spacing w:after="0"/>
              <w:rPr>
                <w:sz w:val="14"/>
                <w:szCs w:val="14"/>
                <w:color w:val="auto"/>
              </w:rPr>
            </w:pPr>
          </w:p>
        </w:tc>
        <w:tc>
          <w:tcPr>
            <w:tcW w:w="760" w:type="dxa"/>
            <w:vAlign w:val="bottom"/>
            <w:vMerge w:val="continue"/>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220" w:type="dxa"/>
            <w:vAlign w:val="bottom"/>
            <w:shd w:val="clear" w:color="auto" w:fill="F2F2F2"/>
          </w:tcPr>
          <w:p>
            <w:pPr>
              <w:spacing w:after="0"/>
              <w:rPr>
                <w:sz w:val="19"/>
                <w:szCs w:val="19"/>
                <w:color w:val="auto"/>
              </w:rPr>
            </w:pPr>
          </w:p>
        </w:tc>
        <w:tc>
          <w:tcPr>
            <w:tcW w:w="780" w:type="dxa"/>
            <w:vAlign w:val="bottom"/>
            <w:shd w:val="clear" w:color="auto" w:fill="F2F2F2"/>
          </w:tcPr>
          <w:p>
            <w:pPr>
              <w:ind w:left="520"/>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F2F2F2"/>
          </w:tcPr>
          <w:p>
            <w:pPr>
              <w:spacing w:after="0"/>
              <w:rPr>
                <w:sz w:val="19"/>
                <w:szCs w:val="19"/>
                <w:color w:val="auto"/>
              </w:rPr>
            </w:pPr>
          </w:p>
        </w:tc>
        <w:tc>
          <w:tcPr>
            <w:tcW w:w="1060" w:type="dxa"/>
            <w:vAlign w:val="bottom"/>
            <w:shd w:val="clear" w:color="auto" w:fill="F2F2F2"/>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shd w:val="clear" w:color="auto" w:fill="F2F2F2"/>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2F2"/>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F2F2F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12/09/2022</w:t>
            </w:r>
          </w:p>
        </w:tc>
        <w:tc>
          <w:tcPr>
            <w:tcW w:w="640" w:type="dxa"/>
            <w:vAlign w:val="bottom"/>
            <w:shd w:val="clear" w:color="auto" w:fill="F2F2F2"/>
          </w:tcPr>
          <w:p>
            <w:pPr>
              <w:jc w:val="right"/>
              <w:ind w:right="19"/>
              <w:spacing w:after="0"/>
              <w:rPr>
                <w:sz w:val="20"/>
                <w:szCs w:val="20"/>
                <w:color w:val="auto"/>
              </w:rPr>
            </w:pPr>
            <w:r>
              <w:rPr>
                <w:rFonts w:ascii="Arial" w:cs="Arial" w:eastAsia="Arial" w:hAnsi="Arial"/>
                <w:sz w:val="13"/>
                <w:szCs w:val="13"/>
                <w:color w:val="auto"/>
              </w:rPr>
              <w:t>299</w:t>
            </w:r>
            <w:r>
              <w:rPr>
                <w:rFonts w:ascii="Arial" w:cs="Arial" w:eastAsia="Arial" w:hAnsi="Arial"/>
                <w:sz w:val="18"/>
                <w:szCs w:val="18"/>
                <w:color w:val="auto"/>
                <w:vertAlign w:val="superscript"/>
              </w:rPr>
              <w:t>(2)</w:t>
            </w:r>
          </w:p>
        </w:tc>
        <w:tc>
          <w:tcPr>
            <w:tcW w:w="88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447,462</w:t>
            </w:r>
          </w:p>
        </w:tc>
        <w:tc>
          <w:tcPr>
            <w:tcW w:w="720" w:type="dxa"/>
            <w:vAlign w:val="bottom"/>
            <w:shd w:val="clear" w:color="auto" w:fill="F2F2F2"/>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0"/>
        </w:trPr>
        <w:tc>
          <w:tcPr>
            <w:tcW w:w="1220" w:type="dxa"/>
            <w:vAlign w:val="bottom"/>
            <w:shd w:val="clear" w:color="auto" w:fill="F2F2F2"/>
          </w:tcPr>
          <w:p>
            <w:pPr>
              <w:spacing w:after="0"/>
              <w:rPr>
                <w:sz w:val="19"/>
                <w:szCs w:val="19"/>
                <w:color w:val="auto"/>
              </w:rPr>
            </w:pPr>
          </w:p>
        </w:tc>
        <w:tc>
          <w:tcPr>
            <w:tcW w:w="780" w:type="dxa"/>
            <w:vAlign w:val="bottom"/>
            <w:shd w:val="clear" w:color="auto" w:fill="F2F2F2"/>
          </w:tcPr>
          <w:p>
            <w:pPr>
              <w:ind w:left="520"/>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F2F2F2"/>
          </w:tcPr>
          <w:p>
            <w:pPr>
              <w:spacing w:after="0"/>
              <w:rPr>
                <w:sz w:val="19"/>
                <w:szCs w:val="19"/>
                <w:color w:val="auto"/>
              </w:rPr>
            </w:pPr>
          </w:p>
        </w:tc>
        <w:tc>
          <w:tcPr>
            <w:tcW w:w="1060" w:type="dxa"/>
            <w:vAlign w:val="bottom"/>
            <w:shd w:val="clear" w:color="auto" w:fill="F2F2F2"/>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shd w:val="clear" w:color="auto" w:fill="F2F2F2"/>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2F2"/>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F2F2F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12/09/2022</w:t>
            </w:r>
          </w:p>
        </w:tc>
        <w:tc>
          <w:tcPr>
            <w:tcW w:w="640" w:type="dxa"/>
            <w:vAlign w:val="bottom"/>
            <w:shd w:val="clear" w:color="auto" w:fill="F2F2F2"/>
          </w:tcPr>
          <w:p>
            <w:pPr>
              <w:jc w:val="right"/>
              <w:ind w:right="19"/>
              <w:spacing w:after="0" w:line="229" w:lineRule="exact"/>
              <w:rPr>
                <w:sz w:val="20"/>
                <w:szCs w:val="20"/>
                <w:color w:val="auto"/>
              </w:rPr>
            </w:pPr>
            <w:r>
              <w:rPr>
                <w:rFonts w:ascii="Arial" w:cs="Arial" w:eastAsia="Arial" w:hAnsi="Arial"/>
                <w:sz w:val="25"/>
                <w:szCs w:val="25"/>
                <w:color w:val="auto"/>
                <w:vertAlign w:val="subscript"/>
              </w:rPr>
              <w:t>935</w:t>
            </w:r>
            <w:r>
              <w:rPr>
                <w:rFonts w:ascii="Arial" w:cs="Arial" w:eastAsia="Arial" w:hAnsi="Arial"/>
                <w:sz w:val="9"/>
                <w:szCs w:val="9"/>
                <w:color w:val="auto"/>
              </w:rPr>
              <w:t>(3)</w:t>
            </w:r>
          </w:p>
        </w:tc>
        <w:tc>
          <w:tcPr>
            <w:tcW w:w="88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1,399,256</w:t>
            </w:r>
          </w:p>
        </w:tc>
        <w:tc>
          <w:tcPr>
            <w:tcW w:w="720" w:type="dxa"/>
            <w:vAlign w:val="bottom"/>
            <w:shd w:val="clear" w:color="auto" w:fill="F2F2F2"/>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0"/>
        </w:trPr>
        <w:tc>
          <w:tcPr>
            <w:tcW w:w="1220" w:type="dxa"/>
            <w:vAlign w:val="bottom"/>
            <w:shd w:val="clear" w:color="auto" w:fill="F2F2F2"/>
          </w:tcPr>
          <w:p>
            <w:pPr>
              <w:spacing w:after="0"/>
              <w:rPr>
                <w:sz w:val="19"/>
                <w:szCs w:val="19"/>
                <w:color w:val="auto"/>
              </w:rPr>
            </w:pPr>
          </w:p>
        </w:tc>
        <w:tc>
          <w:tcPr>
            <w:tcW w:w="780" w:type="dxa"/>
            <w:vAlign w:val="bottom"/>
            <w:shd w:val="clear" w:color="auto" w:fill="F2F2F2"/>
          </w:tcPr>
          <w:p>
            <w:pPr>
              <w:ind w:left="520"/>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F2F2F2"/>
          </w:tcPr>
          <w:p>
            <w:pPr>
              <w:spacing w:after="0"/>
              <w:rPr>
                <w:sz w:val="19"/>
                <w:szCs w:val="19"/>
                <w:color w:val="auto"/>
              </w:rPr>
            </w:pPr>
          </w:p>
        </w:tc>
        <w:tc>
          <w:tcPr>
            <w:tcW w:w="1060" w:type="dxa"/>
            <w:vAlign w:val="bottom"/>
            <w:shd w:val="clear" w:color="auto" w:fill="F2F2F2"/>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shd w:val="clear" w:color="auto" w:fill="F2F2F2"/>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2F2"/>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F2F2F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01/09/2023</w:t>
            </w:r>
          </w:p>
        </w:tc>
        <w:tc>
          <w:tcPr>
            <w:tcW w:w="640" w:type="dxa"/>
            <w:vAlign w:val="bottom"/>
            <w:shd w:val="clear" w:color="auto" w:fill="F2F2F2"/>
          </w:tcPr>
          <w:p>
            <w:pPr>
              <w:jc w:val="right"/>
              <w:ind w:right="19"/>
              <w:spacing w:after="0" w:line="229" w:lineRule="exact"/>
              <w:rPr>
                <w:sz w:val="20"/>
                <w:szCs w:val="20"/>
                <w:color w:val="auto"/>
              </w:rPr>
            </w:pPr>
            <w:r>
              <w:rPr>
                <w:rFonts w:ascii="Arial" w:cs="Arial" w:eastAsia="Arial" w:hAnsi="Arial"/>
                <w:sz w:val="25"/>
                <w:szCs w:val="25"/>
                <w:color w:val="auto"/>
                <w:vertAlign w:val="subscript"/>
              </w:rPr>
              <w:t>842</w:t>
            </w:r>
            <w:r>
              <w:rPr>
                <w:rFonts w:ascii="Arial" w:cs="Arial" w:eastAsia="Arial" w:hAnsi="Arial"/>
                <w:sz w:val="9"/>
                <w:szCs w:val="9"/>
                <w:color w:val="auto"/>
              </w:rPr>
              <w:t>(2)</w:t>
            </w:r>
          </w:p>
        </w:tc>
        <w:tc>
          <w:tcPr>
            <w:tcW w:w="88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1,260,078</w:t>
            </w:r>
          </w:p>
        </w:tc>
        <w:tc>
          <w:tcPr>
            <w:tcW w:w="720" w:type="dxa"/>
            <w:vAlign w:val="bottom"/>
            <w:shd w:val="clear" w:color="auto" w:fill="F2F2F2"/>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0"/>
        </w:trPr>
        <w:tc>
          <w:tcPr>
            <w:tcW w:w="1220" w:type="dxa"/>
            <w:vAlign w:val="bottom"/>
            <w:shd w:val="clear" w:color="auto" w:fill="F2F2F2"/>
          </w:tcPr>
          <w:p>
            <w:pPr>
              <w:spacing w:after="0"/>
              <w:rPr>
                <w:sz w:val="19"/>
                <w:szCs w:val="19"/>
                <w:color w:val="auto"/>
              </w:rPr>
            </w:pPr>
          </w:p>
        </w:tc>
        <w:tc>
          <w:tcPr>
            <w:tcW w:w="780" w:type="dxa"/>
            <w:vAlign w:val="bottom"/>
            <w:shd w:val="clear" w:color="auto" w:fill="F2F2F2"/>
          </w:tcPr>
          <w:p>
            <w:pPr>
              <w:ind w:left="520"/>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F2F2F2"/>
          </w:tcPr>
          <w:p>
            <w:pPr>
              <w:spacing w:after="0"/>
              <w:rPr>
                <w:sz w:val="19"/>
                <w:szCs w:val="19"/>
                <w:color w:val="auto"/>
              </w:rPr>
            </w:pPr>
          </w:p>
        </w:tc>
        <w:tc>
          <w:tcPr>
            <w:tcW w:w="1060" w:type="dxa"/>
            <w:vAlign w:val="bottom"/>
            <w:shd w:val="clear" w:color="auto" w:fill="F2F2F2"/>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shd w:val="clear" w:color="auto" w:fill="F2F2F2"/>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2F2"/>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F2F2F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12/09/2023</w:t>
            </w:r>
          </w:p>
        </w:tc>
        <w:tc>
          <w:tcPr>
            <w:tcW w:w="640" w:type="dxa"/>
            <w:vAlign w:val="bottom"/>
            <w:shd w:val="clear" w:color="auto" w:fill="F2F2F2"/>
          </w:tcPr>
          <w:p>
            <w:pPr>
              <w:jc w:val="right"/>
              <w:ind w:right="19"/>
              <w:spacing w:after="0"/>
              <w:rPr>
                <w:sz w:val="20"/>
                <w:szCs w:val="20"/>
                <w:color w:val="auto"/>
              </w:rPr>
            </w:pPr>
            <w:r>
              <w:rPr>
                <w:rFonts w:ascii="Arial" w:cs="Arial" w:eastAsia="Arial" w:hAnsi="Arial"/>
                <w:sz w:val="13"/>
                <w:szCs w:val="13"/>
                <w:color w:val="auto"/>
              </w:rPr>
              <w:t>1,268</w:t>
            </w:r>
            <w:r>
              <w:rPr>
                <w:rFonts w:ascii="Arial" w:cs="Arial" w:eastAsia="Arial" w:hAnsi="Arial"/>
                <w:sz w:val="18"/>
                <w:szCs w:val="18"/>
                <w:color w:val="auto"/>
                <w:vertAlign w:val="superscript"/>
              </w:rPr>
              <w:t>(2)</w:t>
            </w:r>
          </w:p>
        </w:tc>
        <w:tc>
          <w:tcPr>
            <w:tcW w:w="88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1,897,600</w:t>
            </w:r>
          </w:p>
        </w:tc>
        <w:tc>
          <w:tcPr>
            <w:tcW w:w="720" w:type="dxa"/>
            <w:vAlign w:val="bottom"/>
            <w:shd w:val="clear" w:color="auto" w:fill="F2F2F2"/>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9"/>
        </w:trPr>
        <w:tc>
          <w:tcPr>
            <w:tcW w:w="1220" w:type="dxa"/>
            <w:vAlign w:val="bottom"/>
            <w:shd w:val="clear" w:color="auto" w:fill="F2F2F2"/>
          </w:tcPr>
          <w:p>
            <w:pPr>
              <w:spacing w:after="0"/>
              <w:rPr>
                <w:sz w:val="19"/>
                <w:szCs w:val="19"/>
                <w:color w:val="auto"/>
              </w:rPr>
            </w:pPr>
          </w:p>
        </w:tc>
        <w:tc>
          <w:tcPr>
            <w:tcW w:w="780" w:type="dxa"/>
            <w:vAlign w:val="bottom"/>
            <w:shd w:val="clear" w:color="auto" w:fill="F2F2F2"/>
          </w:tcPr>
          <w:p>
            <w:pPr>
              <w:ind w:left="520"/>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F2F2F2"/>
          </w:tcPr>
          <w:p>
            <w:pPr>
              <w:spacing w:after="0"/>
              <w:rPr>
                <w:sz w:val="19"/>
                <w:szCs w:val="19"/>
                <w:color w:val="auto"/>
              </w:rPr>
            </w:pPr>
          </w:p>
        </w:tc>
        <w:tc>
          <w:tcPr>
            <w:tcW w:w="1060" w:type="dxa"/>
            <w:vAlign w:val="bottom"/>
            <w:shd w:val="clear" w:color="auto" w:fill="F2F2F2"/>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shd w:val="clear" w:color="auto" w:fill="F2F2F2"/>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2F2"/>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F2F2F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12/09/2023</w:t>
            </w:r>
          </w:p>
        </w:tc>
        <w:tc>
          <w:tcPr>
            <w:tcW w:w="640" w:type="dxa"/>
            <w:vAlign w:val="bottom"/>
            <w:shd w:val="clear" w:color="auto" w:fill="F2F2F2"/>
          </w:tcPr>
          <w:p>
            <w:pPr>
              <w:jc w:val="right"/>
              <w:ind w:right="19"/>
              <w:spacing w:after="0"/>
              <w:rPr>
                <w:sz w:val="20"/>
                <w:szCs w:val="20"/>
                <w:color w:val="auto"/>
              </w:rPr>
            </w:pPr>
            <w:r>
              <w:rPr>
                <w:rFonts w:ascii="Arial" w:cs="Arial" w:eastAsia="Arial" w:hAnsi="Arial"/>
                <w:sz w:val="13"/>
                <w:szCs w:val="13"/>
                <w:color w:val="auto"/>
              </w:rPr>
              <w:t>2,254</w:t>
            </w:r>
            <w:r>
              <w:rPr>
                <w:rFonts w:ascii="Arial" w:cs="Arial" w:eastAsia="Arial" w:hAnsi="Arial"/>
                <w:sz w:val="18"/>
                <w:szCs w:val="18"/>
                <w:color w:val="auto"/>
                <w:vertAlign w:val="superscript"/>
              </w:rPr>
              <w:t>(5)</w:t>
            </w:r>
          </w:p>
        </w:tc>
        <w:tc>
          <w:tcPr>
            <w:tcW w:w="88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3,373,179</w:t>
            </w:r>
          </w:p>
        </w:tc>
        <w:tc>
          <w:tcPr>
            <w:tcW w:w="720" w:type="dxa"/>
            <w:vAlign w:val="bottom"/>
            <w:shd w:val="clear" w:color="auto" w:fill="F2F2F2"/>
          </w:tcPr>
          <w:p>
            <w:pPr>
              <w:jc w:val="right"/>
              <w:ind w:right="77"/>
              <w:spacing w:after="0"/>
              <w:rPr>
                <w:sz w:val="20"/>
                <w:szCs w:val="20"/>
                <w:color w:val="auto"/>
              </w:rPr>
            </w:pPr>
            <w:r>
              <w:rPr>
                <w:rFonts w:ascii="Arial" w:cs="Arial" w:eastAsia="Arial" w:hAnsi="Arial"/>
                <w:sz w:val="13"/>
                <w:szCs w:val="13"/>
                <w:color w:val="auto"/>
              </w:rPr>
              <w:t>2,254</w:t>
            </w:r>
            <w:r>
              <w:rPr>
                <w:rFonts w:ascii="Arial" w:cs="Arial" w:eastAsia="Arial" w:hAnsi="Arial"/>
                <w:sz w:val="18"/>
                <w:szCs w:val="18"/>
                <w:color w:val="auto"/>
                <w:vertAlign w:val="superscript"/>
              </w:rPr>
              <w:t>(8)</w:t>
            </w:r>
          </w:p>
        </w:tc>
        <w:tc>
          <w:tcPr>
            <w:tcW w:w="7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3,373,179</w:t>
            </w:r>
          </w:p>
        </w:tc>
        <w:tc>
          <w:tcPr>
            <w:tcW w:w="0" w:type="dxa"/>
            <w:vAlign w:val="bottom"/>
          </w:tcPr>
          <w:p>
            <w:pPr>
              <w:spacing w:after="0"/>
              <w:rPr>
                <w:sz w:val="1"/>
                <w:szCs w:val="1"/>
                <w:color w:val="auto"/>
              </w:rPr>
            </w:pPr>
          </w:p>
        </w:tc>
      </w:tr>
      <w:tr>
        <w:trPr>
          <w:trHeight w:val="230"/>
        </w:trPr>
        <w:tc>
          <w:tcPr>
            <w:tcW w:w="1220" w:type="dxa"/>
            <w:vAlign w:val="bottom"/>
            <w:shd w:val="clear" w:color="auto" w:fill="F2F2F2"/>
          </w:tcPr>
          <w:p>
            <w:pPr>
              <w:spacing w:after="0"/>
              <w:rPr>
                <w:sz w:val="19"/>
                <w:szCs w:val="19"/>
                <w:color w:val="auto"/>
              </w:rPr>
            </w:pPr>
          </w:p>
        </w:tc>
        <w:tc>
          <w:tcPr>
            <w:tcW w:w="780" w:type="dxa"/>
            <w:vAlign w:val="bottom"/>
            <w:shd w:val="clear" w:color="auto" w:fill="F2F2F2"/>
          </w:tcPr>
          <w:p>
            <w:pPr>
              <w:ind w:left="520"/>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F2F2F2"/>
          </w:tcPr>
          <w:p>
            <w:pPr>
              <w:spacing w:after="0"/>
              <w:rPr>
                <w:sz w:val="19"/>
                <w:szCs w:val="19"/>
                <w:color w:val="auto"/>
              </w:rPr>
            </w:pPr>
          </w:p>
        </w:tc>
        <w:tc>
          <w:tcPr>
            <w:tcW w:w="1060" w:type="dxa"/>
            <w:vAlign w:val="bottom"/>
            <w:shd w:val="clear" w:color="auto" w:fill="F2F2F2"/>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shd w:val="clear" w:color="auto" w:fill="F2F2F2"/>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2F2"/>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F2F2F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12/09/2024</w:t>
            </w:r>
          </w:p>
        </w:tc>
        <w:tc>
          <w:tcPr>
            <w:tcW w:w="640" w:type="dxa"/>
            <w:vAlign w:val="bottom"/>
            <w:shd w:val="clear" w:color="auto" w:fill="F2F2F2"/>
          </w:tcPr>
          <w:p>
            <w:pPr>
              <w:jc w:val="right"/>
              <w:ind w:right="19"/>
              <w:spacing w:after="0"/>
              <w:rPr>
                <w:sz w:val="20"/>
                <w:szCs w:val="20"/>
                <w:color w:val="auto"/>
              </w:rPr>
            </w:pPr>
            <w:r>
              <w:rPr>
                <w:rFonts w:ascii="Arial" w:cs="Arial" w:eastAsia="Arial" w:hAnsi="Arial"/>
                <w:sz w:val="13"/>
                <w:szCs w:val="13"/>
                <w:color w:val="auto"/>
              </w:rPr>
              <w:t>822</w:t>
            </w:r>
            <w:r>
              <w:rPr>
                <w:rFonts w:ascii="Arial" w:cs="Arial" w:eastAsia="Arial" w:hAnsi="Arial"/>
                <w:sz w:val="18"/>
                <w:szCs w:val="18"/>
                <w:color w:val="auto"/>
                <w:vertAlign w:val="superscript"/>
              </w:rPr>
              <w:t>(2)</w:t>
            </w:r>
          </w:p>
        </w:tc>
        <w:tc>
          <w:tcPr>
            <w:tcW w:w="88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1,230,148</w:t>
            </w:r>
          </w:p>
        </w:tc>
        <w:tc>
          <w:tcPr>
            <w:tcW w:w="720" w:type="dxa"/>
            <w:vAlign w:val="bottom"/>
            <w:shd w:val="clear" w:color="auto" w:fill="F2F2F2"/>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0"/>
        </w:trPr>
        <w:tc>
          <w:tcPr>
            <w:tcW w:w="1220" w:type="dxa"/>
            <w:vAlign w:val="bottom"/>
            <w:shd w:val="clear" w:color="auto" w:fill="F2F2F2"/>
          </w:tcPr>
          <w:p>
            <w:pPr>
              <w:spacing w:after="0"/>
              <w:rPr>
                <w:sz w:val="19"/>
                <w:szCs w:val="19"/>
                <w:color w:val="auto"/>
              </w:rPr>
            </w:pPr>
          </w:p>
        </w:tc>
        <w:tc>
          <w:tcPr>
            <w:tcW w:w="780" w:type="dxa"/>
            <w:vAlign w:val="bottom"/>
            <w:shd w:val="clear" w:color="auto" w:fill="F2F2F2"/>
          </w:tcPr>
          <w:p>
            <w:pPr>
              <w:ind w:left="520"/>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F2F2F2"/>
          </w:tcPr>
          <w:p>
            <w:pPr>
              <w:spacing w:after="0"/>
              <w:rPr>
                <w:sz w:val="19"/>
                <w:szCs w:val="19"/>
                <w:color w:val="auto"/>
              </w:rPr>
            </w:pPr>
          </w:p>
        </w:tc>
        <w:tc>
          <w:tcPr>
            <w:tcW w:w="1060" w:type="dxa"/>
            <w:vAlign w:val="bottom"/>
            <w:shd w:val="clear" w:color="auto" w:fill="F2F2F2"/>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shd w:val="clear" w:color="auto" w:fill="F2F2F2"/>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2F2"/>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F2F2F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12/09/2024</w:t>
            </w:r>
          </w:p>
        </w:tc>
        <w:tc>
          <w:tcPr>
            <w:tcW w:w="640" w:type="dxa"/>
            <w:vAlign w:val="bottom"/>
            <w:shd w:val="clear" w:color="auto" w:fill="F2F2F2"/>
          </w:tcPr>
          <w:p>
            <w:pPr>
              <w:jc w:val="right"/>
              <w:ind w:right="19"/>
              <w:spacing w:after="0"/>
              <w:rPr>
                <w:sz w:val="20"/>
                <w:szCs w:val="20"/>
                <w:color w:val="auto"/>
              </w:rPr>
            </w:pPr>
            <w:r>
              <w:rPr>
                <w:rFonts w:ascii="Arial" w:cs="Arial" w:eastAsia="Arial" w:hAnsi="Arial"/>
                <w:sz w:val="13"/>
                <w:szCs w:val="13"/>
                <w:color w:val="auto"/>
              </w:rPr>
              <w:t>1,235</w:t>
            </w:r>
            <w:r>
              <w:rPr>
                <w:rFonts w:ascii="Arial" w:cs="Arial" w:eastAsia="Arial" w:hAnsi="Arial"/>
                <w:sz w:val="18"/>
                <w:szCs w:val="18"/>
                <w:color w:val="auto"/>
                <w:vertAlign w:val="superscript"/>
              </w:rPr>
              <w:t>(6)</w:t>
            </w:r>
          </w:p>
        </w:tc>
        <w:tc>
          <w:tcPr>
            <w:tcW w:w="88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1,847,682</w:t>
            </w:r>
          </w:p>
        </w:tc>
        <w:tc>
          <w:tcPr>
            <w:tcW w:w="720" w:type="dxa"/>
            <w:vAlign w:val="bottom"/>
            <w:shd w:val="clear" w:color="auto" w:fill="F2F2F2"/>
          </w:tcPr>
          <w:p>
            <w:pPr>
              <w:jc w:val="right"/>
              <w:ind w:right="77"/>
              <w:spacing w:after="0"/>
              <w:rPr>
                <w:sz w:val="20"/>
                <w:szCs w:val="20"/>
                <w:color w:val="auto"/>
              </w:rPr>
            </w:pPr>
            <w:r>
              <w:rPr>
                <w:rFonts w:ascii="Arial" w:cs="Arial" w:eastAsia="Arial" w:hAnsi="Arial"/>
                <w:sz w:val="13"/>
                <w:szCs w:val="13"/>
                <w:color w:val="auto"/>
              </w:rPr>
              <w:t>411</w:t>
            </w:r>
            <w:r>
              <w:rPr>
                <w:rFonts w:ascii="Arial" w:cs="Arial" w:eastAsia="Arial" w:hAnsi="Arial"/>
                <w:sz w:val="18"/>
                <w:szCs w:val="18"/>
                <w:color w:val="auto"/>
                <w:vertAlign w:val="superscript"/>
              </w:rPr>
              <w:t>(9)</w:t>
            </w:r>
          </w:p>
        </w:tc>
        <w:tc>
          <w:tcPr>
            <w:tcW w:w="7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615,074</w:t>
            </w:r>
          </w:p>
        </w:tc>
        <w:tc>
          <w:tcPr>
            <w:tcW w:w="0" w:type="dxa"/>
            <w:vAlign w:val="bottom"/>
          </w:tcPr>
          <w:p>
            <w:pPr>
              <w:spacing w:after="0"/>
              <w:rPr>
                <w:sz w:val="1"/>
                <w:szCs w:val="1"/>
                <w:color w:val="auto"/>
              </w:rPr>
            </w:pPr>
          </w:p>
        </w:tc>
      </w:tr>
      <w:tr>
        <w:trPr>
          <w:trHeight w:val="279"/>
        </w:trPr>
        <w:tc>
          <w:tcPr>
            <w:tcW w:w="1220" w:type="dxa"/>
            <w:vAlign w:val="bottom"/>
          </w:tcPr>
          <w:p>
            <w:pPr>
              <w:spacing w:after="0"/>
              <w:rPr>
                <w:sz w:val="20"/>
                <w:szCs w:val="20"/>
                <w:color w:val="auto"/>
              </w:rPr>
            </w:pPr>
            <w:r>
              <w:rPr>
                <w:rFonts w:ascii="Arial" w:cs="Arial" w:eastAsia="Arial" w:hAnsi="Arial"/>
                <w:sz w:val="13"/>
                <w:szCs w:val="13"/>
                <w:color w:val="auto"/>
              </w:rPr>
              <w:t>Nikhil Behl</w:t>
            </w: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— </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12/10/2021</w:t>
            </w:r>
          </w:p>
        </w:tc>
        <w:tc>
          <w:tcPr>
            <w:tcW w:w="640" w:type="dxa"/>
            <w:vAlign w:val="bottom"/>
          </w:tcPr>
          <w:p>
            <w:pPr>
              <w:jc w:val="right"/>
              <w:ind w:right="19"/>
              <w:spacing w:after="0" w:line="278" w:lineRule="exact"/>
              <w:rPr>
                <w:sz w:val="20"/>
                <w:szCs w:val="20"/>
                <w:color w:val="auto"/>
              </w:rPr>
            </w:pPr>
            <w:r>
              <w:rPr>
                <w:rFonts w:ascii="Arial" w:cs="Arial" w:eastAsia="Arial" w:hAnsi="Arial"/>
                <w:sz w:val="25"/>
                <w:szCs w:val="25"/>
                <w:color w:val="auto"/>
                <w:vertAlign w:val="subscript"/>
              </w:rPr>
              <w:t>468</w:t>
            </w:r>
            <w:r>
              <w:rPr>
                <w:rFonts w:ascii="Arial" w:cs="Arial" w:eastAsia="Arial" w:hAnsi="Arial"/>
                <w:sz w:val="9"/>
                <w:szCs w:val="9"/>
                <w:color w:val="auto"/>
              </w:rPr>
              <w:t>(2)</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700,376</w:t>
            </w:r>
          </w:p>
        </w:tc>
        <w:tc>
          <w:tcPr>
            <w:tcW w:w="7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— </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05/23/2022</w:t>
            </w:r>
          </w:p>
        </w:tc>
        <w:tc>
          <w:tcPr>
            <w:tcW w:w="640" w:type="dxa"/>
            <w:vAlign w:val="bottom"/>
          </w:tcPr>
          <w:p>
            <w:pPr>
              <w:jc w:val="right"/>
              <w:ind w:right="19"/>
              <w:spacing w:after="0"/>
              <w:rPr>
                <w:sz w:val="20"/>
                <w:szCs w:val="20"/>
                <w:color w:val="auto"/>
              </w:rPr>
            </w:pPr>
            <w:r>
              <w:rPr>
                <w:rFonts w:ascii="Arial" w:cs="Arial" w:eastAsia="Arial" w:hAnsi="Arial"/>
                <w:sz w:val="13"/>
                <w:szCs w:val="13"/>
                <w:color w:val="auto"/>
              </w:rPr>
              <w:t>2,194</w:t>
            </w:r>
            <w:r>
              <w:rPr>
                <w:rFonts w:ascii="Arial" w:cs="Arial" w:eastAsia="Arial" w:hAnsi="Arial"/>
                <w:sz w:val="18"/>
                <w:szCs w:val="18"/>
                <w:color w:val="auto"/>
                <w:vertAlign w:val="superscript"/>
              </w:rPr>
              <w:t>(2)</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3,283,387</w:t>
            </w:r>
          </w:p>
        </w:tc>
        <w:tc>
          <w:tcPr>
            <w:tcW w:w="7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— </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12/09/2022</w:t>
            </w:r>
          </w:p>
        </w:tc>
        <w:tc>
          <w:tcPr>
            <w:tcW w:w="640" w:type="dxa"/>
            <w:vAlign w:val="bottom"/>
          </w:tcPr>
          <w:p>
            <w:pPr>
              <w:jc w:val="right"/>
              <w:ind w:right="19"/>
              <w:spacing w:after="0"/>
              <w:rPr>
                <w:sz w:val="20"/>
                <w:szCs w:val="20"/>
                <w:color w:val="auto"/>
              </w:rPr>
            </w:pPr>
            <w:r>
              <w:rPr>
                <w:rFonts w:ascii="Arial" w:cs="Arial" w:eastAsia="Arial" w:hAnsi="Arial"/>
                <w:sz w:val="13"/>
                <w:szCs w:val="13"/>
                <w:color w:val="auto"/>
              </w:rPr>
              <w:t>654</w:t>
            </w:r>
            <w:r>
              <w:rPr>
                <w:rFonts w:ascii="Arial" w:cs="Arial" w:eastAsia="Arial" w:hAnsi="Arial"/>
                <w:sz w:val="18"/>
                <w:szCs w:val="18"/>
                <w:color w:val="auto"/>
                <w:vertAlign w:val="superscript"/>
              </w:rPr>
              <w:t>(2)</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978,731</w:t>
            </w:r>
          </w:p>
        </w:tc>
        <w:tc>
          <w:tcPr>
            <w:tcW w:w="7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— </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12/09/2023</w:t>
            </w:r>
          </w:p>
        </w:tc>
        <w:tc>
          <w:tcPr>
            <w:tcW w:w="640" w:type="dxa"/>
            <w:vAlign w:val="bottom"/>
          </w:tcPr>
          <w:p>
            <w:pPr>
              <w:jc w:val="right"/>
              <w:ind w:right="19"/>
              <w:spacing w:after="0"/>
              <w:rPr>
                <w:sz w:val="20"/>
                <w:szCs w:val="20"/>
                <w:color w:val="auto"/>
              </w:rPr>
            </w:pPr>
            <w:r>
              <w:rPr>
                <w:rFonts w:ascii="Arial" w:cs="Arial" w:eastAsia="Arial" w:hAnsi="Arial"/>
                <w:sz w:val="13"/>
                <w:szCs w:val="13"/>
                <w:color w:val="auto"/>
              </w:rPr>
              <w:t>888</w:t>
            </w:r>
            <w:r>
              <w:rPr>
                <w:rFonts w:ascii="Arial" w:cs="Arial" w:eastAsia="Arial" w:hAnsi="Arial"/>
                <w:sz w:val="18"/>
                <w:szCs w:val="18"/>
                <w:color w:val="auto"/>
                <w:vertAlign w:val="superscript"/>
              </w:rPr>
              <w:t>(2)</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1,328,919</w:t>
            </w:r>
          </w:p>
        </w:tc>
        <w:tc>
          <w:tcPr>
            <w:tcW w:w="7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— </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12/09/2023</w:t>
            </w:r>
          </w:p>
        </w:tc>
        <w:tc>
          <w:tcPr>
            <w:tcW w:w="640" w:type="dxa"/>
            <w:vAlign w:val="bottom"/>
          </w:tcPr>
          <w:p>
            <w:pPr>
              <w:jc w:val="right"/>
              <w:ind w:right="19"/>
              <w:spacing w:after="0"/>
              <w:rPr>
                <w:sz w:val="20"/>
                <w:szCs w:val="20"/>
                <w:color w:val="auto"/>
              </w:rPr>
            </w:pPr>
            <w:r>
              <w:rPr>
                <w:rFonts w:ascii="Arial" w:cs="Arial" w:eastAsia="Arial" w:hAnsi="Arial"/>
                <w:sz w:val="13"/>
                <w:szCs w:val="13"/>
                <w:color w:val="auto"/>
              </w:rPr>
              <w:t>1,578</w:t>
            </w:r>
            <w:r>
              <w:rPr>
                <w:rFonts w:ascii="Arial" w:cs="Arial" w:eastAsia="Arial" w:hAnsi="Arial"/>
                <w:sz w:val="18"/>
                <w:szCs w:val="18"/>
                <w:color w:val="auto"/>
                <w:vertAlign w:val="superscript"/>
              </w:rPr>
              <w:t>(5)</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2,361,524</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1,578</w:t>
            </w:r>
            <w:r>
              <w:rPr>
                <w:rFonts w:ascii="Arial" w:cs="Arial" w:eastAsia="Arial" w:hAnsi="Arial"/>
                <w:sz w:val="18"/>
                <w:szCs w:val="18"/>
                <w:color w:val="auto"/>
                <w:vertAlign w:val="superscript"/>
              </w:rPr>
              <w:t>(8)</w:t>
            </w:r>
          </w:p>
        </w:tc>
        <w:tc>
          <w:tcPr>
            <w:tcW w:w="760" w:type="dxa"/>
            <w:vAlign w:val="bottom"/>
          </w:tcPr>
          <w:p>
            <w:pPr>
              <w:jc w:val="right"/>
              <w:spacing w:after="0"/>
              <w:rPr>
                <w:sz w:val="20"/>
                <w:szCs w:val="20"/>
                <w:color w:val="auto"/>
              </w:rPr>
            </w:pPr>
            <w:r>
              <w:rPr>
                <w:rFonts w:ascii="Arial" w:cs="Arial" w:eastAsia="Arial" w:hAnsi="Arial"/>
                <w:sz w:val="13"/>
                <w:szCs w:val="13"/>
                <w:color w:val="auto"/>
              </w:rPr>
              <w:t>2,361,524</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— </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07/05/2024</w:t>
            </w:r>
          </w:p>
        </w:tc>
        <w:tc>
          <w:tcPr>
            <w:tcW w:w="640" w:type="dxa"/>
            <w:vAlign w:val="bottom"/>
          </w:tcPr>
          <w:p>
            <w:pPr>
              <w:jc w:val="right"/>
              <w:ind w:right="19"/>
              <w:spacing w:after="0" w:line="229" w:lineRule="exact"/>
              <w:rPr>
                <w:sz w:val="20"/>
                <w:szCs w:val="20"/>
                <w:color w:val="auto"/>
              </w:rPr>
            </w:pPr>
            <w:r>
              <w:rPr>
                <w:rFonts w:ascii="Arial" w:cs="Arial" w:eastAsia="Arial" w:hAnsi="Arial"/>
                <w:sz w:val="25"/>
                <w:szCs w:val="25"/>
                <w:color w:val="auto"/>
                <w:vertAlign w:val="subscript"/>
              </w:rPr>
              <w:t>725</w:t>
            </w:r>
            <w:r>
              <w:rPr>
                <w:rFonts w:ascii="Arial" w:cs="Arial" w:eastAsia="Arial" w:hAnsi="Arial"/>
                <w:sz w:val="9"/>
                <w:szCs w:val="9"/>
                <w:color w:val="auto"/>
              </w:rPr>
              <w:t>(2)</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1,084,984</w:t>
            </w:r>
          </w:p>
        </w:tc>
        <w:tc>
          <w:tcPr>
            <w:tcW w:w="7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— </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12/09/2024</w:t>
            </w:r>
          </w:p>
        </w:tc>
        <w:tc>
          <w:tcPr>
            <w:tcW w:w="640" w:type="dxa"/>
            <w:vAlign w:val="bottom"/>
          </w:tcPr>
          <w:p>
            <w:pPr>
              <w:jc w:val="right"/>
              <w:ind w:right="19"/>
              <w:spacing w:after="0" w:line="229" w:lineRule="exact"/>
              <w:rPr>
                <w:sz w:val="20"/>
                <w:szCs w:val="20"/>
                <w:color w:val="auto"/>
              </w:rPr>
            </w:pPr>
            <w:r>
              <w:rPr>
                <w:rFonts w:ascii="Arial" w:cs="Arial" w:eastAsia="Arial" w:hAnsi="Arial"/>
                <w:sz w:val="25"/>
                <w:szCs w:val="25"/>
                <w:color w:val="auto"/>
                <w:vertAlign w:val="subscript"/>
              </w:rPr>
              <w:t>896</w:t>
            </w:r>
            <w:r>
              <w:rPr>
                <w:rFonts w:ascii="Arial" w:cs="Arial" w:eastAsia="Arial" w:hAnsi="Arial"/>
                <w:sz w:val="9"/>
                <w:szCs w:val="9"/>
                <w:color w:val="auto"/>
              </w:rPr>
              <w:t>(2)</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1,340,891</w:t>
            </w:r>
          </w:p>
        </w:tc>
        <w:tc>
          <w:tcPr>
            <w:tcW w:w="7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— </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12/09/2024</w:t>
            </w:r>
          </w:p>
        </w:tc>
        <w:tc>
          <w:tcPr>
            <w:tcW w:w="640" w:type="dxa"/>
            <w:vAlign w:val="bottom"/>
          </w:tcPr>
          <w:p>
            <w:pPr>
              <w:jc w:val="right"/>
              <w:ind w:right="19"/>
              <w:spacing w:after="0" w:line="180" w:lineRule="exact"/>
              <w:rPr>
                <w:sz w:val="20"/>
                <w:szCs w:val="20"/>
                <w:color w:val="auto"/>
              </w:rPr>
            </w:pPr>
            <w:r>
              <w:rPr>
                <w:rFonts w:ascii="Arial" w:cs="Arial" w:eastAsia="Arial" w:hAnsi="Arial"/>
                <w:sz w:val="13"/>
                <w:szCs w:val="13"/>
                <w:color w:val="auto"/>
              </w:rPr>
              <w:t>1,346</w:t>
            </w:r>
            <w:r>
              <w:rPr>
                <w:rFonts w:ascii="Arial" w:cs="Arial" w:eastAsia="Arial" w:hAnsi="Arial"/>
                <w:sz w:val="18"/>
                <w:szCs w:val="18"/>
                <w:color w:val="auto"/>
                <w:vertAlign w:val="superscript"/>
              </w:rPr>
              <w:t>(6)</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2,014,018</w:t>
            </w:r>
          </w:p>
        </w:tc>
        <w:tc>
          <w:tcPr>
            <w:tcW w:w="720" w:type="dxa"/>
            <w:vAlign w:val="bottom"/>
          </w:tcPr>
          <w:p>
            <w:pPr>
              <w:jc w:val="right"/>
              <w:ind w:right="77"/>
              <w:spacing w:after="0" w:line="180" w:lineRule="exact"/>
              <w:rPr>
                <w:sz w:val="20"/>
                <w:szCs w:val="20"/>
                <w:color w:val="auto"/>
              </w:rPr>
            </w:pPr>
            <w:r>
              <w:rPr>
                <w:rFonts w:ascii="Arial" w:cs="Arial" w:eastAsia="Arial" w:hAnsi="Arial"/>
                <w:sz w:val="13"/>
                <w:szCs w:val="13"/>
                <w:color w:val="auto"/>
              </w:rPr>
              <w:t>448</w:t>
            </w:r>
            <w:r>
              <w:rPr>
                <w:rFonts w:ascii="Arial" w:cs="Arial" w:eastAsia="Arial" w:hAnsi="Arial"/>
                <w:sz w:val="18"/>
                <w:szCs w:val="18"/>
                <w:color w:val="auto"/>
                <w:vertAlign w:val="superscript"/>
              </w:rPr>
              <w:t>(9)</w:t>
            </w:r>
          </w:p>
        </w:tc>
        <w:tc>
          <w:tcPr>
            <w:tcW w:w="760" w:type="dxa"/>
            <w:vAlign w:val="bottom"/>
          </w:tcPr>
          <w:p>
            <w:pPr>
              <w:jc w:val="right"/>
              <w:spacing w:after="0"/>
              <w:rPr>
                <w:sz w:val="20"/>
                <w:szCs w:val="20"/>
                <w:color w:val="auto"/>
              </w:rPr>
            </w:pPr>
            <w:r>
              <w:rPr>
                <w:rFonts w:ascii="Arial" w:cs="Arial" w:eastAsia="Arial" w:hAnsi="Arial"/>
                <w:sz w:val="13"/>
                <w:szCs w:val="13"/>
                <w:color w:val="auto"/>
              </w:rPr>
              <w:t>670,445</w:t>
            </w:r>
          </w:p>
        </w:tc>
        <w:tc>
          <w:tcPr>
            <w:tcW w:w="0" w:type="dxa"/>
            <w:vAlign w:val="bottom"/>
          </w:tcPr>
          <w:p>
            <w:pPr>
              <w:spacing w:after="0"/>
              <w:rPr>
                <w:sz w:val="1"/>
                <w:szCs w:val="1"/>
                <w:color w:val="auto"/>
              </w:rPr>
            </w:pPr>
          </w:p>
        </w:tc>
      </w:tr>
      <w:tr>
        <w:trPr>
          <w:trHeight w:val="68"/>
        </w:trPr>
        <w:tc>
          <w:tcPr>
            <w:tcW w:w="1220" w:type="dxa"/>
            <w:vAlign w:val="bottom"/>
            <w:vMerge w:val="restart"/>
            <w:shd w:val="clear" w:color="auto" w:fill="F2F2F2"/>
          </w:tcPr>
          <w:p>
            <w:pPr>
              <w:spacing w:after="0"/>
              <w:rPr>
                <w:sz w:val="20"/>
                <w:szCs w:val="20"/>
                <w:color w:val="auto"/>
              </w:rPr>
            </w:pPr>
            <w:r>
              <w:rPr>
                <w:rFonts w:ascii="Arial" w:cs="Arial" w:eastAsia="Arial" w:hAnsi="Arial"/>
                <w:sz w:val="13"/>
                <w:szCs w:val="13"/>
                <w:color w:val="auto"/>
              </w:rPr>
              <w:t>Richard Deal</w:t>
            </w:r>
          </w:p>
        </w:tc>
        <w:tc>
          <w:tcPr>
            <w:tcW w:w="900" w:type="dxa"/>
            <w:vAlign w:val="bottom"/>
            <w:gridSpan w:val="2"/>
            <w:shd w:val="clear" w:color="auto" w:fill="F2F2F2"/>
          </w:tcPr>
          <w:p>
            <w:pPr>
              <w:spacing w:after="0"/>
              <w:rPr>
                <w:sz w:val="5"/>
                <w:szCs w:val="5"/>
                <w:color w:val="auto"/>
              </w:rPr>
            </w:pPr>
          </w:p>
        </w:tc>
        <w:tc>
          <w:tcPr>
            <w:tcW w:w="1060" w:type="dxa"/>
            <w:vAlign w:val="bottom"/>
            <w:vMerge w:val="restart"/>
            <w:shd w:val="clear" w:color="auto" w:fill="F2F2F2"/>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vMerge w:val="restart"/>
            <w:shd w:val="clear" w:color="auto" w:fill="F2F2F2"/>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F2F2F2"/>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vMerge w:val="restart"/>
            <w:shd w:val="clear" w:color="auto" w:fill="F2F2F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vMerge w:val="restart"/>
            <w:shd w:val="clear" w:color="auto" w:fill="F2F2F2"/>
          </w:tcPr>
          <w:p>
            <w:pPr>
              <w:jc w:val="right"/>
              <w:ind w:right="17"/>
              <w:spacing w:after="0"/>
              <w:rPr>
                <w:sz w:val="20"/>
                <w:szCs w:val="20"/>
                <w:color w:val="auto"/>
              </w:rPr>
            </w:pPr>
            <w:r>
              <w:rPr>
                <w:rFonts w:ascii="Arial" w:cs="Arial" w:eastAsia="Arial" w:hAnsi="Arial"/>
                <w:sz w:val="13"/>
                <w:szCs w:val="13"/>
                <w:color w:val="auto"/>
              </w:rPr>
              <w:t>12/10/2021</w:t>
            </w:r>
          </w:p>
        </w:tc>
        <w:tc>
          <w:tcPr>
            <w:tcW w:w="640" w:type="dxa"/>
            <w:vAlign w:val="bottom"/>
            <w:vMerge w:val="restart"/>
            <w:shd w:val="clear" w:color="auto" w:fill="F2F2F2"/>
          </w:tcPr>
          <w:p>
            <w:pPr>
              <w:jc w:val="right"/>
              <w:ind w:right="19"/>
              <w:spacing w:after="0" w:line="229" w:lineRule="exact"/>
              <w:rPr>
                <w:sz w:val="20"/>
                <w:szCs w:val="20"/>
                <w:color w:val="auto"/>
              </w:rPr>
            </w:pPr>
            <w:r>
              <w:rPr>
                <w:rFonts w:ascii="Arial" w:cs="Arial" w:eastAsia="Arial" w:hAnsi="Arial"/>
                <w:sz w:val="25"/>
                <w:szCs w:val="25"/>
                <w:color w:val="auto"/>
                <w:vertAlign w:val="subscript"/>
              </w:rPr>
              <w:t>891</w:t>
            </w:r>
            <w:r>
              <w:rPr>
                <w:rFonts w:ascii="Arial" w:cs="Arial" w:eastAsia="Arial" w:hAnsi="Arial"/>
                <w:sz w:val="9"/>
                <w:szCs w:val="9"/>
                <w:color w:val="auto"/>
              </w:rPr>
              <w:t>(2)</w:t>
            </w:r>
          </w:p>
        </w:tc>
        <w:tc>
          <w:tcPr>
            <w:tcW w:w="880" w:type="dxa"/>
            <w:vAlign w:val="bottom"/>
            <w:vMerge w:val="restart"/>
            <w:shd w:val="clear" w:color="auto" w:fill="F2F2F2"/>
          </w:tcPr>
          <w:p>
            <w:pPr>
              <w:jc w:val="right"/>
              <w:ind w:right="17"/>
              <w:spacing w:after="0"/>
              <w:rPr>
                <w:sz w:val="20"/>
                <w:szCs w:val="20"/>
                <w:color w:val="auto"/>
              </w:rPr>
            </w:pPr>
            <w:r>
              <w:rPr>
                <w:rFonts w:ascii="Arial" w:cs="Arial" w:eastAsia="Arial" w:hAnsi="Arial"/>
                <w:sz w:val="13"/>
                <w:szCs w:val="13"/>
                <w:color w:val="auto"/>
              </w:rPr>
              <w:t>1,333,408</w:t>
            </w:r>
          </w:p>
        </w:tc>
        <w:tc>
          <w:tcPr>
            <w:tcW w:w="720" w:type="dxa"/>
            <w:vAlign w:val="bottom"/>
            <w:vMerge w:val="restart"/>
            <w:shd w:val="clear" w:color="auto" w:fill="F2F2F2"/>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220" w:type="dxa"/>
            <w:vAlign w:val="bottom"/>
            <w:vMerge w:val="continue"/>
            <w:shd w:val="clear" w:color="auto" w:fill="F2F2F2"/>
          </w:tcPr>
          <w:p>
            <w:pPr>
              <w:spacing w:after="0"/>
              <w:rPr>
                <w:sz w:val="14"/>
                <w:szCs w:val="14"/>
                <w:color w:val="auto"/>
              </w:rPr>
            </w:pPr>
          </w:p>
        </w:tc>
        <w:tc>
          <w:tcPr>
            <w:tcW w:w="780" w:type="dxa"/>
            <w:vAlign w:val="bottom"/>
            <w:shd w:val="clear" w:color="auto" w:fill="F2F2F2"/>
          </w:tcPr>
          <w:p>
            <w:pPr>
              <w:ind w:left="520"/>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F2F2F2"/>
          </w:tcPr>
          <w:p>
            <w:pPr>
              <w:spacing w:after="0"/>
              <w:rPr>
                <w:sz w:val="14"/>
                <w:szCs w:val="14"/>
                <w:color w:val="auto"/>
              </w:rPr>
            </w:pPr>
          </w:p>
        </w:tc>
        <w:tc>
          <w:tcPr>
            <w:tcW w:w="1060" w:type="dxa"/>
            <w:vAlign w:val="bottom"/>
            <w:vMerge w:val="continue"/>
            <w:shd w:val="clear" w:color="auto" w:fill="F2F2F2"/>
          </w:tcPr>
          <w:p>
            <w:pPr>
              <w:spacing w:after="0"/>
              <w:rPr>
                <w:sz w:val="14"/>
                <w:szCs w:val="14"/>
                <w:color w:val="auto"/>
              </w:rPr>
            </w:pPr>
          </w:p>
        </w:tc>
        <w:tc>
          <w:tcPr>
            <w:tcW w:w="1220" w:type="dxa"/>
            <w:vAlign w:val="bottom"/>
            <w:vMerge w:val="continue"/>
            <w:shd w:val="clear" w:color="auto" w:fill="F2F2F2"/>
          </w:tcPr>
          <w:p>
            <w:pPr>
              <w:spacing w:after="0"/>
              <w:rPr>
                <w:sz w:val="14"/>
                <w:szCs w:val="14"/>
                <w:color w:val="auto"/>
              </w:rPr>
            </w:pPr>
          </w:p>
        </w:tc>
        <w:tc>
          <w:tcPr>
            <w:tcW w:w="1080" w:type="dxa"/>
            <w:vAlign w:val="bottom"/>
            <w:vMerge w:val="continue"/>
            <w:shd w:val="clear" w:color="auto" w:fill="F2F2F2"/>
          </w:tcPr>
          <w:p>
            <w:pPr>
              <w:spacing w:after="0"/>
              <w:rPr>
                <w:sz w:val="14"/>
                <w:szCs w:val="14"/>
                <w:color w:val="auto"/>
              </w:rPr>
            </w:pPr>
          </w:p>
        </w:tc>
        <w:tc>
          <w:tcPr>
            <w:tcW w:w="860" w:type="dxa"/>
            <w:vAlign w:val="bottom"/>
            <w:vMerge w:val="continue"/>
            <w:shd w:val="clear" w:color="auto" w:fill="F2F2F2"/>
          </w:tcPr>
          <w:p>
            <w:pPr>
              <w:spacing w:after="0"/>
              <w:rPr>
                <w:sz w:val="14"/>
                <w:szCs w:val="14"/>
                <w:color w:val="auto"/>
              </w:rPr>
            </w:pPr>
          </w:p>
        </w:tc>
        <w:tc>
          <w:tcPr>
            <w:tcW w:w="880" w:type="dxa"/>
            <w:vAlign w:val="bottom"/>
            <w:gridSpan w:val="2"/>
            <w:vMerge w:val="continue"/>
            <w:shd w:val="clear" w:color="auto" w:fill="F2F2F2"/>
          </w:tcPr>
          <w:p>
            <w:pPr>
              <w:spacing w:after="0"/>
              <w:rPr>
                <w:sz w:val="14"/>
                <w:szCs w:val="14"/>
                <w:color w:val="auto"/>
              </w:rPr>
            </w:pPr>
          </w:p>
        </w:tc>
        <w:tc>
          <w:tcPr>
            <w:tcW w:w="800" w:type="dxa"/>
            <w:vAlign w:val="bottom"/>
            <w:vMerge w:val="continue"/>
            <w:shd w:val="clear" w:color="auto" w:fill="F2F2F2"/>
          </w:tcPr>
          <w:p>
            <w:pPr>
              <w:spacing w:after="0"/>
              <w:rPr>
                <w:sz w:val="14"/>
                <w:szCs w:val="14"/>
                <w:color w:val="auto"/>
              </w:rPr>
            </w:pPr>
          </w:p>
        </w:tc>
        <w:tc>
          <w:tcPr>
            <w:tcW w:w="640" w:type="dxa"/>
            <w:vAlign w:val="bottom"/>
            <w:vMerge w:val="continue"/>
            <w:shd w:val="clear" w:color="auto" w:fill="F2F2F2"/>
          </w:tcPr>
          <w:p>
            <w:pPr>
              <w:spacing w:after="0"/>
              <w:rPr>
                <w:sz w:val="14"/>
                <w:szCs w:val="14"/>
                <w:color w:val="auto"/>
              </w:rPr>
            </w:pPr>
          </w:p>
        </w:tc>
        <w:tc>
          <w:tcPr>
            <w:tcW w:w="880" w:type="dxa"/>
            <w:vAlign w:val="bottom"/>
            <w:vMerge w:val="continue"/>
            <w:shd w:val="clear" w:color="auto" w:fill="F2F2F2"/>
          </w:tcPr>
          <w:p>
            <w:pPr>
              <w:spacing w:after="0"/>
              <w:rPr>
                <w:sz w:val="14"/>
                <w:szCs w:val="14"/>
                <w:color w:val="auto"/>
              </w:rPr>
            </w:pPr>
          </w:p>
        </w:tc>
        <w:tc>
          <w:tcPr>
            <w:tcW w:w="720" w:type="dxa"/>
            <w:vAlign w:val="bottom"/>
            <w:vMerge w:val="continue"/>
            <w:shd w:val="clear" w:color="auto" w:fill="F2F2F2"/>
          </w:tcPr>
          <w:p>
            <w:pPr>
              <w:spacing w:after="0"/>
              <w:rPr>
                <w:sz w:val="14"/>
                <w:szCs w:val="14"/>
                <w:color w:val="auto"/>
              </w:rPr>
            </w:pPr>
          </w:p>
        </w:tc>
        <w:tc>
          <w:tcPr>
            <w:tcW w:w="7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0"/>
        </w:trPr>
        <w:tc>
          <w:tcPr>
            <w:tcW w:w="1220" w:type="dxa"/>
            <w:vAlign w:val="bottom"/>
            <w:shd w:val="clear" w:color="auto" w:fill="F2F2F2"/>
          </w:tcPr>
          <w:p>
            <w:pPr>
              <w:spacing w:after="0"/>
              <w:rPr>
                <w:sz w:val="19"/>
                <w:szCs w:val="19"/>
                <w:color w:val="auto"/>
              </w:rPr>
            </w:pPr>
          </w:p>
        </w:tc>
        <w:tc>
          <w:tcPr>
            <w:tcW w:w="780" w:type="dxa"/>
            <w:vAlign w:val="bottom"/>
            <w:shd w:val="clear" w:color="auto" w:fill="F2F2F2"/>
          </w:tcPr>
          <w:p>
            <w:pPr>
              <w:ind w:left="520"/>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F2F2F2"/>
          </w:tcPr>
          <w:p>
            <w:pPr>
              <w:spacing w:after="0"/>
              <w:rPr>
                <w:sz w:val="19"/>
                <w:szCs w:val="19"/>
                <w:color w:val="auto"/>
              </w:rPr>
            </w:pPr>
          </w:p>
        </w:tc>
        <w:tc>
          <w:tcPr>
            <w:tcW w:w="1060" w:type="dxa"/>
            <w:vAlign w:val="bottom"/>
            <w:shd w:val="clear" w:color="auto" w:fill="F2F2F2"/>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shd w:val="clear" w:color="auto" w:fill="F2F2F2"/>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2F2"/>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F2F2F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12/09/2022</w:t>
            </w:r>
          </w:p>
        </w:tc>
        <w:tc>
          <w:tcPr>
            <w:tcW w:w="640" w:type="dxa"/>
            <w:vAlign w:val="bottom"/>
            <w:shd w:val="clear" w:color="auto" w:fill="F2F2F2"/>
          </w:tcPr>
          <w:p>
            <w:pPr>
              <w:jc w:val="right"/>
              <w:ind w:right="19"/>
              <w:spacing w:after="0"/>
              <w:rPr>
                <w:sz w:val="20"/>
                <w:szCs w:val="20"/>
                <w:color w:val="auto"/>
              </w:rPr>
            </w:pPr>
            <w:r>
              <w:rPr>
                <w:rFonts w:ascii="Arial" w:cs="Arial" w:eastAsia="Arial" w:hAnsi="Arial"/>
                <w:sz w:val="13"/>
                <w:szCs w:val="13"/>
                <w:color w:val="auto"/>
              </w:rPr>
              <w:t>1,246</w:t>
            </w:r>
            <w:r>
              <w:rPr>
                <w:rFonts w:ascii="Arial" w:cs="Arial" w:eastAsia="Arial" w:hAnsi="Arial"/>
                <w:sz w:val="18"/>
                <w:szCs w:val="18"/>
                <w:color w:val="auto"/>
                <w:vertAlign w:val="superscript"/>
              </w:rPr>
              <w:t>(2)</w:t>
            </w:r>
          </w:p>
        </w:tc>
        <w:tc>
          <w:tcPr>
            <w:tcW w:w="88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1,864,676</w:t>
            </w:r>
          </w:p>
        </w:tc>
        <w:tc>
          <w:tcPr>
            <w:tcW w:w="720" w:type="dxa"/>
            <w:vAlign w:val="bottom"/>
            <w:shd w:val="clear" w:color="auto" w:fill="F2F2F2"/>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9"/>
        </w:trPr>
        <w:tc>
          <w:tcPr>
            <w:tcW w:w="1220" w:type="dxa"/>
            <w:vAlign w:val="bottom"/>
            <w:shd w:val="clear" w:color="auto" w:fill="F2F2F2"/>
          </w:tcPr>
          <w:p>
            <w:pPr>
              <w:spacing w:after="0"/>
              <w:rPr>
                <w:sz w:val="19"/>
                <w:szCs w:val="19"/>
                <w:color w:val="auto"/>
              </w:rPr>
            </w:pPr>
          </w:p>
        </w:tc>
        <w:tc>
          <w:tcPr>
            <w:tcW w:w="780" w:type="dxa"/>
            <w:vAlign w:val="bottom"/>
            <w:shd w:val="clear" w:color="auto" w:fill="F2F2F2"/>
          </w:tcPr>
          <w:p>
            <w:pPr>
              <w:ind w:left="520"/>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F2F2F2"/>
          </w:tcPr>
          <w:p>
            <w:pPr>
              <w:spacing w:after="0"/>
              <w:rPr>
                <w:sz w:val="19"/>
                <w:szCs w:val="19"/>
                <w:color w:val="auto"/>
              </w:rPr>
            </w:pPr>
          </w:p>
        </w:tc>
        <w:tc>
          <w:tcPr>
            <w:tcW w:w="1060" w:type="dxa"/>
            <w:vAlign w:val="bottom"/>
            <w:shd w:val="clear" w:color="auto" w:fill="F2F2F2"/>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shd w:val="clear" w:color="auto" w:fill="F2F2F2"/>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2F2"/>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F2F2F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12/09/2022</w:t>
            </w:r>
          </w:p>
        </w:tc>
        <w:tc>
          <w:tcPr>
            <w:tcW w:w="640" w:type="dxa"/>
            <w:vAlign w:val="bottom"/>
            <w:shd w:val="clear" w:color="auto" w:fill="F2F2F2"/>
          </w:tcPr>
          <w:p>
            <w:pPr>
              <w:jc w:val="right"/>
              <w:ind w:right="19"/>
              <w:spacing w:after="0"/>
              <w:rPr>
                <w:sz w:val="20"/>
                <w:szCs w:val="20"/>
                <w:color w:val="auto"/>
              </w:rPr>
            </w:pPr>
            <w:r>
              <w:rPr>
                <w:rFonts w:ascii="Arial" w:cs="Arial" w:eastAsia="Arial" w:hAnsi="Arial"/>
                <w:sz w:val="13"/>
                <w:szCs w:val="13"/>
                <w:color w:val="auto"/>
              </w:rPr>
              <w:t>1,662</w:t>
            </w:r>
            <w:r>
              <w:rPr>
                <w:rFonts w:ascii="Arial" w:cs="Arial" w:eastAsia="Arial" w:hAnsi="Arial"/>
                <w:sz w:val="18"/>
                <w:szCs w:val="18"/>
                <w:color w:val="auto"/>
                <w:vertAlign w:val="superscript"/>
              </w:rPr>
              <w:t>(4)</w:t>
            </w:r>
          </w:p>
        </w:tc>
        <w:tc>
          <w:tcPr>
            <w:tcW w:w="88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2,487,233</w:t>
            </w:r>
          </w:p>
        </w:tc>
        <w:tc>
          <w:tcPr>
            <w:tcW w:w="720" w:type="dxa"/>
            <w:vAlign w:val="bottom"/>
            <w:shd w:val="clear" w:color="auto" w:fill="F2F2F2"/>
          </w:tcPr>
          <w:p>
            <w:pPr>
              <w:jc w:val="right"/>
              <w:ind w:right="77"/>
              <w:spacing w:after="0"/>
              <w:rPr>
                <w:sz w:val="20"/>
                <w:szCs w:val="20"/>
                <w:color w:val="auto"/>
              </w:rPr>
            </w:pPr>
            <w:r>
              <w:rPr>
                <w:rFonts w:ascii="Arial" w:cs="Arial" w:eastAsia="Arial" w:hAnsi="Arial"/>
                <w:sz w:val="13"/>
                <w:szCs w:val="13"/>
                <w:color w:val="auto"/>
              </w:rPr>
              <w:t>1,662</w:t>
            </w:r>
            <w:r>
              <w:rPr>
                <w:rFonts w:ascii="Arial" w:cs="Arial" w:eastAsia="Arial" w:hAnsi="Arial"/>
                <w:sz w:val="18"/>
                <w:szCs w:val="18"/>
                <w:color w:val="auto"/>
                <w:vertAlign w:val="superscript"/>
              </w:rPr>
              <w:t>(7)</w:t>
            </w:r>
          </w:p>
        </w:tc>
        <w:tc>
          <w:tcPr>
            <w:tcW w:w="7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2,487,233</w:t>
            </w:r>
          </w:p>
        </w:tc>
        <w:tc>
          <w:tcPr>
            <w:tcW w:w="0" w:type="dxa"/>
            <w:vAlign w:val="bottom"/>
          </w:tcPr>
          <w:p>
            <w:pPr>
              <w:spacing w:after="0"/>
              <w:rPr>
                <w:sz w:val="1"/>
                <w:szCs w:val="1"/>
                <w:color w:val="auto"/>
              </w:rPr>
            </w:pPr>
          </w:p>
        </w:tc>
      </w:tr>
      <w:tr>
        <w:trPr>
          <w:trHeight w:val="230"/>
        </w:trPr>
        <w:tc>
          <w:tcPr>
            <w:tcW w:w="1220" w:type="dxa"/>
            <w:vAlign w:val="bottom"/>
            <w:shd w:val="clear" w:color="auto" w:fill="F2F2F2"/>
          </w:tcPr>
          <w:p>
            <w:pPr>
              <w:spacing w:after="0"/>
              <w:rPr>
                <w:sz w:val="19"/>
                <w:szCs w:val="19"/>
                <w:color w:val="auto"/>
              </w:rPr>
            </w:pPr>
          </w:p>
        </w:tc>
        <w:tc>
          <w:tcPr>
            <w:tcW w:w="780" w:type="dxa"/>
            <w:vAlign w:val="bottom"/>
            <w:shd w:val="clear" w:color="auto" w:fill="F2F2F2"/>
          </w:tcPr>
          <w:p>
            <w:pPr>
              <w:ind w:left="520"/>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F2F2F2"/>
          </w:tcPr>
          <w:p>
            <w:pPr>
              <w:spacing w:after="0"/>
              <w:rPr>
                <w:sz w:val="19"/>
                <w:szCs w:val="19"/>
                <w:color w:val="auto"/>
              </w:rPr>
            </w:pPr>
          </w:p>
        </w:tc>
        <w:tc>
          <w:tcPr>
            <w:tcW w:w="1060" w:type="dxa"/>
            <w:vAlign w:val="bottom"/>
            <w:shd w:val="clear" w:color="auto" w:fill="F2F2F2"/>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shd w:val="clear" w:color="auto" w:fill="F2F2F2"/>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2F2"/>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F2F2F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12/09/2023</w:t>
            </w:r>
          </w:p>
        </w:tc>
        <w:tc>
          <w:tcPr>
            <w:tcW w:w="640" w:type="dxa"/>
            <w:vAlign w:val="bottom"/>
            <w:shd w:val="clear" w:color="auto" w:fill="F2F2F2"/>
          </w:tcPr>
          <w:p>
            <w:pPr>
              <w:jc w:val="right"/>
              <w:ind w:right="19"/>
              <w:spacing w:after="0"/>
              <w:rPr>
                <w:sz w:val="20"/>
                <w:szCs w:val="20"/>
                <w:color w:val="auto"/>
              </w:rPr>
            </w:pPr>
            <w:r>
              <w:rPr>
                <w:rFonts w:ascii="Arial" w:cs="Arial" w:eastAsia="Arial" w:hAnsi="Arial"/>
                <w:sz w:val="13"/>
                <w:szCs w:val="13"/>
                <w:color w:val="auto"/>
              </w:rPr>
              <w:t>1,268</w:t>
            </w:r>
            <w:r>
              <w:rPr>
                <w:rFonts w:ascii="Arial" w:cs="Arial" w:eastAsia="Arial" w:hAnsi="Arial"/>
                <w:sz w:val="18"/>
                <w:szCs w:val="18"/>
                <w:color w:val="auto"/>
                <w:vertAlign w:val="superscript"/>
              </w:rPr>
              <w:t>(2)</w:t>
            </w:r>
          </w:p>
        </w:tc>
        <w:tc>
          <w:tcPr>
            <w:tcW w:w="88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1,897,600</w:t>
            </w:r>
          </w:p>
        </w:tc>
        <w:tc>
          <w:tcPr>
            <w:tcW w:w="720" w:type="dxa"/>
            <w:vAlign w:val="bottom"/>
            <w:shd w:val="clear" w:color="auto" w:fill="F2F2F2"/>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0"/>
        </w:trPr>
        <w:tc>
          <w:tcPr>
            <w:tcW w:w="1220" w:type="dxa"/>
            <w:vAlign w:val="bottom"/>
            <w:shd w:val="clear" w:color="auto" w:fill="F2F2F2"/>
          </w:tcPr>
          <w:p>
            <w:pPr>
              <w:spacing w:after="0"/>
              <w:rPr>
                <w:sz w:val="19"/>
                <w:szCs w:val="19"/>
                <w:color w:val="auto"/>
              </w:rPr>
            </w:pPr>
          </w:p>
        </w:tc>
        <w:tc>
          <w:tcPr>
            <w:tcW w:w="780" w:type="dxa"/>
            <w:vAlign w:val="bottom"/>
            <w:shd w:val="clear" w:color="auto" w:fill="F2F2F2"/>
          </w:tcPr>
          <w:p>
            <w:pPr>
              <w:ind w:left="520"/>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F2F2F2"/>
          </w:tcPr>
          <w:p>
            <w:pPr>
              <w:spacing w:after="0"/>
              <w:rPr>
                <w:sz w:val="19"/>
                <w:szCs w:val="19"/>
                <w:color w:val="auto"/>
              </w:rPr>
            </w:pPr>
          </w:p>
        </w:tc>
        <w:tc>
          <w:tcPr>
            <w:tcW w:w="1060" w:type="dxa"/>
            <w:vAlign w:val="bottom"/>
            <w:shd w:val="clear" w:color="auto" w:fill="F2F2F2"/>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shd w:val="clear" w:color="auto" w:fill="F2F2F2"/>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2F2"/>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F2F2F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12/09/2023</w:t>
            </w:r>
          </w:p>
        </w:tc>
        <w:tc>
          <w:tcPr>
            <w:tcW w:w="640" w:type="dxa"/>
            <w:vAlign w:val="bottom"/>
            <w:shd w:val="clear" w:color="auto" w:fill="F2F2F2"/>
          </w:tcPr>
          <w:p>
            <w:pPr>
              <w:jc w:val="right"/>
              <w:ind w:right="19"/>
              <w:spacing w:after="0"/>
              <w:rPr>
                <w:sz w:val="20"/>
                <w:szCs w:val="20"/>
                <w:color w:val="auto"/>
              </w:rPr>
            </w:pPr>
            <w:r>
              <w:rPr>
                <w:rFonts w:ascii="Arial" w:cs="Arial" w:eastAsia="Arial" w:hAnsi="Arial"/>
                <w:sz w:val="13"/>
                <w:szCs w:val="13"/>
                <w:color w:val="auto"/>
              </w:rPr>
              <w:t>2,254</w:t>
            </w:r>
            <w:r>
              <w:rPr>
                <w:rFonts w:ascii="Arial" w:cs="Arial" w:eastAsia="Arial" w:hAnsi="Arial"/>
                <w:sz w:val="18"/>
                <w:szCs w:val="18"/>
                <w:color w:val="auto"/>
                <w:vertAlign w:val="superscript"/>
              </w:rPr>
              <w:t>(5)</w:t>
            </w:r>
          </w:p>
        </w:tc>
        <w:tc>
          <w:tcPr>
            <w:tcW w:w="88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3,373,179</w:t>
            </w:r>
          </w:p>
        </w:tc>
        <w:tc>
          <w:tcPr>
            <w:tcW w:w="720" w:type="dxa"/>
            <w:vAlign w:val="bottom"/>
            <w:shd w:val="clear" w:color="auto" w:fill="F2F2F2"/>
          </w:tcPr>
          <w:p>
            <w:pPr>
              <w:jc w:val="right"/>
              <w:ind w:right="77"/>
              <w:spacing w:after="0"/>
              <w:rPr>
                <w:sz w:val="20"/>
                <w:szCs w:val="20"/>
                <w:color w:val="auto"/>
              </w:rPr>
            </w:pPr>
            <w:r>
              <w:rPr>
                <w:rFonts w:ascii="Arial" w:cs="Arial" w:eastAsia="Arial" w:hAnsi="Arial"/>
                <w:sz w:val="13"/>
                <w:szCs w:val="13"/>
                <w:color w:val="auto"/>
              </w:rPr>
              <w:t>2,254</w:t>
            </w:r>
            <w:r>
              <w:rPr>
                <w:rFonts w:ascii="Arial" w:cs="Arial" w:eastAsia="Arial" w:hAnsi="Arial"/>
                <w:sz w:val="18"/>
                <w:szCs w:val="18"/>
                <w:color w:val="auto"/>
                <w:vertAlign w:val="superscript"/>
              </w:rPr>
              <w:t>(8)</w:t>
            </w:r>
          </w:p>
        </w:tc>
        <w:tc>
          <w:tcPr>
            <w:tcW w:w="7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3,373,179</w:t>
            </w:r>
          </w:p>
        </w:tc>
        <w:tc>
          <w:tcPr>
            <w:tcW w:w="0" w:type="dxa"/>
            <w:vAlign w:val="bottom"/>
          </w:tcPr>
          <w:p>
            <w:pPr>
              <w:spacing w:after="0"/>
              <w:rPr>
                <w:sz w:val="1"/>
                <w:szCs w:val="1"/>
                <w:color w:val="auto"/>
              </w:rPr>
            </w:pPr>
          </w:p>
        </w:tc>
      </w:tr>
      <w:tr>
        <w:trPr>
          <w:trHeight w:val="229"/>
        </w:trPr>
        <w:tc>
          <w:tcPr>
            <w:tcW w:w="1220" w:type="dxa"/>
            <w:vAlign w:val="bottom"/>
            <w:shd w:val="clear" w:color="auto" w:fill="F2F2F2"/>
          </w:tcPr>
          <w:p>
            <w:pPr>
              <w:spacing w:after="0"/>
              <w:rPr>
                <w:sz w:val="19"/>
                <w:szCs w:val="19"/>
                <w:color w:val="auto"/>
              </w:rPr>
            </w:pPr>
          </w:p>
        </w:tc>
        <w:tc>
          <w:tcPr>
            <w:tcW w:w="780" w:type="dxa"/>
            <w:vAlign w:val="bottom"/>
            <w:shd w:val="clear" w:color="auto" w:fill="F2F2F2"/>
          </w:tcPr>
          <w:p>
            <w:pPr>
              <w:ind w:left="520"/>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F2F2F2"/>
          </w:tcPr>
          <w:p>
            <w:pPr>
              <w:spacing w:after="0"/>
              <w:rPr>
                <w:sz w:val="19"/>
                <w:szCs w:val="19"/>
                <w:color w:val="auto"/>
              </w:rPr>
            </w:pPr>
          </w:p>
        </w:tc>
        <w:tc>
          <w:tcPr>
            <w:tcW w:w="1060" w:type="dxa"/>
            <w:vAlign w:val="bottom"/>
            <w:shd w:val="clear" w:color="auto" w:fill="F2F2F2"/>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shd w:val="clear" w:color="auto" w:fill="F2F2F2"/>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2F2"/>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F2F2F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12/09/2024</w:t>
            </w:r>
          </w:p>
        </w:tc>
        <w:tc>
          <w:tcPr>
            <w:tcW w:w="640" w:type="dxa"/>
            <w:vAlign w:val="bottom"/>
            <w:shd w:val="clear" w:color="auto" w:fill="F2F2F2"/>
          </w:tcPr>
          <w:p>
            <w:pPr>
              <w:jc w:val="right"/>
              <w:ind w:right="19"/>
              <w:spacing w:after="0"/>
              <w:rPr>
                <w:sz w:val="20"/>
                <w:szCs w:val="20"/>
                <w:color w:val="auto"/>
              </w:rPr>
            </w:pPr>
            <w:r>
              <w:rPr>
                <w:rFonts w:ascii="Arial" w:cs="Arial" w:eastAsia="Arial" w:hAnsi="Arial"/>
                <w:sz w:val="13"/>
                <w:szCs w:val="13"/>
                <w:color w:val="auto"/>
              </w:rPr>
              <w:t>822</w:t>
            </w:r>
            <w:r>
              <w:rPr>
                <w:rFonts w:ascii="Arial" w:cs="Arial" w:eastAsia="Arial" w:hAnsi="Arial"/>
                <w:sz w:val="18"/>
                <w:szCs w:val="18"/>
                <w:color w:val="auto"/>
                <w:vertAlign w:val="superscript"/>
              </w:rPr>
              <w:t>(2)</w:t>
            </w:r>
          </w:p>
        </w:tc>
        <w:tc>
          <w:tcPr>
            <w:tcW w:w="88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1,230,148</w:t>
            </w:r>
          </w:p>
        </w:tc>
        <w:tc>
          <w:tcPr>
            <w:tcW w:w="720" w:type="dxa"/>
            <w:vAlign w:val="bottom"/>
            <w:shd w:val="clear" w:color="auto" w:fill="F2F2F2"/>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0"/>
        </w:trPr>
        <w:tc>
          <w:tcPr>
            <w:tcW w:w="1220" w:type="dxa"/>
            <w:vAlign w:val="bottom"/>
            <w:shd w:val="clear" w:color="auto" w:fill="F2F2F2"/>
          </w:tcPr>
          <w:p>
            <w:pPr>
              <w:spacing w:after="0"/>
              <w:rPr>
                <w:sz w:val="19"/>
                <w:szCs w:val="19"/>
                <w:color w:val="auto"/>
              </w:rPr>
            </w:pPr>
          </w:p>
        </w:tc>
        <w:tc>
          <w:tcPr>
            <w:tcW w:w="780" w:type="dxa"/>
            <w:vAlign w:val="bottom"/>
            <w:shd w:val="clear" w:color="auto" w:fill="F2F2F2"/>
          </w:tcPr>
          <w:p>
            <w:pPr>
              <w:ind w:left="520"/>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F2F2F2"/>
          </w:tcPr>
          <w:p>
            <w:pPr>
              <w:spacing w:after="0"/>
              <w:rPr>
                <w:sz w:val="19"/>
                <w:szCs w:val="19"/>
                <w:color w:val="auto"/>
              </w:rPr>
            </w:pPr>
          </w:p>
        </w:tc>
        <w:tc>
          <w:tcPr>
            <w:tcW w:w="1060" w:type="dxa"/>
            <w:vAlign w:val="bottom"/>
            <w:shd w:val="clear" w:color="auto" w:fill="F2F2F2"/>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shd w:val="clear" w:color="auto" w:fill="F2F2F2"/>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2F2"/>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F2F2F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12/09/2024</w:t>
            </w:r>
          </w:p>
        </w:tc>
        <w:tc>
          <w:tcPr>
            <w:tcW w:w="640" w:type="dxa"/>
            <w:vAlign w:val="bottom"/>
            <w:shd w:val="clear" w:color="auto" w:fill="F2F2F2"/>
          </w:tcPr>
          <w:p>
            <w:pPr>
              <w:jc w:val="right"/>
              <w:ind w:right="19"/>
              <w:spacing w:after="0"/>
              <w:rPr>
                <w:sz w:val="20"/>
                <w:szCs w:val="20"/>
                <w:color w:val="auto"/>
              </w:rPr>
            </w:pPr>
            <w:r>
              <w:rPr>
                <w:rFonts w:ascii="Arial" w:cs="Arial" w:eastAsia="Arial" w:hAnsi="Arial"/>
                <w:sz w:val="13"/>
                <w:szCs w:val="13"/>
                <w:color w:val="auto"/>
              </w:rPr>
              <w:t>1,235</w:t>
            </w:r>
            <w:r>
              <w:rPr>
                <w:rFonts w:ascii="Arial" w:cs="Arial" w:eastAsia="Arial" w:hAnsi="Arial"/>
                <w:sz w:val="18"/>
                <w:szCs w:val="18"/>
                <w:color w:val="auto"/>
                <w:vertAlign w:val="superscript"/>
              </w:rPr>
              <w:t>(6)</w:t>
            </w:r>
          </w:p>
        </w:tc>
        <w:tc>
          <w:tcPr>
            <w:tcW w:w="88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1,847,682</w:t>
            </w:r>
          </w:p>
        </w:tc>
        <w:tc>
          <w:tcPr>
            <w:tcW w:w="720" w:type="dxa"/>
            <w:vAlign w:val="bottom"/>
            <w:shd w:val="clear" w:color="auto" w:fill="F2F2F2"/>
          </w:tcPr>
          <w:p>
            <w:pPr>
              <w:jc w:val="right"/>
              <w:ind w:right="77"/>
              <w:spacing w:after="0"/>
              <w:rPr>
                <w:sz w:val="20"/>
                <w:szCs w:val="20"/>
                <w:color w:val="auto"/>
              </w:rPr>
            </w:pPr>
            <w:r>
              <w:rPr>
                <w:rFonts w:ascii="Arial" w:cs="Arial" w:eastAsia="Arial" w:hAnsi="Arial"/>
                <w:sz w:val="13"/>
                <w:szCs w:val="13"/>
                <w:color w:val="auto"/>
              </w:rPr>
              <w:t>411</w:t>
            </w:r>
            <w:r>
              <w:rPr>
                <w:rFonts w:ascii="Arial" w:cs="Arial" w:eastAsia="Arial" w:hAnsi="Arial"/>
                <w:sz w:val="18"/>
                <w:szCs w:val="18"/>
                <w:color w:val="auto"/>
                <w:vertAlign w:val="superscript"/>
              </w:rPr>
              <w:t>(9)</w:t>
            </w:r>
          </w:p>
        </w:tc>
        <w:tc>
          <w:tcPr>
            <w:tcW w:w="7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615,074</w:t>
            </w:r>
          </w:p>
        </w:tc>
        <w:tc>
          <w:tcPr>
            <w:tcW w:w="0" w:type="dxa"/>
            <w:vAlign w:val="bottom"/>
          </w:tcPr>
          <w:p>
            <w:pPr>
              <w:spacing w:after="0"/>
              <w:rPr>
                <w:sz w:val="1"/>
                <w:szCs w:val="1"/>
                <w:color w:val="auto"/>
              </w:rPr>
            </w:pPr>
          </w:p>
        </w:tc>
      </w:tr>
      <w:tr>
        <w:trPr>
          <w:trHeight w:val="215"/>
        </w:trPr>
        <w:tc>
          <w:tcPr>
            <w:tcW w:w="1220" w:type="dxa"/>
            <w:vAlign w:val="bottom"/>
          </w:tcPr>
          <w:p>
            <w:pPr>
              <w:spacing w:after="0"/>
              <w:rPr>
                <w:sz w:val="20"/>
                <w:szCs w:val="20"/>
                <w:color w:val="auto"/>
              </w:rPr>
            </w:pPr>
            <w:r>
              <w:rPr>
                <w:rFonts w:ascii="Arial" w:cs="Arial" w:eastAsia="Arial" w:hAnsi="Arial"/>
                <w:sz w:val="13"/>
                <w:szCs w:val="13"/>
                <w:color w:val="auto"/>
              </w:rPr>
              <w:t>Mark Scadina</w:t>
            </w: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12/10/2018</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3,860</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185.05</w:t>
            </w:r>
          </w:p>
        </w:tc>
        <w:tc>
          <w:tcPr>
            <w:tcW w:w="820" w:type="dxa"/>
            <w:vAlign w:val="bottom"/>
          </w:tcPr>
          <w:p>
            <w:pPr>
              <w:jc w:val="center"/>
              <w:ind w:left="97"/>
              <w:spacing w:after="0"/>
              <w:rPr>
                <w:sz w:val="20"/>
                <w:szCs w:val="20"/>
                <w:color w:val="auto"/>
              </w:rPr>
            </w:pPr>
            <w:r>
              <w:rPr>
                <w:rFonts w:ascii="Arial" w:cs="Arial" w:eastAsia="Arial" w:hAnsi="Arial"/>
                <w:sz w:val="13"/>
                <w:szCs w:val="13"/>
                <w:color w:val="auto"/>
                <w:w w:val="95"/>
              </w:rPr>
              <w:t>12/09/2025</w:t>
            </w:r>
          </w:p>
        </w:tc>
        <w:tc>
          <w:tcPr>
            <w:tcW w:w="6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12/10/2018</w:t>
            </w:r>
          </w:p>
        </w:tc>
        <w:tc>
          <w:tcPr>
            <w:tcW w:w="64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3"/>
        </w:trPr>
        <w:tc>
          <w:tcPr>
            <w:tcW w:w="122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— </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12/10/2021</w:t>
            </w:r>
          </w:p>
        </w:tc>
        <w:tc>
          <w:tcPr>
            <w:tcW w:w="640" w:type="dxa"/>
            <w:vAlign w:val="bottom"/>
          </w:tcPr>
          <w:p>
            <w:pPr>
              <w:jc w:val="right"/>
              <w:ind w:right="19"/>
              <w:spacing w:after="0"/>
              <w:rPr>
                <w:sz w:val="20"/>
                <w:szCs w:val="20"/>
                <w:color w:val="auto"/>
              </w:rPr>
            </w:pPr>
            <w:r>
              <w:rPr>
                <w:rFonts w:ascii="Arial" w:cs="Arial" w:eastAsia="Arial" w:hAnsi="Arial"/>
                <w:sz w:val="25"/>
                <w:szCs w:val="25"/>
                <w:color w:val="auto"/>
                <w:vertAlign w:val="subscript"/>
              </w:rPr>
              <w:t>891</w:t>
            </w:r>
            <w:r>
              <w:rPr>
                <w:rFonts w:ascii="Arial" w:cs="Arial" w:eastAsia="Arial" w:hAnsi="Arial"/>
                <w:sz w:val="9"/>
                <w:szCs w:val="9"/>
                <w:color w:val="auto"/>
              </w:rPr>
              <w:t>(2)</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1,333,408</w:t>
            </w:r>
          </w:p>
        </w:tc>
        <w:tc>
          <w:tcPr>
            <w:tcW w:w="7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— </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12/10/2022</w:t>
            </w:r>
          </w:p>
        </w:tc>
        <w:tc>
          <w:tcPr>
            <w:tcW w:w="640" w:type="dxa"/>
            <w:vAlign w:val="bottom"/>
          </w:tcPr>
          <w:p>
            <w:pPr>
              <w:jc w:val="right"/>
              <w:ind w:right="19"/>
              <w:spacing w:after="0"/>
              <w:rPr>
                <w:sz w:val="20"/>
                <w:szCs w:val="20"/>
                <w:color w:val="auto"/>
              </w:rPr>
            </w:pPr>
            <w:r>
              <w:rPr>
                <w:rFonts w:ascii="Arial" w:cs="Arial" w:eastAsia="Arial" w:hAnsi="Arial"/>
                <w:sz w:val="13"/>
                <w:szCs w:val="13"/>
                <w:color w:val="auto"/>
              </w:rPr>
              <w:t>1,246</w:t>
            </w:r>
            <w:r>
              <w:rPr>
                <w:rFonts w:ascii="Arial" w:cs="Arial" w:eastAsia="Arial" w:hAnsi="Arial"/>
                <w:sz w:val="18"/>
                <w:szCs w:val="18"/>
                <w:color w:val="auto"/>
                <w:vertAlign w:val="superscript"/>
              </w:rPr>
              <w:t>(2)</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1,864,676</w:t>
            </w:r>
          </w:p>
        </w:tc>
        <w:tc>
          <w:tcPr>
            <w:tcW w:w="7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— </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12/09/2022</w:t>
            </w:r>
          </w:p>
        </w:tc>
        <w:tc>
          <w:tcPr>
            <w:tcW w:w="640" w:type="dxa"/>
            <w:vAlign w:val="bottom"/>
          </w:tcPr>
          <w:p>
            <w:pPr>
              <w:jc w:val="right"/>
              <w:ind w:right="19"/>
              <w:spacing w:after="0"/>
              <w:rPr>
                <w:sz w:val="20"/>
                <w:szCs w:val="20"/>
                <w:color w:val="auto"/>
              </w:rPr>
            </w:pPr>
            <w:r>
              <w:rPr>
                <w:rFonts w:ascii="Arial" w:cs="Arial" w:eastAsia="Arial" w:hAnsi="Arial"/>
                <w:sz w:val="13"/>
                <w:szCs w:val="13"/>
                <w:color w:val="auto"/>
              </w:rPr>
              <w:t>1,662</w:t>
            </w:r>
            <w:r>
              <w:rPr>
                <w:rFonts w:ascii="Arial" w:cs="Arial" w:eastAsia="Arial" w:hAnsi="Arial"/>
                <w:sz w:val="18"/>
                <w:szCs w:val="18"/>
                <w:color w:val="auto"/>
                <w:vertAlign w:val="superscript"/>
              </w:rPr>
              <w:t>(4)</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2,487,233</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1,662</w:t>
            </w:r>
            <w:r>
              <w:rPr>
                <w:rFonts w:ascii="Arial" w:cs="Arial" w:eastAsia="Arial" w:hAnsi="Arial"/>
                <w:sz w:val="18"/>
                <w:szCs w:val="18"/>
                <w:color w:val="auto"/>
                <w:vertAlign w:val="superscript"/>
              </w:rPr>
              <w:t>(7)</w:t>
            </w:r>
          </w:p>
        </w:tc>
        <w:tc>
          <w:tcPr>
            <w:tcW w:w="760" w:type="dxa"/>
            <w:vAlign w:val="bottom"/>
          </w:tcPr>
          <w:p>
            <w:pPr>
              <w:jc w:val="right"/>
              <w:spacing w:after="0"/>
              <w:rPr>
                <w:sz w:val="20"/>
                <w:szCs w:val="20"/>
                <w:color w:val="auto"/>
              </w:rPr>
            </w:pPr>
            <w:r>
              <w:rPr>
                <w:rFonts w:ascii="Arial" w:cs="Arial" w:eastAsia="Arial" w:hAnsi="Arial"/>
                <w:sz w:val="13"/>
                <w:szCs w:val="13"/>
                <w:color w:val="auto"/>
              </w:rPr>
              <w:t>2,487,233</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— </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12/09/2023</w:t>
            </w:r>
          </w:p>
        </w:tc>
        <w:tc>
          <w:tcPr>
            <w:tcW w:w="640" w:type="dxa"/>
            <w:vAlign w:val="bottom"/>
          </w:tcPr>
          <w:p>
            <w:pPr>
              <w:jc w:val="right"/>
              <w:ind w:right="19"/>
              <w:spacing w:after="0"/>
              <w:rPr>
                <w:sz w:val="20"/>
                <w:szCs w:val="20"/>
                <w:color w:val="auto"/>
              </w:rPr>
            </w:pPr>
            <w:r>
              <w:rPr>
                <w:rFonts w:ascii="Arial" w:cs="Arial" w:eastAsia="Arial" w:hAnsi="Arial"/>
                <w:sz w:val="13"/>
                <w:szCs w:val="13"/>
                <w:color w:val="auto"/>
              </w:rPr>
              <w:t>1,268</w:t>
            </w:r>
            <w:r>
              <w:rPr>
                <w:rFonts w:ascii="Arial" w:cs="Arial" w:eastAsia="Arial" w:hAnsi="Arial"/>
                <w:sz w:val="18"/>
                <w:szCs w:val="18"/>
                <w:color w:val="auto"/>
                <w:vertAlign w:val="superscript"/>
              </w:rPr>
              <w:t>(2)</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1,897,600</w:t>
            </w:r>
          </w:p>
        </w:tc>
        <w:tc>
          <w:tcPr>
            <w:tcW w:w="7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— </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12/09/2023</w:t>
            </w:r>
          </w:p>
        </w:tc>
        <w:tc>
          <w:tcPr>
            <w:tcW w:w="640" w:type="dxa"/>
            <w:vAlign w:val="bottom"/>
          </w:tcPr>
          <w:p>
            <w:pPr>
              <w:jc w:val="right"/>
              <w:ind w:right="19"/>
              <w:spacing w:after="0"/>
              <w:rPr>
                <w:sz w:val="20"/>
                <w:szCs w:val="20"/>
                <w:color w:val="auto"/>
              </w:rPr>
            </w:pPr>
            <w:r>
              <w:rPr>
                <w:rFonts w:ascii="Arial" w:cs="Arial" w:eastAsia="Arial" w:hAnsi="Arial"/>
                <w:sz w:val="13"/>
                <w:szCs w:val="13"/>
                <w:color w:val="auto"/>
              </w:rPr>
              <w:t>2,254</w:t>
            </w:r>
            <w:r>
              <w:rPr>
                <w:rFonts w:ascii="Arial" w:cs="Arial" w:eastAsia="Arial" w:hAnsi="Arial"/>
                <w:sz w:val="18"/>
                <w:szCs w:val="18"/>
                <w:color w:val="auto"/>
                <w:vertAlign w:val="superscript"/>
              </w:rPr>
              <w:t>(5)</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3,373,179</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2,254</w:t>
            </w:r>
            <w:r>
              <w:rPr>
                <w:rFonts w:ascii="Arial" w:cs="Arial" w:eastAsia="Arial" w:hAnsi="Arial"/>
                <w:sz w:val="18"/>
                <w:szCs w:val="18"/>
                <w:color w:val="auto"/>
                <w:vertAlign w:val="superscript"/>
              </w:rPr>
              <w:t>(8)</w:t>
            </w:r>
          </w:p>
        </w:tc>
        <w:tc>
          <w:tcPr>
            <w:tcW w:w="760" w:type="dxa"/>
            <w:vAlign w:val="bottom"/>
          </w:tcPr>
          <w:p>
            <w:pPr>
              <w:jc w:val="right"/>
              <w:spacing w:after="0"/>
              <w:rPr>
                <w:sz w:val="20"/>
                <w:szCs w:val="20"/>
                <w:color w:val="auto"/>
              </w:rPr>
            </w:pPr>
            <w:r>
              <w:rPr>
                <w:rFonts w:ascii="Arial" w:cs="Arial" w:eastAsia="Arial" w:hAnsi="Arial"/>
                <w:sz w:val="13"/>
                <w:szCs w:val="13"/>
                <w:color w:val="auto"/>
              </w:rPr>
              <w:t>3,373,179</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— </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12/09/2024</w:t>
            </w:r>
          </w:p>
        </w:tc>
        <w:tc>
          <w:tcPr>
            <w:tcW w:w="640" w:type="dxa"/>
            <w:vAlign w:val="bottom"/>
          </w:tcPr>
          <w:p>
            <w:pPr>
              <w:jc w:val="right"/>
              <w:ind w:right="19"/>
              <w:spacing w:after="0"/>
              <w:rPr>
                <w:sz w:val="20"/>
                <w:szCs w:val="20"/>
                <w:color w:val="auto"/>
              </w:rPr>
            </w:pPr>
            <w:r>
              <w:rPr>
                <w:rFonts w:ascii="Arial" w:cs="Arial" w:eastAsia="Arial" w:hAnsi="Arial"/>
                <w:sz w:val="13"/>
                <w:szCs w:val="13"/>
                <w:color w:val="auto"/>
              </w:rPr>
              <w:t>822</w:t>
            </w:r>
            <w:r>
              <w:rPr>
                <w:rFonts w:ascii="Arial" w:cs="Arial" w:eastAsia="Arial" w:hAnsi="Arial"/>
                <w:sz w:val="18"/>
                <w:szCs w:val="18"/>
                <w:color w:val="auto"/>
                <w:vertAlign w:val="superscript"/>
              </w:rPr>
              <w:t>(2)</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1,230,148</w:t>
            </w:r>
          </w:p>
        </w:tc>
        <w:tc>
          <w:tcPr>
            <w:tcW w:w="7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— </w:t>
            </w:r>
          </w:p>
        </w:tc>
        <w:tc>
          <w:tcPr>
            <w:tcW w:w="10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12/09/2024</w:t>
            </w:r>
          </w:p>
        </w:tc>
        <w:tc>
          <w:tcPr>
            <w:tcW w:w="640" w:type="dxa"/>
            <w:vAlign w:val="bottom"/>
          </w:tcPr>
          <w:p>
            <w:pPr>
              <w:jc w:val="right"/>
              <w:ind w:right="19"/>
              <w:spacing w:after="0" w:line="180" w:lineRule="exact"/>
              <w:rPr>
                <w:sz w:val="20"/>
                <w:szCs w:val="20"/>
                <w:color w:val="auto"/>
              </w:rPr>
            </w:pPr>
            <w:r>
              <w:rPr>
                <w:rFonts w:ascii="Arial" w:cs="Arial" w:eastAsia="Arial" w:hAnsi="Arial"/>
                <w:sz w:val="13"/>
                <w:szCs w:val="13"/>
                <w:color w:val="auto"/>
              </w:rPr>
              <w:t>1,235</w:t>
            </w:r>
            <w:r>
              <w:rPr>
                <w:rFonts w:ascii="Arial" w:cs="Arial" w:eastAsia="Arial" w:hAnsi="Arial"/>
                <w:sz w:val="18"/>
                <w:szCs w:val="18"/>
                <w:color w:val="auto"/>
                <w:vertAlign w:val="superscript"/>
              </w:rPr>
              <w:t>(6)</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1,847,682</w:t>
            </w:r>
          </w:p>
        </w:tc>
        <w:tc>
          <w:tcPr>
            <w:tcW w:w="720" w:type="dxa"/>
            <w:vAlign w:val="bottom"/>
          </w:tcPr>
          <w:p>
            <w:pPr>
              <w:jc w:val="right"/>
              <w:ind w:right="77"/>
              <w:spacing w:after="0" w:line="180" w:lineRule="exact"/>
              <w:rPr>
                <w:sz w:val="20"/>
                <w:szCs w:val="20"/>
                <w:color w:val="auto"/>
              </w:rPr>
            </w:pPr>
            <w:r>
              <w:rPr>
                <w:rFonts w:ascii="Arial" w:cs="Arial" w:eastAsia="Arial" w:hAnsi="Arial"/>
                <w:sz w:val="20"/>
                <w:szCs w:val="20"/>
                <w:color w:val="auto"/>
                <w:vertAlign w:val="subscript"/>
              </w:rPr>
              <w:t>411</w:t>
            </w:r>
            <w:r>
              <w:rPr>
                <w:rFonts w:ascii="Arial" w:cs="Arial" w:eastAsia="Arial" w:hAnsi="Arial"/>
                <w:sz w:val="8"/>
                <w:szCs w:val="8"/>
                <w:color w:val="auto"/>
              </w:rPr>
              <w:t>(9)</w:t>
            </w:r>
          </w:p>
        </w:tc>
        <w:tc>
          <w:tcPr>
            <w:tcW w:w="760" w:type="dxa"/>
            <w:vAlign w:val="bottom"/>
          </w:tcPr>
          <w:p>
            <w:pPr>
              <w:jc w:val="right"/>
              <w:spacing w:after="0"/>
              <w:rPr>
                <w:sz w:val="20"/>
                <w:szCs w:val="20"/>
                <w:color w:val="auto"/>
              </w:rPr>
            </w:pPr>
            <w:r>
              <w:rPr>
                <w:rFonts w:ascii="Arial" w:cs="Arial" w:eastAsia="Arial" w:hAnsi="Arial"/>
                <w:sz w:val="13"/>
                <w:szCs w:val="13"/>
                <w:color w:val="auto"/>
              </w:rPr>
              <w:t>615,074</w:t>
            </w:r>
          </w:p>
        </w:tc>
        <w:tc>
          <w:tcPr>
            <w:tcW w:w="0" w:type="dxa"/>
            <w:vAlign w:val="bottom"/>
          </w:tcPr>
          <w:p>
            <w:pPr>
              <w:spacing w:after="0"/>
              <w:rPr>
                <w:sz w:val="1"/>
                <w:szCs w:val="1"/>
                <w:color w:val="auto"/>
              </w:rPr>
            </w:pPr>
          </w:p>
        </w:tc>
      </w:tr>
      <w:tr>
        <w:trPr>
          <w:trHeight w:val="68"/>
        </w:trPr>
        <w:tc>
          <w:tcPr>
            <w:tcW w:w="1220" w:type="dxa"/>
            <w:vAlign w:val="bottom"/>
            <w:vMerge w:val="restart"/>
            <w:shd w:val="clear" w:color="auto" w:fill="F2F2F2"/>
          </w:tcPr>
          <w:p>
            <w:pPr>
              <w:spacing w:after="0"/>
              <w:rPr>
                <w:sz w:val="20"/>
                <w:szCs w:val="20"/>
                <w:color w:val="auto"/>
              </w:rPr>
            </w:pPr>
            <w:r>
              <w:rPr>
                <w:rFonts w:ascii="Arial" w:cs="Arial" w:eastAsia="Arial" w:hAnsi="Arial"/>
                <w:sz w:val="13"/>
                <w:szCs w:val="13"/>
                <w:color w:val="auto"/>
              </w:rPr>
              <w:t>James Wehmann</w:t>
            </w:r>
          </w:p>
        </w:tc>
        <w:tc>
          <w:tcPr>
            <w:tcW w:w="900" w:type="dxa"/>
            <w:vAlign w:val="bottom"/>
            <w:gridSpan w:val="2"/>
            <w:vMerge w:val="restart"/>
            <w:shd w:val="clear" w:color="auto" w:fill="F2F2F2"/>
          </w:tcPr>
          <w:p>
            <w:pPr>
              <w:ind w:left="520"/>
              <w:spacing w:after="0"/>
              <w:rPr>
                <w:sz w:val="20"/>
                <w:szCs w:val="20"/>
                <w:color w:val="auto"/>
              </w:rPr>
            </w:pPr>
            <w:r>
              <w:rPr>
                <w:rFonts w:ascii="Arial" w:cs="Arial" w:eastAsia="Arial" w:hAnsi="Arial"/>
                <w:sz w:val="13"/>
                <w:szCs w:val="13"/>
                <w:color w:val="auto"/>
              </w:rPr>
              <w:t>— </w:t>
            </w:r>
          </w:p>
        </w:tc>
        <w:tc>
          <w:tcPr>
            <w:tcW w:w="1060" w:type="dxa"/>
            <w:vAlign w:val="bottom"/>
            <w:vMerge w:val="restart"/>
            <w:shd w:val="clear" w:color="auto" w:fill="F2F2F2"/>
          </w:tcPr>
          <w:p>
            <w:pPr>
              <w:jc w:val="right"/>
              <w:ind w:right="337"/>
              <w:spacing w:after="0"/>
              <w:rPr>
                <w:sz w:val="20"/>
                <w:szCs w:val="20"/>
                <w:color w:val="auto"/>
              </w:rPr>
            </w:pPr>
            <w:r>
              <w:rPr>
                <w:rFonts w:ascii="Arial" w:cs="Arial" w:eastAsia="Arial" w:hAnsi="Arial"/>
                <w:sz w:val="13"/>
                <w:szCs w:val="13"/>
                <w:color w:val="auto"/>
              </w:rPr>
              <w:t>—</w:t>
            </w:r>
          </w:p>
        </w:tc>
        <w:tc>
          <w:tcPr>
            <w:tcW w:w="1220" w:type="dxa"/>
            <w:vAlign w:val="bottom"/>
            <w:vMerge w:val="restart"/>
            <w:shd w:val="clear" w:color="auto" w:fill="F2F2F2"/>
          </w:tcPr>
          <w:p>
            <w:pPr>
              <w:jc w:val="right"/>
              <w:ind w:right="297"/>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F2F2F2"/>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gridSpan w:val="2"/>
            <w:vMerge w:val="restart"/>
            <w:shd w:val="clear" w:color="auto" w:fill="F2F2F2"/>
          </w:tcPr>
          <w:p>
            <w:pPr>
              <w:jc w:val="center"/>
              <w:ind w:left="57"/>
              <w:spacing w:after="0"/>
              <w:rPr>
                <w:sz w:val="20"/>
                <w:szCs w:val="20"/>
                <w:color w:val="auto"/>
              </w:rPr>
            </w:pPr>
            <w:r>
              <w:rPr>
                <w:rFonts w:ascii="Arial" w:cs="Arial" w:eastAsia="Arial" w:hAnsi="Arial"/>
                <w:sz w:val="13"/>
                <w:szCs w:val="13"/>
                <w:color w:val="auto"/>
                <w:w w:val="91"/>
              </w:rPr>
              <w:t>—</w:t>
            </w:r>
          </w:p>
        </w:tc>
        <w:tc>
          <w:tcPr>
            <w:tcW w:w="800" w:type="dxa"/>
            <w:vAlign w:val="bottom"/>
            <w:vMerge w:val="restart"/>
            <w:shd w:val="clear" w:color="auto" w:fill="F2F2F2"/>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F2F2F2"/>
          </w:tcPr>
          <w:p>
            <w:pPr>
              <w:jc w:val="right"/>
              <w:ind w:right="119"/>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F2F2F2"/>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F2F2F2"/>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220" w:type="dxa"/>
            <w:vAlign w:val="bottom"/>
            <w:tcBorders>
              <w:bottom w:val="single" w:sz="8" w:color="376DB5"/>
            </w:tcBorders>
            <w:vMerge w:val="continue"/>
            <w:shd w:val="clear" w:color="auto" w:fill="F2F2F2"/>
          </w:tcPr>
          <w:p>
            <w:pPr>
              <w:spacing w:after="0"/>
              <w:rPr>
                <w:sz w:val="14"/>
                <w:szCs w:val="14"/>
                <w:color w:val="auto"/>
              </w:rPr>
            </w:pPr>
          </w:p>
        </w:tc>
        <w:tc>
          <w:tcPr>
            <w:tcW w:w="900" w:type="dxa"/>
            <w:vAlign w:val="bottom"/>
            <w:tcBorders>
              <w:bottom w:val="single" w:sz="8" w:color="376DB5"/>
            </w:tcBorders>
            <w:gridSpan w:val="2"/>
            <w:vMerge w:val="continue"/>
            <w:shd w:val="clear" w:color="auto" w:fill="F2F2F2"/>
          </w:tcPr>
          <w:p>
            <w:pPr>
              <w:spacing w:after="0"/>
              <w:rPr>
                <w:sz w:val="14"/>
                <w:szCs w:val="14"/>
                <w:color w:val="auto"/>
              </w:rPr>
            </w:pPr>
          </w:p>
        </w:tc>
        <w:tc>
          <w:tcPr>
            <w:tcW w:w="1060" w:type="dxa"/>
            <w:vAlign w:val="bottom"/>
            <w:tcBorders>
              <w:bottom w:val="single" w:sz="8" w:color="376DB5"/>
            </w:tcBorders>
            <w:vMerge w:val="continue"/>
            <w:shd w:val="clear" w:color="auto" w:fill="F2F2F2"/>
          </w:tcPr>
          <w:p>
            <w:pPr>
              <w:spacing w:after="0"/>
              <w:rPr>
                <w:sz w:val="14"/>
                <w:szCs w:val="14"/>
                <w:color w:val="auto"/>
              </w:rPr>
            </w:pPr>
          </w:p>
        </w:tc>
        <w:tc>
          <w:tcPr>
            <w:tcW w:w="1220" w:type="dxa"/>
            <w:vAlign w:val="bottom"/>
            <w:tcBorders>
              <w:bottom w:val="single" w:sz="8" w:color="376DB5"/>
            </w:tcBorders>
            <w:vMerge w:val="continue"/>
            <w:shd w:val="clear" w:color="auto" w:fill="F2F2F2"/>
          </w:tcPr>
          <w:p>
            <w:pPr>
              <w:spacing w:after="0"/>
              <w:rPr>
                <w:sz w:val="14"/>
                <w:szCs w:val="14"/>
                <w:color w:val="auto"/>
              </w:rPr>
            </w:pPr>
          </w:p>
        </w:tc>
        <w:tc>
          <w:tcPr>
            <w:tcW w:w="1080" w:type="dxa"/>
            <w:vAlign w:val="bottom"/>
            <w:tcBorders>
              <w:bottom w:val="single" w:sz="8" w:color="376DB5"/>
            </w:tcBorders>
            <w:vMerge w:val="continue"/>
            <w:shd w:val="clear" w:color="auto" w:fill="F2F2F2"/>
          </w:tcPr>
          <w:p>
            <w:pPr>
              <w:spacing w:after="0"/>
              <w:rPr>
                <w:sz w:val="14"/>
                <w:szCs w:val="14"/>
                <w:color w:val="auto"/>
              </w:rPr>
            </w:pPr>
          </w:p>
        </w:tc>
        <w:tc>
          <w:tcPr>
            <w:tcW w:w="860" w:type="dxa"/>
            <w:vAlign w:val="bottom"/>
            <w:tcBorders>
              <w:bottom w:val="single" w:sz="8" w:color="376DB5"/>
            </w:tcBorders>
            <w:vMerge w:val="continue"/>
            <w:shd w:val="clear" w:color="auto" w:fill="F2F2F2"/>
          </w:tcPr>
          <w:p>
            <w:pPr>
              <w:spacing w:after="0"/>
              <w:rPr>
                <w:sz w:val="14"/>
                <w:szCs w:val="14"/>
                <w:color w:val="auto"/>
              </w:rPr>
            </w:pPr>
          </w:p>
        </w:tc>
        <w:tc>
          <w:tcPr>
            <w:tcW w:w="880" w:type="dxa"/>
            <w:vAlign w:val="bottom"/>
            <w:tcBorders>
              <w:bottom w:val="single" w:sz="8" w:color="376DB5"/>
            </w:tcBorders>
            <w:gridSpan w:val="2"/>
            <w:vMerge w:val="continue"/>
            <w:shd w:val="clear" w:color="auto" w:fill="F2F2F2"/>
          </w:tcPr>
          <w:p>
            <w:pPr>
              <w:spacing w:after="0"/>
              <w:rPr>
                <w:sz w:val="14"/>
                <w:szCs w:val="14"/>
                <w:color w:val="auto"/>
              </w:rPr>
            </w:pPr>
          </w:p>
        </w:tc>
        <w:tc>
          <w:tcPr>
            <w:tcW w:w="800" w:type="dxa"/>
            <w:vAlign w:val="bottom"/>
            <w:tcBorders>
              <w:bottom w:val="single" w:sz="8" w:color="376DB5"/>
            </w:tcBorders>
            <w:vMerge w:val="continue"/>
            <w:shd w:val="clear" w:color="auto" w:fill="F2F2F2"/>
          </w:tcPr>
          <w:p>
            <w:pPr>
              <w:spacing w:after="0"/>
              <w:rPr>
                <w:sz w:val="14"/>
                <w:szCs w:val="14"/>
                <w:color w:val="auto"/>
              </w:rPr>
            </w:pPr>
          </w:p>
        </w:tc>
        <w:tc>
          <w:tcPr>
            <w:tcW w:w="640" w:type="dxa"/>
            <w:vAlign w:val="bottom"/>
            <w:tcBorders>
              <w:bottom w:val="single" w:sz="8" w:color="376DB5"/>
            </w:tcBorders>
            <w:vMerge w:val="continue"/>
            <w:shd w:val="clear" w:color="auto" w:fill="F2F2F2"/>
          </w:tcPr>
          <w:p>
            <w:pPr>
              <w:spacing w:after="0"/>
              <w:rPr>
                <w:sz w:val="14"/>
                <w:szCs w:val="14"/>
                <w:color w:val="auto"/>
              </w:rPr>
            </w:pPr>
          </w:p>
        </w:tc>
        <w:tc>
          <w:tcPr>
            <w:tcW w:w="880" w:type="dxa"/>
            <w:vAlign w:val="bottom"/>
            <w:tcBorders>
              <w:bottom w:val="single" w:sz="8" w:color="376DB5"/>
            </w:tcBorders>
            <w:vMerge w:val="continue"/>
            <w:shd w:val="clear" w:color="auto" w:fill="F2F2F2"/>
          </w:tcPr>
          <w:p>
            <w:pPr>
              <w:spacing w:after="0"/>
              <w:rPr>
                <w:sz w:val="14"/>
                <w:szCs w:val="14"/>
                <w:color w:val="auto"/>
              </w:rPr>
            </w:pPr>
          </w:p>
        </w:tc>
        <w:tc>
          <w:tcPr>
            <w:tcW w:w="720" w:type="dxa"/>
            <w:vAlign w:val="bottom"/>
            <w:tcBorders>
              <w:bottom w:val="single" w:sz="8" w:color="376DB5"/>
            </w:tcBorders>
            <w:vMerge w:val="continue"/>
            <w:shd w:val="clear" w:color="auto" w:fill="F2F2F2"/>
          </w:tcPr>
          <w:p>
            <w:pPr>
              <w:spacing w:after="0"/>
              <w:rPr>
                <w:sz w:val="14"/>
                <w:szCs w:val="14"/>
                <w:color w:val="auto"/>
              </w:rPr>
            </w:pPr>
          </w:p>
        </w:tc>
        <w:tc>
          <w:tcPr>
            <w:tcW w:w="760" w:type="dxa"/>
            <w:vAlign w:val="bottom"/>
            <w:tcBorders>
              <w:bottom w:val="single" w:sz="8" w:color="376DB5"/>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1226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50" w:lineRule="exact"/>
        <w:rPr>
          <w:sz w:val="20"/>
          <w:szCs w:val="20"/>
          <w:color w:val="auto"/>
        </w:rPr>
      </w:pPr>
    </w:p>
    <w:p>
      <w:pPr>
        <w:ind w:left="540" w:hanging="424"/>
        <w:spacing w:after="0" w:line="204" w:lineRule="auto"/>
        <w:tabs>
          <w:tab w:leader="none" w:pos="540" w:val="left"/>
        </w:tabs>
        <w:numPr>
          <w:ilvl w:val="0"/>
          <w:numId w:val="55"/>
        </w:numPr>
        <w:rPr>
          <w:rFonts w:ascii="Arial" w:cs="Arial" w:eastAsia="Arial" w:hAnsi="Arial"/>
          <w:sz w:val="27"/>
          <w:szCs w:val="27"/>
          <w:color w:val="auto"/>
          <w:vertAlign w:val="superscript"/>
        </w:rPr>
      </w:pPr>
      <w:r>
        <w:rPr>
          <w:rFonts w:ascii="Arial" w:cs="Arial" w:eastAsia="Arial" w:hAnsi="Arial"/>
          <w:sz w:val="18"/>
          <w:szCs w:val="18"/>
          <w:color w:val="auto"/>
        </w:rPr>
        <w:t>The market value of stock awards that have not vested was determined by multiplying the closing market price of the Company’s common stock on September 30, 2025 ($1,496.53) by the number of stock awards.</w:t>
      </w:r>
    </w:p>
    <w:p>
      <w:pPr>
        <w:spacing w:after="0" w:line="114"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66</w:t>
      </w:r>
    </w:p>
    <w:p>
      <w:pPr>
        <w:sectPr>
          <w:pgSz w:w="11900" w:h="16838" w:orient="portrait"/>
          <w:cols w:equalWidth="0" w:num="1">
            <w:col w:w="11140"/>
          </w:cols>
          <w:pgMar w:left="320" w:top="482" w:right="439" w:bottom="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ind w:left="540" w:hanging="424"/>
        <w:spacing w:after="0" w:line="204" w:lineRule="auto"/>
        <w:tabs>
          <w:tab w:leader="none" w:pos="54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These RSUs vest in shares in four equal increments on the first four anniversaries of the grant date, subject to the named executive officer’s continued employment.</w:t>
      </w:r>
    </w:p>
    <w:p>
      <w:pPr>
        <w:spacing w:after="0" w:line="1" w:lineRule="exact"/>
        <w:rPr>
          <w:rFonts w:ascii="Arial" w:cs="Arial" w:eastAsia="Arial" w:hAnsi="Arial"/>
          <w:sz w:val="27"/>
          <w:szCs w:val="27"/>
          <w:color w:val="auto"/>
          <w:vertAlign w:val="superscript"/>
        </w:rPr>
      </w:pPr>
    </w:p>
    <w:p>
      <w:pPr>
        <w:ind w:left="540" w:hanging="424"/>
        <w:spacing w:after="0" w:line="187" w:lineRule="auto"/>
        <w:tabs>
          <w:tab w:leader="none" w:pos="54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These RSUs vest in shares on the third anniversary of the grant date, subject to Mr. Weber’s continued employment.</w:t>
      </w:r>
    </w:p>
    <w:p>
      <w:pPr>
        <w:spacing w:after="0" w:line="23" w:lineRule="exact"/>
        <w:rPr>
          <w:rFonts w:ascii="Arial" w:cs="Arial" w:eastAsia="Arial" w:hAnsi="Arial"/>
          <w:sz w:val="27"/>
          <w:szCs w:val="27"/>
          <w:color w:val="auto"/>
          <w:vertAlign w:val="superscript"/>
        </w:rPr>
      </w:pPr>
    </w:p>
    <w:p>
      <w:pPr>
        <w:ind w:left="540" w:hanging="424"/>
        <w:spacing w:after="0" w:line="196" w:lineRule="auto"/>
        <w:tabs>
          <w:tab w:leader="none" w:pos="54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These earned PSUs vest in shares in three equal increments on the 10th of December in 2023, 2024, and 2025, subject to the named executive officer’s continued employment.</w:t>
      </w:r>
    </w:p>
    <w:p>
      <w:pPr>
        <w:spacing w:after="0" w:line="4" w:lineRule="exact"/>
        <w:rPr>
          <w:rFonts w:ascii="Arial" w:cs="Arial" w:eastAsia="Arial" w:hAnsi="Arial"/>
          <w:sz w:val="27"/>
          <w:szCs w:val="27"/>
          <w:color w:val="auto"/>
          <w:vertAlign w:val="superscript"/>
        </w:rPr>
      </w:pPr>
    </w:p>
    <w:p>
      <w:pPr>
        <w:ind w:left="540" w:hanging="424"/>
        <w:spacing w:after="0" w:line="204" w:lineRule="auto"/>
        <w:tabs>
          <w:tab w:leader="none" w:pos="54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These earned PSUs vest in shares in three equal increments on the 9th of December in 2024, 2025, and 2026, subject to the named executive officer’s continued employment.</w:t>
      </w:r>
    </w:p>
    <w:p>
      <w:pPr>
        <w:spacing w:after="0" w:line="5" w:lineRule="exact"/>
        <w:rPr>
          <w:rFonts w:ascii="Arial" w:cs="Arial" w:eastAsia="Arial" w:hAnsi="Arial"/>
          <w:sz w:val="27"/>
          <w:szCs w:val="27"/>
          <w:color w:val="auto"/>
          <w:vertAlign w:val="superscript"/>
        </w:rPr>
      </w:pPr>
    </w:p>
    <w:p>
      <w:pPr>
        <w:ind w:left="540" w:hanging="424"/>
        <w:spacing w:after="0" w:line="204" w:lineRule="auto"/>
        <w:tabs>
          <w:tab w:leader="none" w:pos="54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These earned PSUs vest in shares in three equal increments on the 9th of December in 2025, 2026, and 2027, subject to the named executive officer’s continued employment.</w:t>
      </w:r>
    </w:p>
    <w:p>
      <w:pPr>
        <w:spacing w:after="0" w:line="5" w:lineRule="exact"/>
        <w:rPr>
          <w:rFonts w:ascii="Arial" w:cs="Arial" w:eastAsia="Arial" w:hAnsi="Arial"/>
          <w:sz w:val="27"/>
          <w:szCs w:val="27"/>
          <w:color w:val="auto"/>
          <w:vertAlign w:val="superscript"/>
        </w:rPr>
      </w:pPr>
    </w:p>
    <w:p>
      <w:pPr>
        <w:jc w:val="both"/>
        <w:ind w:left="540" w:right="20" w:hanging="424"/>
        <w:spacing w:after="0" w:line="213" w:lineRule="auto"/>
        <w:tabs>
          <w:tab w:leader="none" w:pos="54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These MSUs are earned upon achievement of performance goals related to the Company’s total shareholder return relative to the Russell 3000 Index over performance periods of one, two, and three years ending November 30 and then vest on the 10th of December in 2023, 2024 and 2025, subject to the named executive officer’s continued employment.</w:t>
      </w:r>
    </w:p>
    <w:p>
      <w:pPr>
        <w:spacing w:after="0" w:line="5" w:lineRule="exact"/>
        <w:rPr>
          <w:rFonts w:ascii="Arial" w:cs="Arial" w:eastAsia="Arial" w:hAnsi="Arial"/>
          <w:sz w:val="27"/>
          <w:szCs w:val="27"/>
          <w:color w:val="auto"/>
          <w:vertAlign w:val="superscript"/>
        </w:rPr>
      </w:pPr>
    </w:p>
    <w:p>
      <w:pPr>
        <w:jc w:val="both"/>
        <w:ind w:left="540" w:hanging="424"/>
        <w:spacing w:after="0" w:line="213" w:lineRule="auto"/>
        <w:tabs>
          <w:tab w:leader="none" w:pos="54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These MSUs are earned upon achievement of performance goals related to the Company’s total shareholder return relative to the Russell 3000 Index over performance periods of one, two, and three years ending November 30 and then vest on the 9th of December in 2024, 2025, and 2026, subject to the named executive officer’s continued employment.</w:t>
      </w:r>
    </w:p>
    <w:p>
      <w:pPr>
        <w:spacing w:after="0" w:line="5" w:lineRule="exact"/>
        <w:rPr>
          <w:rFonts w:ascii="Arial" w:cs="Arial" w:eastAsia="Arial" w:hAnsi="Arial"/>
          <w:sz w:val="27"/>
          <w:szCs w:val="27"/>
          <w:color w:val="auto"/>
          <w:vertAlign w:val="superscript"/>
        </w:rPr>
      </w:pPr>
    </w:p>
    <w:p>
      <w:pPr>
        <w:jc w:val="both"/>
        <w:ind w:left="540" w:right="20" w:hanging="424"/>
        <w:spacing w:after="0" w:line="213" w:lineRule="auto"/>
        <w:tabs>
          <w:tab w:leader="none" w:pos="54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These MSUs are earned upon achievement of performance goals related to the Company’s total shareholder return relative to the S&amp;P 500 Index over performance periods of one, two, and three years ending November 30 and then vest on the 9th of December in 2025, 2026, and 2027, subject to the named executive officer’s continued employment.</w:t>
      </w:r>
    </w:p>
    <w:p>
      <w:pPr>
        <w:spacing w:after="0" w:line="5" w:lineRule="exact"/>
        <w:rPr>
          <w:rFonts w:ascii="Arial" w:cs="Arial" w:eastAsia="Arial" w:hAnsi="Arial"/>
          <w:sz w:val="27"/>
          <w:szCs w:val="27"/>
          <w:color w:val="auto"/>
          <w:vertAlign w:val="superscript"/>
        </w:rPr>
      </w:pPr>
    </w:p>
    <w:p>
      <w:pPr>
        <w:jc w:val="both"/>
        <w:ind w:left="540" w:right="20" w:hanging="424"/>
        <w:spacing w:after="0" w:line="213" w:lineRule="auto"/>
        <w:tabs>
          <w:tab w:leader="none" w:pos="54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These stock options vest as follows: three-fifths (3/5ths) of the options vest on June 5, 2026; one-fifth (1/5th) of the options vest on June 5, 2027; and the remaining one-fifth (1/5th) of the options vest on June 5, 2028, subject to Mr. Lansing’s continued employment.</w:t>
      </w:r>
    </w:p>
    <w:p>
      <w:pPr>
        <w:spacing w:after="0" w:line="5" w:lineRule="exact"/>
        <w:rPr>
          <w:rFonts w:ascii="Arial" w:cs="Arial" w:eastAsia="Arial" w:hAnsi="Arial"/>
          <w:sz w:val="27"/>
          <w:szCs w:val="27"/>
          <w:color w:val="auto"/>
          <w:vertAlign w:val="superscript"/>
        </w:rPr>
      </w:pPr>
    </w:p>
    <w:p>
      <w:pPr>
        <w:jc w:val="both"/>
        <w:ind w:left="540" w:right="20" w:hanging="424"/>
        <w:spacing w:after="0" w:line="189" w:lineRule="auto"/>
        <w:tabs>
          <w:tab w:leader="none" w:pos="54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These MSUs are earned upon achievement of performance goals related to the Company’s total shareholder return relative to the Russell 3000 Index over performance periods of three, four, and five years ending May 31 and then vest on the 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June in 2026, 2027 and 2028, subject to Mr. Lansing’s continued employment.</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FISCAL 2025 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699516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5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3"/>
          </w:tcPr>
          <w:p>
            <w:pPr>
              <w:ind w:left="520"/>
              <w:spacing w:after="0"/>
              <w:rPr>
                <w:sz w:val="20"/>
                <w:szCs w:val="20"/>
                <w:color w:val="auto"/>
              </w:rPr>
            </w:pPr>
            <w:r>
              <w:rPr>
                <w:rFonts w:ascii="Arial" w:cs="Arial" w:eastAsia="Arial" w:hAnsi="Arial"/>
                <w:sz w:val="18"/>
                <w:szCs w:val="18"/>
                <w:color w:val="376DB5"/>
              </w:rPr>
              <w:t>Option Awards</w:t>
            </w:r>
          </w:p>
        </w:tc>
        <w:tc>
          <w:tcPr>
            <w:tcW w:w="2360" w:type="dxa"/>
            <w:vAlign w:val="bottom"/>
            <w:gridSpan w:val="2"/>
          </w:tcPr>
          <w:p>
            <w:pPr>
              <w:jc w:val="right"/>
              <w:ind w:right="570"/>
              <w:spacing w:after="0"/>
              <w:rPr>
                <w:sz w:val="20"/>
                <w:szCs w:val="20"/>
                <w:color w:val="auto"/>
              </w:rPr>
            </w:pPr>
            <w:r>
              <w:rPr>
                <w:rFonts w:ascii="Arial" w:cs="Arial" w:eastAsia="Arial" w:hAnsi="Arial"/>
                <w:sz w:val="18"/>
                <w:szCs w:val="18"/>
                <w:color w:val="376DB5"/>
              </w:rPr>
              <w:t>Stock Awards</w:t>
            </w:r>
          </w:p>
        </w:tc>
      </w:tr>
      <w:tr>
        <w:trPr>
          <w:trHeight w:val="63"/>
        </w:trPr>
        <w:tc>
          <w:tcPr>
            <w:tcW w:w="5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Borders>
              <w:bottom w:val="single" w:sz="8" w:color="376DB5"/>
            </w:tcBorders>
          </w:tcPr>
          <w:p>
            <w:pPr>
              <w:spacing w:after="0"/>
              <w:rPr>
                <w:sz w:val="5"/>
                <w:szCs w:val="5"/>
                <w:color w:val="auto"/>
              </w:rPr>
            </w:pPr>
          </w:p>
        </w:tc>
        <w:tc>
          <w:tcPr>
            <w:tcW w:w="1100" w:type="dxa"/>
            <w:vAlign w:val="bottom"/>
            <w:tcBorders>
              <w:bottom w:val="single" w:sz="8" w:color="376DB5"/>
            </w:tcBorders>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Borders>
              <w:bottom w:val="single" w:sz="8" w:color="376DB5"/>
            </w:tcBorders>
          </w:tcPr>
          <w:p>
            <w:pPr>
              <w:spacing w:after="0"/>
              <w:rPr>
                <w:sz w:val="5"/>
                <w:szCs w:val="5"/>
                <w:color w:val="auto"/>
              </w:rPr>
            </w:pPr>
          </w:p>
        </w:tc>
        <w:tc>
          <w:tcPr>
            <w:tcW w:w="1280" w:type="dxa"/>
            <w:vAlign w:val="bottom"/>
            <w:tcBorders>
              <w:bottom w:val="single" w:sz="8" w:color="376DB5"/>
            </w:tcBorders>
          </w:tcPr>
          <w:p>
            <w:pPr>
              <w:spacing w:after="0"/>
              <w:rPr>
                <w:sz w:val="5"/>
                <w:szCs w:val="5"/>
                <w:color w:val="auto"/>
              </w:rPr>
            </w:pPr>
          </w:p>
        </w:tc>
      </w:tr>
      <w:tr>
        <w:trPr>
          <w:trHeight w:val="218"/>
        </w:trPr>
        <w:tc>
          <w:tcPr>
            <w:tcW w:w="5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376DB5"/>
                <w:w w:val="99"/>
              </w:rPr>
              <w:t>Number of</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color w:val="376DB5"/>
                <w:w w:val="99"/>
              </w:rPr>
              <w:t>Number of</w:t>
            </w:r>
          </w:p>
        </w:tc>
        <w:tc>
          <w:tcPr>
            <w:tcW w:w="1280" w:type="dxa"/>
            <w:vAlign w:val="bottom"/>
          </w:tcPr>
          <w:p>
            <w:pPr>
              <w:spacing w:after="0"/>
              <w:rPr>
                <w:sz w:val="18"/>
                <w:szCs w:val="18"/>
                <w:color w:val="auto"/>
              </w:rPr>
            </w:pPr>
          </w:p>
        </w:tc>
      </w:tr>
      <w:tr>
        <w:trPr>
          <w:trHeight w:val="203"/>
        </w:trPr>
        <w:tc>
          <w:tcPr>
            <w:tcW w:w="5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center"/>
              <w:ind w:right="70"/>
              <w:spacing w:after="0" w:line="202" w:lineRule="exact"/>
              <w:rPr>
                <w:sz w:val="20"/>
                <w:szCs w:val="20"/>
                <w:color w:val="auto"/>
              </w:rPr>
            </w:pPr>
            <w:r>
              <w:rPr>
                <w:rFonts w:ascii="Arial" w:cs="Arial" w:eastAsia="Arial" w:hAnsi="Arial"/>
                <w:sz w:val="18"/>
                <w:szCs w:val="18"/>
                <w:color w:val="376DB5"/>
              </w:rPr>
              <w:t>Shares</w:t>
            </w:r>
          </w:p>
        </w:tc>
        <w:tc>
          <w:tcPr>
            <w:tcW w:w="142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376DB5"/>
                <w:w w:val="99"/>
              </w:rPr>
              <w:t>Value</w:t>
            </w:r>
          </w:p>
        </w:tc>
        <w:tc>
          <w:tcPr>
            <w:tcW w:w="1080" w:type="dxa"/>
            <w:vAlign w:val="bottom"/>
          </w:tcPr>
          <w:p>
            <w:pPr>
              <w:jc w:val="center"/>
              <w:ind w:right="130"/>
              <w:spacing w:after="0" w:line="202" w:lineRule="exact"/>
              <w:rPr>
                <w:sz w:val="20"/>
                <w:szCs w:val="20"/>
                <w:color w:val="auto"/>
              </w:rPr>
            </w:pPr>
            <w:r>
              <w:rPr>
                <w:rFonts w:ascii="Arial" w:cs="Arial" w:eastAsia="Arial" w:hAnsi="Arial"/>
                <w:sz w:val="18"/>
                <w:szCs w:val="18"/>
                <w:color w:val="376DB5"/>
              </w:rPr>
              <w:t>Shares</w:t>
            </w:r>
          </w:p>
        </w:tc>
        <w:tc>
          <w:tcPr>
            <w:tcW w:w="1280" w:type="dxa"/>
            <w:vAlign w:val="bottom"/>
          </w:tcPr>
          <w:p>
            <w:pPr>
              <w:jc w:val="center"/>
              <w:spacing w:after="0" w:line="202" w:lineRule="exact"/>
              <w:rPr>
                <w:sz w:val="20"/>
                <w:szCs w:val="20"/>
                <w:color w:val="auto"/>
              </w:rPr>
            </w:pPr>
            <w:r>
              <w:rPr>
                <w:rFonts w:ascii="Arial" w:cs="Arial" w:eastAsia="Arial" w:hAnsi="Arial"/>
                <w:sz w:val="18"/>
                <w:szCs w:val="18"/>
                <w:color w:val="376DB5"/>
                <w:w w:val="95"/>
              </w:rPr>
              <w:t>Value</w:t>
            </w:r>
          </w:p>
        </w:tc>
      </w:tr>
      <w:tr>
        <w:trPr>
          <w:trHeight w:val="203"/>
        </w:trPr>
        <w:tc>
          <w:tcPr>
            <w:tcW w:w="5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center"/>
              <w:ind w:right="70"/>
              <w:spacing w:after="0" w:line="202" w:lineRule="exact"/>
              <w:rPr>
                <w:sz w:val="20"/>
                <w:szCs w:val="20"/>
                <w:color w:val="auto"/>
              </w:rPr>
            </w:pPr>
            <w:r>
              <w:rPr>
                <w:rFonts w:ascii="Arial" w:cs="Arial" w:eastAsia="Arial" w:hAnsi="Arial"/>
                <w:sz w:val="18"/>
                <w:szCs w:val="18"/>
                <w:color w:val="376DB5"/>
                <w:w w:val="98"/>
              </w:rPr>
              <w:t>Acquired</w:t>
            </w:r>
          </w:p>
        </w:tc>
        <w:tc>
          <w:tcPr>
            <w:tcW w:w="142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376DB5"/>
                <w:w w:val="99"/>
              </w:rPr>
              <w:t>Realized</w:t>
            </w:r>
          </w:p>
        </w:tc>
        <w:tc>
          <w:tcPr>
            <w:tcW w:w="1080" w:type="dxa"/>
            <w:vAlign w:val="bottom"/>
          </w:tcPr>
          <w:p>
            <w:pPr>
              <w:jc w:val="center"/>
              <w:ind w:right="130"/>
              <w:spacing w:after="0" w:line="202" w:lineRule="exact"/>
              <w:rPr>
                <w:sz w:val="20"/>
                <w:szCs w:val="20"/>
                <w:color w:val="auto"/>
              </w:rPr>
            </w:pPr>
            <w:r>
              <w:rPr>
                <w:rFonts w:ascii="Arial" w:cs="Arial" w:eastAsia="Arial" w:hAnsi="Arial"/>
                <w:sz w:val="18"/>
                <w:szCs w:val="18"/>
                <w:color w:val="376DB5"/>
                <w:w w:val="98"/>
              </w:rPr>
              <w:t>Acquired</w:t>
            </w:r>
          </w:p>
        </w:tc>
        <w:tc>
          <w:tcPr>
            <w:tcW w:w="1280" w:type="dxa"/>
            <w:vAlign w:val="bottom"/>
          </w:tcPr>
          <w:p>
            <w:pPr>
              <w:jc w:val="center"/>
              <w:ind w:left="10"/>
              <w:spacing w:after="0" w:line="202" w:lineRule="exact"/>
              <w:rPr>
                <w:sz w:val="20"/>
                <w:szCs w:val="20"/>
                <w:color w:val="auto"/>
              </w:rPr>
            </w:pPr>
            <w:r>
              <w:rPr>
                <w:rFonts w:ascii="Arial" w:cs="Arial" w:eastAsia="Arial" w:hAnsi="Arial"/>
                <w:sz w:val="18"/>
                <w:szCs w:val="18"/>
                <w:color w:val="376DB5"/>
                <w:w w:val="99"/>
              </w:rPr>
              <w:t>Realized</w:t>
            </w:r>
          </w:p>
        </w:tc>
      </w:tr>
      <w:tr>
        <w:trPr>
          <w:trHeight w:val="203"/>
        </w:trPr>
        <w:tc>
          <w:tcPr>
            <w:tcW w:w="5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center"/>
              <w:ind w:right="70"/>
              <w:spacing w:after="0" w:line="202" w:lineRule="exact"/>
              <w:rPr>
                <w:sz w:val="20"/>
                <w:szCs w:val="20"/>
                <w:color w:val="auto"/>
              </w:rPr>
            </w:pPr>
            <w:r>
              <w:rPr>
                <w:rFonts w:ascii="Arial" w:cs="Arial" w:eastAsia="Arial" w:hAnsi="Arial"/>
                <w:sz w:val="18"/>
                <w:szCs w:val="18"/>
                <w:color w:val="376DB5"/>
                <w:w w:val="99"/>
              </w:rPr>
              <w:t>on Exercise</w:t>
            </w:r>
          </w:p>
        </w:tc>
        <w:tc>
          <w:tcPr>
            <w:tcW w:w="142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376DB5"/>
                <w:w w:val="99"/>
              </w:rPr>
              <w:t>on Exercise</w:t>
            </w:r>
          </w:p>
        </w:tc>
        <w:tc>
          <w:tcPr>
            <w:tcW w:w="1080" w:type="dxa"/>
            <w:vAlign w:val="bottom"/>
          </w:tcPr>
          <w:p>
            <w:pPr>
              <w:jc w:val="center"/>
              <w:ind w:right="150"/>
              <w:spacing w:after="0" w:line="202" w:lineRule="exact"/>
              <w:rPr>
                <w:sz w:val="20"/>
                <w:szCs w:val="20"/>
                <w:color w:val="auto"/>
              </w:rPr>
            </w:pPr>
            <w:r>
              <w:rPr>
                <w:rFonts w:ascii="Arial" w:cs="Arial" w:eastAsia="Arial" w:hAnsi="Arial"/>
                <w:sz w:val="18"/>
                <w:szCs w:val="18"/>
                <w:color w:val="376DB5"/>
                <w:w w:val="98"/>
              </w:rPr>
              <w:t>on Vesting</w:t>
            </w:r>
          </w:p>
        </w:tc>
        <w:tc>
          <w:tcPr>
            <w:tcW w:w="1280" w:type="dxa"/>
            <w:vAlign w:val="bottom"/>
          </w:tcPr>
          <w:p>
            <w:pPr>
              <w:jc w:val="center"/>
              <w:spacing w:after="0" w:line="202" w:lineRule="exact"/>
              <w:rPr>
                <w:sz w:val="20"/>
                <w:szCs w:val="20"/>
                <w:color w:val="auto"/>
              </w:rPr>
            </w:pPr>
            <w:r>
              <w:rPr>
                <w:rFonts w:ascii="Arial" w:cs="Arial" w:eastAsia="Arial" w:hAnsi="Arial"/>
                <w:sz w:val="18"/>
                <w:szCs w:val="18"/>
                <w:color w:val="376DB5"/>
                <w:w w:val="98"/>
              </w:rPr>
              <w:t>On Vesting</w:t>
            </w:r>
          </w:p>
        </w:tc>
      </w:tr>
      <w:tr>
        <w:trPr>
          <w:trHeight w:val="248"/>
        </w:trPr>
        <w:tc>
          <w:tcPr>
            <w:tcW w:w="5820" w:type="dxa"/>
            <w:vAlign w:val="bottom"/>
            <w:tcBorders>
              <w:bottom w:val="single" w:sz="8" w:color="376DB5"/>
            </w:tcBorders>
          </w:tcPr>
          <w:p>
            <w:pPr>
              <w:spacing w:after="0"/>
              <w:rPr>
                <w:sz w:val="20"/>
                <w:szCs w:val="20"/>
                <w:color w:val="auto"/>
              </w:rPr>
            </w:pPr>
            <w:r>
              <w:rPr>
                <w:rFonts w:ascii="Arial" w:cs="Arial" w:eastAsia="Arial" w:hAnsi="Arial"/>
                <w:sz w:val="18"/>
                <w:szCs w:val="18"/>
                <w:color w:val="376DB5"/>
              </w:rPr>
              <w:t>Name</w:t>
            </w:r>
          </w:p>
        </w:tc>
        <w:tc>
          <w:tcPr>
            <w:tcW w:w="1420" w:type="dxa"/>
            <w:vAlign w:val="bottom"/>
            <w:tcBorders>
              <w:bottom w:val="single" w:sz="8" w:color="376DB5"/>
            </w:tcBorders>
            <w:gridSpan w:val="2"/>
          </w:tcPr>
          <w:p>
            <w:pPr>
              <w:jc w:val="center"/>
              <w:ind w:left="70"/>
              <w:spacing w:after="0"/>
              <w:rPr>
                <w:sz w:val="20"/>
                <w:szCs w:val="20"/>
                <w:color w:val="auto"/>
              </w:rPr>
            </w:pPr>
            <w:r>
              <w:rPr>
                <w:rFonts w:ascii="Arial" w:cs="Arial" w:eastAsia="Arial" w:hAnsi="Arial"/>
                <w:sz w:val="18"/>
                <w:szCs w:val="18"/>
                <w:color w:val="376DB5"/>
                <w:w w:val="99"/>
              </w:rPr>
              <w:t>(#)</w:t>
            </w:r>
          </w:p>
        </w:tc>
        <w:tc>
          <w:tcPr>
            <w:tcW w:w="1100" w:type="dxa"/>
            <w:vAlign w:val="bottom"/>
            <w:tcBorders>
              <w:bottom w:val="single" w:sz="8" w:color="376DB5"/>
            </w:tcBorders>
          </w:tcPr>
          <w:p>
            <w:pPr>
              <w:jc w:val="center"/>
              <w:ind w:left="70"/>
              <w:spacing w:after="0" w:line="248" w:lineRule="exact"/>
              <w:rPr>
                <w:sz w:val="20"/>
                <w:szCs w:val="20"/>
                <w:color w:val="auto"/>
              </w:rPr>
            </w:pPr>
            <w:r>
              <w:rPr>
                <w:rFonts w:ascii="Arial" w:cs="Arial" w:eastAsia="Arial" w:hAnsi="Arial"/>
                <w:sz w:val="18"/>
                <w:szCs w:val="18"/>
                <w:color w:val="376DB5"/>
                <w:w w:val="87"/>
              </w:rPr>
              <w:t>($)</w:t>
            </w:r>
            <w:r>
              <w:rPr>
                <w:rFonts w:ascii="Arial" w:cs="Arial" w:eastAsia="Arial" w:hAnsi="Arial"/>
                <w:sz w:val="26"/>
                <w:szCs w:val="26"/>
                <w:color w:val="376DB5"/>
                <w:w w:val="87"/>
                <w:vertAlign w:val="superscript"/>
              </w:rPr>
              <w:t>(1)</w:t>
            </w:r>
          </w:p>
        </w:tc>
        <w:tc>
          <w:tcPr>
            <w:tcW w:w="320" w:type="dxa"/>
            <w:vAlign w:val="bottom"/>
            <w:tcBorders>
              <w:bottom w:val="single" w:sz="8" w:color="376DB5"/>
            </w:tcBorders>
          </w:tcPr>
          <w:p>
            <w:pPr>
              <w:spacing w:after="0"/>
              <w:rPr>
                <w:sz w:val="21"/>
                <w:szCs w:val="21"/>
                <w:color w:val="auto"/>
              </w:rPr>
            </w:pPr>
          </w:p>
        </w:tc>
        <w:tc>
          <w:tcPr>
            <w:tcW w:w="1080" w:type="dxa"/>
            <w:vAlign w:val="bottom"/>
            <w:tcBorders>
              <w:bottom w:val="single" w:sz="8" w:color="376DB5"/>
            </w:tcBorders>
          </w:tcPr>
          <w:p>
            <w:pPr>
              <w:jc w:val="center"/>
              <w:ind w:right="130"/>
              <w:spacing w:after="0"/>
              <w:rPr>
                <w:sz w:val="20"/>
                <w:szCs w:val="20"/>
                <w:color w:val="auto"/>
              </w:rPr>
            </w:pPr>
            <w:r>
              <w:rPr>
                <w:rFonts w:ascii="Arial" w:cs="Arial" w:eastAsia="Arial" w:hAnsi="Arial"/>
                <w:sz w:val="18"/>
                <w:szCs w:val="18"/>
                <w:color w:val="376DB5"/>
                <w:w w:val="99"/>
              </w:rPr>
              <w:t>(#)</w:t>
            </w:r>
          </w:p>
        </w:tc>
        <w:tc>
          <w:tcPr>
            <w:tcW w:w="1280" w:type="dxa"/>
            <w:vAlign w:val="bottom"/>
            <w:tcBorders>
              <w:bottom w:val="single" w:sz="8" w:color="376DB5"/>
            </w:tcBorders>
          </w:tcPr>
          <w:p>
            <w:pPr>
              <w:jc w:val="center"/>
              <w:ind w:left="10"/>
              <w:spacing w:after="0" w:line="248" w:lineRule="exact"/>
              <w:rPr>
                <w:sz w:val="20"/>
                <w:szCs w:val="20"/>
                <w:color w:val="auto"/>
              </w:rPr>
            </w:pPr>
            <w:r>
              <w:rPr>
                <w:rFonts w:ascii="Arial" w:cs="Arial" w:eastAsia="Arial" w:hAnsi="Arial"/>
                <w:sz w:val="18"/>
                <w:szCs w:val="18"/>
                <w:color w:val="376DB5"/>
                <w:w w:val="87"/>
              </w:rPr>
              <w:t>($)</w:t>
            </w:r>
            <w:r>
              <w:rPr>
                <w:rFonts w:ascii="Arial" w:cs="Arial" w:eastAsia="Arial" w:hAnsi="Arial"/>
                <w:sz w:val="26"/>
                <w:szCs w:val="26"/>
                <w:color w:val="376DB5"/>
                <w:w w:val="87"/>
                <w:vertAlign w:val="superscript"/>
              </w:rPr>
              <w:t>(2)</w:t>
            </w:r>
          </w:p>
        </w:tc>
      </w:tr>
      <w:tr>
        <w:trPr>
          <w:trHeight w:val="272"/>
        </w:trPr>
        <w:tc>
          <w:tcPr>
            <w:tcW w:w="5820" w:type="dxa"/>
            <w:vAlign w:val="bottom"/>
          </w:tcPr>
          <w:p>
            <w:pPr>
              <w:spacing w:after="0"/>
              <w:rPr>
                <w:sz w:val="20"/>
                <w:szCs w:val="20"/>
                <w:color w:val="auto"/>
              </w:rPr>
            </w:pPr>
            <w:r>
              <w:rPr>
                <w:rFonts w:ascii="Arial" w:cs="Arial" w:eastAsia="Arial" w:hAnsi="Arial"/>
                <w:sz w:val="18"/>
                <w:szCs w:val="18"/>
                <w:color w:val="auto"/>
              </w:rPr>
              <w:t>William Lansing</w:t>
            </w:r>
          </w:p>
        </w:tc>
        <w:tc>
          <w:tcPr>
            <w:tcW w:w="1420" w:type="dxa"/>
            <w:vAlign w:val="bottom"/>
            <w:gridSpan w:val="2"/>
          </w:tcPr>
          <w:p>
            <w:pPr>
              <w:jc w:val="center"/>
              <w:ind w:left="70"/>
              <w:spacing w:after="0"/>
              <w:rPr>
                <w:sz w:val="20"/>
                <w:szCs w:val="20"/>
                <w:color w:val="auto"/>
              </w:rPr>
            </w:pPr>
            <w:r>
              <w:rPr>
                <w:rFonts w:ascii="Arial" w:cs="Arial" w:eastAsia="Arial" w:hAnsi="Arial"/>
                <w:sz w:val="18"/>
                <w:szCs w:val="18"/>
                <w:color w:val="auto"/>
                <w:w w:val="98"/>
              </w:rPr>
              <w:t>48,084</w:t>
            </w:r>
          </w:p>
        </w:tc>
        <w:tc>
          <w:tcPr>
            <w:tcW w:w="1100" w:type="dxa"/>
            <w:vAlign w:val="bottom"/>
          </w:tcPr>
          <w:p>
            <w:pPr>
              <w:jc w:val="center"/>
              <w:ind w:left="70"/>
              <w:spacing w:after="0"/>
              <w:rPr>
                <w:sz w:val="20"/>
                <w:szCs w:val="20"/>
                <w:color w:val="auto"/>
              </w:rPr>
            </w:pPr>
            <w:r>
              <w:rPr>
                <w:rFonts w:ascii="Arial" w:cs="Arial" w:eastAsia="Arial" w:hAnsi="Arial"/>
                <w:sz w:val="18"/>
                <w:szCs w:val="18"/>
                <w:color w:val="auto"/>
                <w:w w:val="99"/>
              </w:rPr>
              <w:t>74,315,840</w:t>
            </w:r>
          </w:p>
        </w:tc>
        <w:tc>
          <w:tcPr>
            <w:tcW w:w="320" w:type="dxa"/>
            <w:vAlign w:val="bottom"/>
          </w:tcPr>
          <w:p>
            <w:pPr>
              <w:spacing w:after="0"/>
              <w:rPr>
                <w:sz w:val="23"/>
                <w:szCs w:val="23"/>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55,434</w:t>
            </w:r>
          </w:p>
        </w:tc>
        <w:tc>
          <w:tcPr>
            <w:tcW w:w="1280" w:type="dxa"/>
            <w:vAlign w:val="bottom"/>
          </w:tcPr>
          <w:p>
            <w:pPr>
              <w:jc w:val="right"/>
              <w:spacing w:after="0"/>
              <w:rPr>
                <w:sz w:val="20"/>
                <w:szCs w:val="20"/>
                <w:color w:val="auto"/>
              </w:rPr>
            </w:pPr>
            <w:r>
              <w:rPr>
                <w:rFonts w:ascii="Arial" w:cs="Arial" w:eastAsia="Arial" w:hAnsi="Arial"/>
                <w:sz w:val="18"/>
                <w:szCs w:val="18"/>
                <w:color w:val="auto"/>
              </w:rPr>
              <w:t>122,253,954</w:t>
            </w:r>
          </w:p>
        </w:tc>
      </w:tr>
      <w:tr>
        <w:trPr>
          <w:trHeight w:val="302"/>
        </w:trPr>
        <w:tc>
          <w:tcPr>
            <w:tcW w:w="5820" w:type="dxa"/>
            <w:vAlign w:val="bottom"/>
            <w:shd w:val="clear" w:color="auto" w:fill="F2F2F2"/>
          </w:tcPr>
          <w:p>
            <w:pPr>
              <w:spacing w:after="0"/>
              <w:rPr>
                <w:sz w:val="20"/>
                <w:szCs w:val="20"/>
                <w:color w:val="auto"/>
              </w:rPr>
            </w:pPr>
            <w:r>
              <w:rPr>
                <w:rFonts w:ascii="Arial" w:cs="Arial" w:eastAsia="Arial" w:hAnsi="Arial"/>
                <w:sz w:val="18"/>
                <w:szCs w:val="18"/>
                <w:color w:val="auto"/>
              </w:rPr>
              <w:t>Steven Weber</w:t>
            </w:r>
          </w:p>
        </w:tc>
        <w:tc>
          <w:tcPr>
            <w:tcW w:w="320" w:type="dxa"/>
            <w:vAlign w:val="bottom"/>
            <w:shd w:val="clear" w:color="auto" w:fill="F2F2F2"/>
          </w:tcPr>
          <w:p>
            <w:pPr>
              <w:spacing w:after="0"/>
              <w:rPr>
                <w:sz w:val="24"/>
                <w:szCs w:val="24"/>
                <w:color w:val="auto"/>
              </w:rPr>
            </w:pPr>
          </w:p>
        </w:tc>
        <w:tc>
          <w:tcPr>
            <w:tcW w:w="1100" w:type="dxa"/>
            <w:vAlign w:val="bottom"/>
            <w:shd w:val="clear" w:color="auto" w:fill="F2F2F2"/>
          </w:tcPr>
          <w:p>
            <w:pPr>
              <w:jc w:val="center"/>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F2F2F2"/>
          </w:tcPr>
          <w:p>
            <w:pPr>
              <w:jc w:val="center"/>
              <w:ind w:right="16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F2F2F2"/>
          </w:tcPr>
          <w:p>
            <w:pPr>
              <w:jc w:val="right"/>
              <w:ind w:right="130"/>
              <w:spacing w:after="0"/>
              <w:rPr>
                <w:sz w:val="20"/>
                <w:szCs w:val="20"/>
                <w:color w:val="auto"/>
              </w:rPr>
            </w:pPr>
            <w:r>
              <w:rPr>
                <w:rFonts w:ascii="Arial" w:cs="Arial" w:eastAsia="Arial" w:hAnsi="Arial"/>
                <w:sz w:val="18"/>
                <w:szCs w:val="18"/>
                <w:color w:val="auto"/>
              </w:rPr>
              <w:t>4,321</w:t>
            </w:r>
          </w:p>
        </w:tc>
        <w:tc>
          <w:tcPr>
            <w:tcW w:w="12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9,459,938</w:t>
            </w:r>
          </w:p>
        </w:tc>
      </w:tr>
      <w:tr>
        <w:trPr>
          <w:trHeight w:val="292"/>
        </w:trPr>
        <w:tc>
          <w:tcPr>
            <w:tcW w:w="5820" w:type="dxa"/>
            <w:vAlign w:val="bottom"/>
          </w:tcPr>
          <w:p>
            <w:pPr>
              <w:spacing w:after="0"/>
              <w:rPr>
                <w:sz w:val="20"/>
                <w:szCs w:val="20"/>
                <w:color w:val="auto"/>
              </w:rPr>
            </w:pPr>
            <w:r>
              <w:rPr>
                <w:rFonts w:ascii="Arial" w:cs="Arial" w:eastAsia="Arial" w:hAnsi="Arial"/>
                <w:sz w:val="18"/>
                <w:szCs w:val="18"/>
                <w:color w:val="auto"/>
              </w:rPr>
              <w:t>Nikhil Behl</w:t>
            </w:r>
          </w:p>
        </w:tc>
        <w:tc>
          <w:tcPr>
            <w:tcW w:w="320" w:type="dxa"/>
            <w:vAlign w:val="bottom"/>
          </w:tcPr>
          <w:p>
            <w:pPr>
              <w:spacing w:after="0"/>
              <w:rPr>
                <w:sz w:val="24"/>
                <w:szCs w:val="24"/>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5,490</w:t>
            </w:r>
          </w:p>
        </w:tc>
        <w:tc>
          <w:tcPr>
            <w:tcW w:w="1280" w:type="dxa"/>
            <w:vAlign w:val="bottom"/>
          </w:tcPr>
          <w:p>
            <w:pPr>
              <w:jc w:val="right"/>
              <w:spacing w:after="0"/>
              <w:rPr>
                <w:sz w:val="20"/>
                <w:szCs w:val="20"/>
                <w:color w:val="auto"/>
              </w:rPr>
            </w:pPr>
            <w:r>
              <w:rPr>
                <w:rFonts w:ascii="Arial" w:cs="Arial" w:eastAsia="Arial" w:hAnsi="Arial"/>
                <w:sz w:val="18"/>
                <w:szCs w:val="18"/>
                <w:color w:val="auto"/>
              </w:rPr>
              <w:t>10,921,232</w:t>
            </w:r>
          </w:p>
        </w:tc>
      </w:tr>
      <w:tr>
        <w:trPr>
          <w:trHeight w:val="302"/>
        </w:trPr>
        <w:tc>
          <w:tcPr>
            <w:tcW w:w="5820" w:type="dxa"/>
            <w:vAlign w:val="bottom"/>
            <w:shd w:val="clear" w:color="auto" w:fill="F2F2F2"/>
          </w:tcPr>
          <w:p>
            <w:pPr>
              <w:spacing w:after="0"/>
              <w:rPr>
                <w:sz w:val="20"/>
                <w:szCs w:val="20"/>
                <w:color w:val="auto"/>
              </w:rPr>
            </w:pPr>
            <w:r>
              <w:rPr>
                <w:rFonts w:ascii="Arial" w:cs="Arial" w:eastAsia="Arial" w:hAnsi="Arial"/>
                <w:sz w:val="18"/>
                <w:szCs w:val="18"/>
                <w:color w:val="auto"/>
              </w:rPr>
              <w:t>Richard Deal</w:t>
            </w:r>
          </w:p>
        </w:tc>
        <w:tc>
          <w:tcPr>
            <w:tcW w:w="320" w:type="dxa"/>
            <w:vAlign w:val="bottom"/>
            <w:shd w:val="clear" w:color="auto" w:fill="F2F2F2"/>
          </w:tcPr>
          <w:p>
            <w:pPr>
              <w:spacing w:after="0"/>
              <w:rPr>
                <w:sz w:val="24"/>
                <w:szCs w:val="24"/>
                <w:color w:val="auto"/>
              </w:rPr>
            </w:pPr>
          </w:p>
        </w:tc>
        <w:tc>
          <w:tcPr>
            <w:tcW w:w="1100" w:type="dxa"/>
            <w:vAlign w:val="bottom"/>
            <w:shd w:val="clear" w:color="auto" w:fill="F2F2F2"/>
          </w:tcPr>
          <w:p>
            <w:pPr>
              <w:jc w:val="center"/>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F2F2F2"/>
          </w:tcPr>
          <w:p>
            <w:pPr>
              <w:jc w:val="center"/>
              <w:ind w:right="16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F2F2F2"/>
          </w:tcPr>
          <w:p>
            <w:pPr>
              <w:jc w:val="right"/>
              <w:ind w:right="130"/>
              <w:spacing w:after="0"/>
              <w:rPr>
                <w:sz w:val="20"/>
                <w:szCs w:val="20"/>
                <w:color w:val="auto"/>
              </w:rPr>
            </w:pPr>
            <w:r>
              <w:rPr>
                <w:rFonts w:ascii="Arial" w:cs="Arial" w:eastAsia="Arial" w:hAnsi="Arial"/>
                <w:sz w:val="18"/>
                <w:szCs w:val="18"/>
                <w:color w:val="auto"/>
              </w:rPr>
              <w:t>12,946</w:t>
            </w:r>
          </w:p>
        </w:tc>
        <w:tc>
          <w:tcPr>
            <w:tcW w:w="12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28,488,232</w:t>
            </w:r>
          </w:p>
        </w:tc>
      </w:tr>
      <w:tr>
        <w:trPr>
          <w:trHeight w:val="292"/>
        </w:trPr>
        <w:tc>
          <w:tcPr>
            <w:tcW w:w="5820" w:type="dxa"/>
            <w:vAlign w:val="bottom"/>
          </w:tcPr>
          <w:p>
            <w:pPr>
              <w:spacing w:after="0"/>
              <w:rPr>
                <w:sz w:val="20"/>
                <w:szCs w:val="20"/>
                <w:color w:val="auto"/>
              </w:rPr>
            </w:pPr>
            <w:r>
              <w:rPr>
                <w:rFonts w:ascii="Arial" w:cs="Arial" w:eastAsia="Arial" w:hAnsi="Arial"/>
                <w:sz w:val="18"/>
                <w:szCs w:val="18"/>
                <w:color w:val="auto"/>
              </w:rPr>
              <w:t>Mark Scadina</w:t>
            </w:r>
          </w:p>
        </w:tc>
        <w:tc>
          <w:tcPr>
            <w:tcW w:w="14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7</w:t>
            </w:r>
          </w:p>
        </w:tc>
        <w:tc>
          <w:tcPr>
            <w:tcW w:w="1100" w:type="dxa"/>
            <w:vAlign w:val="bottom"/>
          </w:tcPr>
          <w:p>
            <w:pPr>
              <w:jc w:val="center"/>
              <w:ind w:left="70"/>
              <w:spacing w:after="0"/>
              <w:rPr>
                <w:sz w:val="20"/>
                <w:szCs w:val="20"/>
                <w:color w:val="auto"/>
              </w:rPr>
            </w:pPr>
            <w:r>
              <w:rPr>
                <w:rFonts w:ascii="Arial" w:cs="Arial" w:eastAsia="Arial" w:hAnsi="Arial"/>
                <w:sz w:val="18"/>
                <w:szCs w:val="18"/>
                <w:color w:val="auto"/>
                <w:w w:val="98"/>
              </w:rPr>
              <w:t>15,405</w:t>
            </w:r>
          </w:p>
        </w:tc>
        <w:tc>
          <w:tcPr>
            <w:tcW w:w="320" w:type="dxa"/>
            <w:vAlign w:val="bottom"/>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12,946</w:t>
            </w:r>
          </w:p>
        </w:tc>
        <w:tc>
          <w:tcPr>
            <w:tcW w:w="1280" w:type="dxa"/>
            <w:vAlign w:val="bottom"/>
          </w:tcPr>
          <w:p>
            <w:pPr>
              <w:jc w:val="right"/>
              <w:spacing w:after="0"/>
              <w:rPr>
                <w:sz w:val="20"/>
                <w:szCs w:val="20"/>
                <w:color w:val="auto"/>
              </w:rPr>
            </w:pPr>
            <w:r>
              <w:rPr>
                <w:rFonts w:ascii="Arial" w:cs="Arial" w:eastAsia="Arial" w:hAnsi="Arial"/>
                <w:sz w:val="18"/>
                <w:szCs w:val="18"/>
                <w:color w:val="auto"/>
              </w:rPr>
              <w:t>28,488,232</w:t>
            </w:r>
          </w:p>
        </w:tc>
      </w:tr>
      <w:tr>
        <w:trPr>
          <w:trHeight w:val="297"/>
        </w:trPr>
        <w:tc>
          <w:tcPr>
            <w:tcW w:w="5820" w:type="dxa"/>
            <w:vAlign w:val="bottom"/>
            <w:tcBorders>
              <w:bottom w:val="single" w:sz="8" w:color="376DB5"/>
            </w:tcBorders>
            <w:shd w:val="clear" w:color="auto" w:fill="F2F2F2"/>
          </w:tcPr>
          <w:p>
            <w:pPr>
              <w:spacing w:after="0"/>
              <w:rPr>
                <w:sz w:val="20"/>
                <w:szCs w:val="20"/>
                <w:color w:val="auto"/>
              </w:rPr>
            </w:pPr>
            <w:r>
              <w:rPr>
                <w:rFonts w:ascii="Arial" w:cs="Arial" w:eastAsia="Arial" w:hAnsi="Arial"/>
                <w:sz w:val="18"/>
                <w:szCs w:val="18"/>
                <w:color w:val="auto"/>
              </w:rPr>
              <w:t>James Wehmann</w:t>
            </w:r>
          </w:p>
        </w:tc>
        <w:tc>
          <w:tcPr>
            <w:tcW w:w="320" w:type="dxa"/>
            <w:vAlign w:val="bottom"/>
            <w:tcBorders>
              <w:bottom w:val="single" w:sz="8" w:color="376DB5"/>
            </w:tcBorders>
            <w:shd w:val="clear" w:color="auto" w:fill="F2F2F2"/>
          </w:tcPr>
          <w:p>
            <w:pPr>
              <w:spacing w:after="0"/>
              <w:rPr>
                <w:sz w:val="24"/>
                <w:szCs w:val="24"/>
                <w:color w:val="auto"/>
              </w:rPr>
            </w:pPr>
          </w:p>
        </w:tc>
        <w:tc>
          <w:tcPr>
            <w:tcW w:w="1100" w:type="dxa"/>
            <w:vAlign w:val="bottom"/>
            <w:tcBorders>
              <w:bottom w:val="single" w:sz="8" w:color="376DB5"/>
            </w:tcBorders>
            <w:shd w:val="clear" w:color="auto" w:fill="F2F2F2"/>
          </w:tcPr>
          <w:p>
            <w:pPr>
              <w:jc w:val="center"/>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376DB5"/>
            </w:tcBorders>
            <w:gridSpan w:val="2"/>
            <w:shd w:val="clear" w:color="auto" w:fill="F2F2F2"/>
          </w:tcPr>
          <w:p>
            <w:pPr>
              <w:jc w:val="center"/>
              <w:ind w:right="16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376DB5"/>
            </w:tcBorders>
            <w:shd w:val="clear" w:color="auto" w:fill="F2F2F2"/>
          </w:tcPr>
          <w:p>
            <w:pPr>
              <w:jc w:val="right"/>
              <w:ind w:right="130"/>
              <w:spacing w:after="0"/>
              <w:rPr>
                <w:sz w:val="20"/>
                <w:szCs w:val="20"/>
                <w:color w:val="auto"/>
              </w:rPr>
            </w:pPr>
            <w:r>
              <w:rPr>
                <w:rFonts w:ascii="Arial" w:cs="Arial" w:eastAsia="Arial" w:hAnsi="Arial"/>
                <w:sz w:val="18"/>
                <w:szCs w:val="18"/>
                <w:color w:val="auto"/>
              </w:rPr>
              <w:t>18,612</w:t>
            </w:r>
          </w:p>
        </w:tc>
        <w:tc>
          <w:tcPr>
            <w:tcW w:w="1280" w:type="dxa"/>
            <w:vAlign w:val="bottom"/>
            <w:tcBorders>
              <w:bottom w:val="single" w:sz="8" w:color="376DB5"/>
            </w:tcBorders>
            <w:shd w:val="clear" w:color="auto" w:fill="F2F2F2"/>
          </w:tcPr>
          <w:p>
            <w:pPr>
              <w:jc w:val="right"/>
              <w:spacing w:after="0"/>
              <w:rPr>
                <w:sz w:val="20"/>
                <w:szCs w:val="20"/>
                <w:color w:val="auto"/>
              </w:rPr>
            </w:pPr>
            <w:r>
              <w:rPr>
                <w:rFonts w:ascii="Arial" w:cs="Arial" w:eastAsia="Arial" w:hAnsi="Arial"/>
                <w:sz w:val="18"/>
                <w:szCs w:val="18"/>
                <w:color w:val="auto"/>
              </w:rPr>
              <w:t>40,935,233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90868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50" w:lineRule="exact"/>
        <w:rPr>
          <w:sz w:val="20"/>
          <w:szCs w:val="20"/>
          <w:color w:val="auto"/>
        </w:rPr>
      </w:pPr>
    </w:p>
    <w:p>
      <w:pPr>
        <w:ind w:left="980" w:right="20" w:hanging="432"/>
        <w:spacing w:after="0" w:line="196" w:lineRule="auto"/>
        <w:tabs>
          <w:tab w:leader="none" w:pos="980" w:val="left"/>
        </w:tabs>
        <w:numPr>
          <w:ilvl w:val="0"/>
          <w:numId w:val="57"/>
        </w:numPr>
        <w:rPr>
          <w:rFonts w:ascii="Arial" w:cs="Arial" w:eastAsia="Arial" w:hAnsi="Arial"/>
          <w:sz w:val="27"/>
          <w:szCs w:val="27"/>
          <w:color w:val="auto"/>
          <w:vertAlign w:val="superscript"/>
        </w:rPr>
      </w:pPr>
      <w:r>
        <w:rPr>
          <w:rFonts w:ascii="Arial" w:cs="Arial" w:eastAsia="Arial" w:hAnsi="Arial"/>
          <w:sz w:val="18"/>
          <w:szCs w:val="18"/>
          <w:color w:val="auto"/>
        </w:rPr>
        <w:t>Equal to the number of shares acquired on exercise multiplied by the difference between the market price of a share of the Company’s common stock on the date of exercise and the exercise price of the options.</w:t>
      </w:r>
    </w:p>
    <w:p>
      <w:pPr>
        <w:ind w:left="980" w:right="20" w:hanging="432"/>
        <w:spacing w:after="0" w:line="196" w:lineRule="auto"/>
        <w:tabs>
          <w:tab w:leader="none" w:pos="980" w:val="left"/>
        </w:tabs>
        <w:numPr>
          <w:ilvl w:val="0"/>
          <w:numId w:val="57"/>
        </w:numPr>
        <w:rPr>
          <w:rFonts w:ascii="Arial" w:cs="Arial" w:eastAsia="Arial" w:hAnsi="Arial"/>
          <w:sz w:val="27"/>
          <w:szCs w:val="27"/>
          <w:color w:val="auto"/>
          <w:vertAlign w:val="superscript"/>
        </w:rPr>
      </w:pPr>
      <w:r>
        <w:rPr>
          <w:rFonts w:ascii="Arial" w:cs="Arial" w:eastAsia="Arial" w:hAnsi="Arial"/>
          <w:sz w:val="18"/>
          <w:szCs w:val="18"/>
          <w:color w:val="auto"/>
        </w:rPr>
        <w:t>Equal to the number of shares vested multiplied by the closing price of a share of the Company’s common stock on the date of vesting.</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67</w:t>
      </w:r>
    </w:p>
    <w:p>
      <w:pPr>
        <w:sectPr>
          <w:pgSz w:w="11900" w:h="16838" w:orient="portrait"/>
          <w:cols w:equalWidth="0" w:num="1">
            <w:col w:w="11140"/>
          </w:cols>
          <w:pgMar w:left="320" w:top="482"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4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2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Corporate</w:t>
            </w:r>
          </w:p>
        </w:tc>
        <w:tc>
          <w:tcPr>
            <w:tcW w:w="1560" w:type="dxa"/>
            <w:vAlign w:val="bottom"/>
            <w:gridSpan w:val="3"/>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520" w:type="dxa"/>
            <w:vAlign w:val="bottom"/>
            <w:gridSpan w:val="2"/>
            <w:shd w:val="clear" w:color="auto" w:fill="F2F2F2"/>
          </w:tcPr>
          <w:p>
            <w:pPr>
              <w:ind w:left="60"/>
              <w:spacing w:after="0"/>
              <w:rPr>
                <w:sz w:val="20"/>
                <w:szCs w:val="20"/>
                <w:color w:val="auto"/>
              </w:rPr>
            </w:pPr>
            <w:r>
              <w:rPr>
                <w:rFonts w:ascii="Arial" w:cs="Arial" w:eastAsia="Arial" w:hAnsi="Arial"/>
                <w:sz w:val="18"/>
                <w:szCs w:val="18"/>
                <w:color w:val="auto"/>
              </w:rPr>
              <w:t>Audit Committee</w:t>
            </w:r>
          </w:p>
        </w:tc>
        <w:tc>
          <w:tcPr>
            <w:tcW w:w="1440" w:type="dxa"/>
            <w:vAlign w:val="bottom"/>
            <w:shd w:val="clear" w:color="auto" w:fill="F2F2F2"/>
          </w:tcPr>
          <w:p>
            <w:pPr>
              <w:ind w:left="160"/>
              <w:spacing w:after="0"/>
              <w:rPr>
                <w:sz w:val="20"/>
                <w:szCs w:val="20"/>
                <w:color w:val="auto"/>
              </w:rPr>
            </w:pPr>
            <w:r>
              <w:rPr>
                <w:rFonts w:ascii="Arial" w:cs="Arial" w:eastAsia="Arial" w:hAnsi="Arial"/>
                <w:sz w:val="18"/>
                <w:szCs w:val="18"/>
                <w:color w:val="auto"/>
              </w:rPr>
              <w:t>Charter</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Stock</w:t>
            </w:r>
          </w:p>
        </w:tc>
        <w:tc>
          <w:tcPr>
            <w:tcW w:w="1620" w:type="dxa"/>
            <w:vAlign w:val="bottom"/>
            <w:shd w:val="clear" w:color="auto" w:fill="F2F2F2"/>
          </w:tcPr>
          <w:p>
            <w:pPr>
              <w:ind w:left="28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4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2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Governance</w:t>
            </w:r>
          </w:p>
        </w:tc>
        <w:tc>
          <w:tcPr>
            <w:tcW w:w="1560" w:type="dxa"/>
            <w:vAlign w:val="bottom"/>
            <w:gridSpan w:val="3"/>
            <w:shd w:val="clear" w:color="auto" w:fill="F2F2F2"/>
          </w:tcPr>
          <w:p>
            <w:pPr>
              <w:jc w:val="right"/>
              <w:ind w:right="210"/>
              <w:spacing w:after="0" w:line="202" w:lineRule="exact"/>
              <w:rPr>
                <w:sz w:val="20"/>
                <w:szCs w:val="20"/>
                <w:color w:val="auto"/>
              </w:rPr>
            </w:pPr>
            <w:r>
              <w:rPr>
                <w:rFonts w:ascii="Arial" w:cs="Arial" w:eastAsia="Arial" w:hAnsi="Arial"/>
                <w:sz w:val="18"/>
                <w:szCs w:val="18"/>
                <w:b w:val="1"/>
                <w:bCs w:val="1"/>
                <w:color w:val="376DB5"/>
                <w:w w:val="99"/>
              </w:rPr>
              <w:t>Compensation</w:t>
            </w:r>
          </w:p>
        </w:tc>
        <w:tc>
          <w:tcPr>
            <w:tcW w:w="1520" w:type="dxa"/>
            <w:vAlign w:val="bottom"/>
            <w:gridSpan w:val="2"/>
            <w:shd w:val="clear" w:color="auto" w:fill="F2F2F2"/>
          </w:tcPr>
          <w:p>
            <w:pPr>
              <w:ind w:left="60"/>
              <w:spacing w:after="0" w:line="202" w:lineRule="exact"/>
              <w:rPr>
                <w:sz w:val="20"/>
                <w:szCs w:val="20"/>
                <w:color w:val="auto"/>
              </w:rPr>
            </w:pPr>
            <w:r>
              <w:rPr>
                <w:rFonts w:ascii="Arial" w:cs="Arial" w:eastAsia="Arial" w:hAnsi="Arial"/>
                <w:sz w:val="18"/>
                <w:szCs w:val="18"/>
                <w:color w:val="auto"/>
              </w:rPr>
              <w:t>Matters</w:t>
            </w:r>
          </w:p>
        </w:tc>
        <w:tc>
          <w:tcPr>
            <w:tcW w:w="144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Amendments</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w w:val="99"/>
              </w:rPr>
              <w:t>Ownership</w:t>
            </w:r>
          </w:p>
        </w:tc>
        <w:tc>
          <w:tcPr>
            <w:tcW w:w="1620" w:type="dxa"/>
            <w:vAlign w:val="bottom"/>
            <w:shd w:val="clear" w:color="auto" w:fill="F2F2F2"/>
          </w:tcPr>
          <w:p>
            <w:pPr>
              <w:ind w:left="280"/>
              <w:spacing w:after="0" w:line="202" w:lineRule="exact"/>
              <w:rPr>
                <w:sz w:val="20"/>
                <w:szCs w:val="20"/>
                <w:color w:val="auto"/>
              </w:rPr>
            </w:pPr>
            <w:r>
              <w:rPr>
                <w:rFonts w:ascii="Arial" w:cs="Arial" w:eastAsia="Arial" w:hAnsi="Arial"/>
                <w:sz w:val="18"/>
                <w:szCs w:val="18"/>
                <w:color w:val="auto"/>
              </w:rPr>
              <w:t>Matters</w:t>
            </w:r>
          </w:p>
        </w:tc>
      </w:tr>
      <w:tr>
        <w:trPr>
          <w:trHeight w:val="228"/>
        </w:trPr>
        <w:tc>
          <w:tcPr>
            <w:tcW w:w="1420" w:type="dxa"/>
            <w:vAlign w:val="bottom"/>
            <w:tcBorders>
              <w:bottom w:val="single" w:sz="8" w:color="F2F2F2"/>
            </w:tcBorders>
            <w:shd w:val="clear" w:color="auto" w:fill="F2F2F2"/>
          </w:tcPr>
          <w:p>
            <w:pPr>
              <w:spacing w:after="0"/>
              <w:rPr>
                <w:sz w:val="19"/>
                <w:szCs w:val="19"/>
                <w:color w:val="auto"/>
              </w:rPr>
            </w:pPr>
          </w:p>
        </w:tc>
        <w:tc>
          <w:tcPr>
            <w:tcW w:w="1040" w:type="dxa"/>
            <w:vAlign w:val="bottom"/>
            <w:tcBorders>
              <w:bottom w:val="single" w:sz="8" w:color="F2F2F2"/>
            </w:tcBorders>
            <w:shd w:val="clear" w:color="auto" w:fill="F2F2F2"/>
          </w:tcPr>
          <w:p>
            <w:pPr>
              <w:spacing w:after="0"/>
              <w:rPr>
                <w:sz w:val="19"/>
                <w:szCs w:val="19"/>
                <w:color w:val="auto"/>
              </w:rPr>
            </w:pPr>
          </w:p>
        </w:tc>
        <w:tc>
          <w:tcPr>
            <w:tcW w:w="1420" w:type="dxa"/>
            <w:vAlign w:val="bottom"/>
            <w:tcBorders>
              <w:bottom w:val="single" w:sz="8" w:color="F2F2F2"/>
            </w:tcBorders>
            <w:shd w:val="clear" w:color="auto" w:fill="F2F2F2"/>
          </w:tcPr>
          <w:p>
            <w:pPr>
              <w:spacing w:after="0"/>
              <w:rPr>
                <w:sz w:val="19"/>
                <w:szCs w:val="19"/>
                <w:color w:val="auto"/>
              </w:rPr>
            </w:pPr>
          </w:p>
        </w:tc>
        <w:tc>
          <w:tcPr>
            <w:tcW w:w="820" w:type="dxa"/>
            <w:vAlign w:val="bottom"/>
            <w:tcBorders>
              <w:bottom w:val="single" w:sz="8" w:color="376DB5"/>
            </w:tcBorders>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740" w:type="dxa"/>
            <w:vAlign w:val="bottom"/>
            <w:tcBorders>
              <w:bottom w:val="single" w:sz="8" w:color="F2F2F2"/>
            </w:tcBorders>
            <w:shd w:val="clear" w:color="auto" w:fill="F2F2F2"/>
          </w:tcPr>
          <w:p>
            <w:pPr>
              <w:spacing w:after="0"/>
              <w:rPr>
                <w:sz w:val="19"/>
                <w:szCs w:val="19"/>
                <w:color w:val="auto"/>
              </w:rPr>
            </w:pPr>
          </w:p>
        </w:tc>
        <w:tc>
          <w:tcPr>
            <w:tcW w:w="340" w:type="dxa"/>
            <w:vAlign w:val="bottom"/>
            <w:tcBorders>
              <w:bottom w:val="single" w:sz="8" w:color="F2F2F2"/>
            </w:tcBorders>
            <w:shd w:val="clear" w:color="auto" w:fill="F2F2F2"/>
          </w:tcPr>
          <w:p>
            <w:pPr>
              <w:spacing w:after="0"/>
              <w:rPr>
                <w:sz w:val="19"/>
                <w:szCs w:val="19"/>
                <w:color w:val="auto"/>
              </w:rPr>
            </w:pPr>
          </w:p>
        </w:tc>
        <w:tc>
          <w:tcPr>
            <w:tcW w:w="1180" w:type="dxa"/>
            <w:vAlign w:val="bottom"/>
            <w:tcBorders>
              <w:bottom w:val="single" w:sz="8" w:color="F2F2F2"/>
            </w:tcBorders>
            <w:shd w:val="clear" w:color="auto" w:fill="F2F2F2"/>
          </w:tcPr>
          <w:p>
            <w:pPr>
              <w:spacing w:after="0"/>
              <w:rPr>
                <w:sz w:val="19"/>
                <w:szCs w:val="19"/>
                <w:color w:val="auto"/>
              </w:rPr>
            </w:pPr>
          </w:p>
        </w:tc>
        <w:tc>
          <w:tcPr>
            <w:tcW w:w="1440" w:type="dxa"/>
            <w:vAlign w:val="bottom"/>
            <w:tcBorders>
              <w:bottom w:val="single" w:sz="8" w:color="F2F2F2"/>
            </w:tcBorders>
            <w:shd w:val="clear" w:color="auto" w:fill="F2F2F2"/>
          </w:tcPr>
          <w:p>
            <w:pPr>
              <w:spacing w:after="0"/>
              <w:rPr>
                <w:sz w:val="19"/>
                <w:szCs w:val="19"/>
                <w:color w:val="auto"/>
              </w:rPr>
            </w:pPr>
          </w:p>
        </w:tc>
        <w:tc>
          <w:tcPr>
            <w:tcW w:w="1000" w:type="dxa"/>
            <w:vAlign w:val="bottom"/>
            <w:tcBorders>
              <w:bottom w:val="single" w:sz="8" w:color="F2F2F2"/>
            </w:tcBorders>
            <w:shd w:val="clear" w:color="auto" w:fill="F2F2F2"/>
          </w:tcPr>
          <w:p>
            <w:pPr>
              <w:spacing w:after="0"/>
              <w:rPr>
                <w:sz w:val="19"/>
                <w:szCs w:val="19"/>
                <w:color w:val="auto"/>
              </w:rPr>
            </w:pPr>
          </w:p>
        </w:tc>
        <w:tc>
          <w:tcPr>
            <w:tcW w:w="1620" w:type="dxa"/>
            <w:vAlign w:val="bottom"/>
            <w:tcBorders>
              <w:bottom w:val="single" w:sz="8" w:color="F2F2F2"/>
            </w:tcBorders>
            <w:shd w:val="clear" w:color="auto" w:fill="F2F2F2"/>
          </w:tcPr>
          <w:p>
            <w:pPr>
              <w:spacing w:after="0"/>
              <w:rPr>
                <w:sz w:val="19"/>
                <w:szCs w:val="19"/>
                <w:color w:val="auto"/>
              </w:rPr>
            </w:pPr>
          </w:p>
        </w:tc>
      </w:tr>
      <w:tr>
        <w:trPr>
          <w:trHeight w:val="377"/>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940" w:type="dxa"/>
            <w:vAlign w:val="bottom"/>
            <w:gridSpan w:val="7"/>
          </w:tcPr>
          <w:p>
            <w:pPr>
              <w:ind w:left="260"/>
              <w:spacing w:after="0"/>
              <w:rPr>
                <w:sz w:val="20"/>
                <w:szCs w:val="20"/>
                <w:color w:val="auto"/>
              </w:rPr>
            </w:pPr>
            <w:r>
              <w:rPr>
                <w:rFonts w:ascii="Arial" w:cs="Arial" w:eastAsia="Arial" w:hAnsi="Arial"/>
                <w:sz w:val="18"/>
                <w:szCs w:val="18"/>
                <w:b w:val="1"/>
                <w:bCs w:val="1"/>
                <w:color w:val="auto"/>
              </w:rPr>
              <w:t>NON-QUALIFIED DEFERRED COMPENSATION FOR FISCAL 2025</w:t>
            </w:r>
          </w:p>
        </w:tc>
        <w:tc>
          <w:tcPr>
            <w:tcW w:w="10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18"/>
        </w:trPr>
        <w:tc>
          <w:tcPr>
            <w:tcW w:w="1420" w:type="dxa"/>
            <w:vAlign w:val="bottom"/>
            <w:tcBorders>
              <w:bottom w:val="single" w:sz="8" w:color="376DB5"/>
            </w:tcBorders>
          </w:tcPr>
          <w:p>
            <w:pPr>
              <w:spacing w:after="0"/>
              <w:rPr>
                <w:sz w:val="18"/>
                <w:szCs w:val="18"/>
                <w:color w:val="auto"/>
              </w:rPr>
            </w:pPr>
          </w:p>
        </w:tc>
        <w:tc>
          <w:tcPr>
            <w:tcW w:w="1040" w:type="dxa"/>
            <w:vAlign w:val="bottom"/>
            <w:tcBorders>
              <w:bottom w:val="single" w:sz="8" w:color="376DB5"/>
            </w:tcBorders>
          </w:tcPr>
          <w:p>
            <w:pPr>
              <w:spacing w:after="0"/>
              <w:rPr>
                <w:sz w:val="18"/>
                <w:szCs w:val="18"/>
                <w:color w:val="auto"/>
              </w:rPr>
            </w:pPr>
          </w:p>
        </w:tc>
        <w:tc>
          <w:tcPr>
            <w:tcW w:w="1420" w:type="dxa"/>
            <w:vAlign w:val="bottom"/>
            <w:tcBorders>
              <w:bottom w:val="single" w:sz="8" w:color="376DB5"/>
            </w:tcBorders>
          </w:tcPr>
          <w:p>
            <w:pPr>
              <w:spacing w:after="0"/>
              <w:rPr>
                <w:sz w:val="18"/>
                <w:szCs w:val="18"/>
                <w:color w:val="auto"/>
              </w:rPr>
            </w:pPr>
          </w:p>
        </w:tc>
        <w:tc>
          <w:tcPr>
            <w:tcW w:w="320" w:type="dxa"/>
            <w:vAlign w:val="bottom"/>
            <w:tcBorders>
              <w:bottom w:val="single" w:sz="8" w:color="376DB5"/>
            </w:tcBorders>
          </w:tcPr>
          <w:p>
            <w:pPr>
              <w:spacing w:after="0"/>
              <w:rPr>
                <w:sz w:val="18"/>
                <w:szCs w:val="18"/>
                <w:color w:val="auto"/>
              </w:rPr>
            </w:pPr>
          </w:p>
        </w:tc>
        <w:tc>
          <w:tcPr>
            <w:tcW w:w="500" w:type="dxa"/>
            <w:vAlign w:val="bottom"/>
            <w:tcBorders>
              <w:bottom w:val="single" w:sz="8" w:color="376DB5"/>
            </w:tcBorders>
          </w:tcPr>
          <w:p>
            <w:pPr>
              <w:spacing w:after="0"/>
              <w:rPr>
                <w:sz w:val="18"/>
                <w:szCs w:val="18"/>
                <w:color w:val="auto"/>
              </w:rPr>
            </w:pPr>
          </w:p>
        </w:tc>
        <w:tc>
          <w:tcPr>
            <w:tcW w:w="740" w:type="dxa"/>
            <w:vAlign w:val="bottom"/>
            <w:tcBorders>
              <w:bottom w:val="single" w:sz="8" w:color="376DB5"/>
            </w:tcBorders>
          </w:tcPr>
          <w:p>
            <w:pPr>
              <w:spacing w:after="0"/>
              <w:rPr>
                <w:sz w:val="18"/>
                <w:szCs w:val="18"/>
                <w:color w:val="auto"/>
              </w:rPr>
            </w:pPr>
          </w:p>
        </w:tc>
        <w:tc>
          <w:tcPr>
            <w:tcW w:w="340" w:type="dxa"/>
            <w:vAlign w:val="bottom"/>
            <w:tcBorders>
              <w:bottom w:val="single" w:sz="8" w:color="376DB5"/>
            </w:tcBorders>
          </w:tcPr>
          <w:p>
            <w:pPr>
              <w:spacing w:after="0"/>
              <w:rPr>
                <w:sz w:val="18"/>
                <w:szCs w:val="18"/>
                <w:color w:val="auto"/>
              </w:rPr>
            </w:pPr>
          </w:p>
        </w:tc>
        <w:tc>
          <w:tcPr>
            <w:tcW w:w="1180" w:type="dxa"/>
            <w:vAlign w:val="bottom"/>
            <w:tcBorders>
              <w:bottom w:val="single" w:sz="8" w:color="376DB5"/>
            </w:tcBorders>
          </w:tcPr>
          <w:p>
            <w:pPr>
              <w:spacing w:after="0"/>
              <w:rPr>
                <w:sz w:val="18"/>
                <w:szCs w:val="18"/>
                <w:color w:val="auto"/>
              </w:rPr>
            </w:pPr>
          </w:p>
        </w:tc>
        <w:tc>
          <w:tcPr>
            <w:tcW w:w="1440" w:type="dxa"/>
            <w:vAlign w:val="bottom"/>
            <w:tcBorders>
              <w:bottom w:val="single" w:sz="8" w:color="376DB5"/>
            </w:tcBorders>
          </w:tcPr>
          <w:p>
            <w:pPr>
              <w:spacing w:after="0"/>
              <w:rPr>
                <w:sz w:val="18"/>
                <w:szCs w:val="18"/>
                <w:color w:val="auto"/>
              </w:rPr>
            </w:pPr>
          </w:p>
        </w:tc>
        <w:tc>
          <w:tcPr>
            <w:tcW w:w="1000" w:type="dxa"/>
            <w:vAlign w:val="bottom"/>
            <w:tcBorders>
              <w:bottom w:val="single" w:sz="8" w:color="376DB5"/>
            </w:tcBorders>
          </w:tcPr>
          <w:p>
            <w:pPr>
              <w:spacing w:after="0"/>
              <w:rPr>
                <w:sz w:val="18"/>
                <w:szCs w:val="18"/>
                <w:color w:val="auto"/>
              </w:rPr>
            </w:pPr>
          </w:p>
        </w:tc>
        <w:tc>
          <w:tcPr>
            <w:tcW w:w="1620" w:type="dxa"/>
            <w:vAlign w:val="bottom"/>
            <w:tcBorders>
              <w:bottom w:val="single" w:sz="8" w:color="376DB5"/>
            </w:tcBorders>
          </w:tcPr>
          <w:p>
            <w:pPr>
              <w:spacing w:after="0"/>
              <w:rPr>
                <w:sz w:val="18"/>
                <w:szCs w:val="18"/>
                <w:color w:val="auto"/>
              </w:rPr>
            </w:pPr>
          </w:p>
        </w:tc>
      </w:tr>
      <w:tr>
        <w:trPr>
          <w:trHeight w:val="191"/>
        </w:trPr>
        <w:tc>
          <w:tcPr>
            <w:tcW w:w="1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tcPr>
          <w:p>
            <w:pPr>
              <w:jc w:val="center"/>
              <w:ind w:left="390"/>
              <w:spacing w:after="0" w:line="191" w:lineRule="exact"/>
              <w:rPr>
                <w:sz w:val="20"/>
                <w:szCs w:val="20"/>
                <w:color w:val="auto"/>
              </w:rPr>
            </w:pPr>
            <w:r>
              <w:rPr>
                <w:rFonts w:ascii="Arial" w:cs="Arial" w:eastAsia="Arial" w:hAnsi="Arial"/>
                <w:sz w:val="18"/>
                <w:szCs w:val="18"/>
                <w:color w:val="376DB5"/>
                <w:w w:val="99"/>
              </w:rPr>
              <w:t>Executive</w:t>
            </w:r>
          </w:p>
        </w:tc>
        <w:tc>
          <w:tcPr>
            <w:tcW w:w="320" w:type="dxa"/>
            <w:vAlign w:val="bottom"/>
          </w:tcPr>
          <w:p>
            <w:pPr>
              <w:spacing w:after="0"/>
              <w:rPr>
                <w:sz w:val="16"/>
                <w:szCs w:val="16"/>
                <w:color w:val="auto"/>
              </w:rPr>
            </w:pPr>
          </w:p>
        </w:tc>
        <w:tc>
          <w:tcPr>
            <w:tcW w:w="1240" w:type="dxa"/>
            <w:vAlign w:val="bottom"/>
            <w:gridSpan w:val="2"/>
          </w:tcPr>
          <w:p>
            <w:pPr>
              <w:jc w:val="center"/>
              <w:ind w:left="250"/>
              <w:spacing w:after="0" w:line="191" w:lineRule="exact"/>
              <w:rPr>
                <w:sz w:val="20"/>
                <w:szCs w:val="20"/>
                <w:color w:val="auto"/>
              </w:rPr>
            </w:pPr>
            <w:r>
              <w:rPr>
                <w:rFonts w:ascii="Arial" w:cs="Arial" w:eastAsia="Arial" w:hAnsi="Arial"/>
                <w:sz w:val="18"/>
                <w:szCs w:val="18"/>
                <w:color w:val="376DB5"/>
                <w:w w:val="99"/>
              </w:rPr>
              <w:t>Registrant</w:t>
            </w:r>
          </w:p>
        </w:tc>
        <w:tc>
          <w:tcPr>
            <w:tcW w:w="340" w:type="dxa"/>
            <w:vAlign w:val="bottom"/>
          </w:tcPr>
          <w:p>
            <w:pPr>
              <w:spacing w:after="0"/>
              <w:rPr>
                <w:sz w:val="16"/>
                <w:szCs w:val="16"/>
                <w:color w:val="auto"/>
              </w:rPr>
            </w:pPr>
          </w:p>
        </w:tc>
        <w:tc>
          <w:tcPr>
            <w:tcW w:w="1180" w:type="dxa"/>
            <w:vAlign w:val="bottom"/>
          </w:tcPr>
          <w:p>
            <w:pPr>
              <w:jc w:val="center"/>
              <w:spacing w:after="0" w:line="191" w:lineRule="exact"/>
              <w:rPr>
                <w:sz w:val="20"/>
                <w:szCs w:val="20"/>
                <w:color w:val="auto"/>
              </w:rPr>
            </w:pPr>
            <w:r>
              <w:rPr>
                <w:rFonts w:ascii="Arial" w:cs="Arial" w:eastAsia="Arial" w:hAnsi="Arial"/>
                <w:sz w:val="18"/>
                <w:szCs w:val="18"/>
                <w:color w:val="376DB5"/>
                <w:w w:val="98"/>
              </w:rPr>
              <w:t>Aggregate</w:t>
            </w:r>
          </w:p>
        </w:tc>
        <w:tc>
          <w:tcPr>
            <w:tcW w:w="1440" w:type="dxa"/>
            <w:vAlign w:val="bottom"/>
          </w:tcPr>
          <w:p>
            <w:pPr>
              <w:ind w:left="260"/>
              <w:spacing w:after="0" w:line="191" w:lineRule="exact"/>
              <w:rPr>
                <w:sz w:val="20"/>
                <w:szCs w:val="20"/>
                <w:color w:val="auto"/>
              </w:rPr>
            </w:pPr>
            <w:r>
              <w:rPr>
                <w:rFonts w:ascii="Arial" w:cs="Arial" w:eastAsia="Arial" w:hAnsi="Arial"/>
                <w:sz w:val="18"/>
                <w:szCs w:val="18"/>
                <w:color w:val="376DB5"/>
              </w:rPr>
              <w:t>Aggregate</w:t>
            </w:r>
          </w:p>
        </w:tc>
        <w:tc>
          <w:tcPr>
            <w:tcW w:w="10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3"/>
        </w:trPr>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4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376DB5"/>
                <w:w w:val="99"/>
              </w:rPr>
              <w:t>Contributions in</w:t>
            </w:r>
          </w:p>
        </w:tc>
        <w:tc>
          <w:tcPr>
            <w:tcW w:w="1580" w:type="dxa"/>
            <w:vAlign w:val="bottom"/>
            <w:gridSpan w:val="3"/>
          </w:tcPr>
          <w:p>
            <w:pPr>
              <w:jc w:val="center"/>
              <w:spacing w:after="0" w:line="202" w:lineRule="exact"/>
              <w:rPr>
                <w:sz w:val="20"/>
                <w:szCs w:val="20"/>
                <w:color w:val="auto"/>
              </w:rPr>
            </w:pPr>
            <w:r>
              <w:rPr>
                <w:rFonts w:ascii="Arial" w:cs="Arial" w:eastAsia="Arial" w:hAnsi="Arial"/>
                <w:sz w:val="18"/>
                <w:szCs w:val="18"/>
                <w:color w:val="376DB5"/>
                <w:w w:val="99"/>
              </w:rPr>
              <w:t>Contributions in</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376DB5"/>
                <w:w w:val="98"/>
              </w:rPr>
              <w:t>Earnings</w:t>
            </w:r>
          </w:p>
        </w:tc>
        <w:tc>
          <w:tcPr>
            <w:tcW w:w="1440" w:type="dxa"/>
            <w:vAlign w:val="bottom"/>
          </w:tcPr>
          <w:p>
            <w:pPr>
              <w:ind w:left="160"/>
              <w:spacing w:after="0" w:line="202" w:lineRule="exact"/>
              <w:rPr>
                <w:sz w:val="20"/>
                <w:szCs w:val="20"/>
                <w:color w:val="auto"/>
              </w:rPr>
            </w:pPr>
            <w:r>
              <w:rPr>
                <w:rFonts w:ascii="Arial" w:cs="Arial" w:eastAsia="Arial" w:hAnsi="Arial"/>
                <w:sz w:val="18"/>
                <w:szCs w:val="18"/>
                <w:color w:val="376DB5"/>
              </w:rPr>
              <w:t>Withdrawals/</w:t>
            </w:r>
          </w:p>
        </w:tc>
        <w:tc>
          <w:tcPr>
            <w:tcW w:w="2620" w:type="dxa"/>
            <w:vAlign w:val="bottom"/>
            <w:gridSpan w:val="2"/>
          </w:tcPr>
          <w:p>
            <w:pPr>
              <w:jc w:val="center"/>
              <w:spacing w:after="0" w:line="202" w:lineRule="exact"/>
              <w:rPr>
                <w:sz w:val="20"/>
                <w:szCs w:val="20"/>
                <w:color w:val="auto"/>
              </w:rPr>
            </w:pPr>
            <w:r>
              <w:rPr>
                <w:rFonts w:ascii="Arial" w:cs="Arial" w:eastAsia="Arial" w:hAnsi="Arial"/>
                <w:sz w:val="18"/>
                <w:szCs w:val="18"/>
                <w:color w:val="376DB5"/>
                <w:w w:val="99"/>
              </w:rPr>
              <w:t>Aggregate Balance</w:t>
            </w:r>
          </w:p>
        </w:tc>
      </w:tr>
      <w:tr>
        <w:trPr>
          <w:trHeight w:val="203"/>
        </w:trPr>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jc w:val="center"/>
              <w:ind w:left="390"/>
              <w:spacing w:after="0" w:line="202" w:lineRule="exact"/>
              <w:rPr>
                <w:sz w:val="20"/>
                <w:szCs w:val="20"/>
                <w:color w:val="auto"/>
              </w:rPr>
            </w:pPr>
            <w:r>
              <w:rPr>
                <w:rFonts w:ascii="Arial" w:cs="Arial" w:eastAsia="Arial" w:hAnsi="Arial"/>
                <w:sz w:val="18"/>
                <w:szCs w:val="18"/>
                <w:color w:val="376DB5"/>
                <w:w w:val="99"/>
              </w:rPr>
              <w:t>Last FY</w:t>
            </w:r>
          </w:p>
        </w:tc>
        <w:tc>
          <w:tcPr>
            <w:tcW w:w="320" w:type="dxa"/>
            <w:vAlign w:val="bottom"/>
          </w:tcPr>
          <w:p>
            <w:pPr>
              <w:spacing w:after="0"/>
              <w:rPr>
                <w:sz w:val="17"/>
                <w:szCs w:val="17"/>
                <w:color w:val="auto"/>
              </w:rPr>
            </w:pPr>
          </w:p>
        </w:tc>
        <w:tc>
          <w:tcPr>
            <w:tcW w:w="1240" w:type="dxa"/>
            <w:vAlign w:val="bottom"/>
            <w:gridSpan w:val="2"/>
          </w:tcPr>
          <w:p>
            <w:pPr>
              <w:jc w:val="center"/>
              <w:ind w:left="250"/>
              <w:spacing w:after="0" w:line="202" w:lineRule="exact"/>
              <w:rPr>
                <w:sz w:val="20"/>
                <w:szCs w:val="20"/>
                <w:color w:val="auto"/>
              </w:rPr>
            </w:pPr>
            <w:r>
              <w:rPr>
                <w:rFonts w:ascii="Arial" w:cs="Arial" w:eastAsia="Arial" w:hAnsi="Arial"/>
                <w:sz w:val="18"/>
                <w:szCs w:val="18"/>
                <w:color w:val="376DB5"/>
                <w:w w:val="99"/>
              </w:rPr>
              <w:t>Last FY</w:t>
            </w:r>
          </w:p>
        </w:tc>
        <w:tc>
          <w:tcPr>
            <w:tcW w:w="34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376DB5"/>
              </w:rPr>
              <w:t>in Last FY</w:t>
            </w:r>
          </w:p>
        </w:tc>
        <w:tc>
          <w:tcPr>
            <w:tcW w:w="1440" w:type="dxa"/>
            <w:vAlign w:val="bottom"/>
          </w:tcPr>
          <w:p>
            <w:pPr>
              <w:ind w:left="180"/>
              <w:spacing w:after="0" w:line="202" w:lineRule="exact"/>
              <w:rPr>
                <w:sz w:val="20"/>
                <w:szCs w:val="20"/>
                <w:color w:val="auto"/>
              </w:rPr>
            </w:pPr>
            <w:r>
              <w:rPr>
                <w:rFonts w:ascii="Arial" w:cs="Arial" w:eastAsia="Arial" w:hAnsi="Arial"/>
                <w:sz w:val="18"/>
                <w:szCs w:val="18"/>
                <w:color w:val="376DB5"/>
              </w:rPr>
              <w:t>Distributions</w:t>
            </w:r>
          </w:p>
        </w:tc>
        <w:tc>
          <w:tcPr>
            <w:tcW w:w="2620" w:type="dxa"/>
            <w:vAlign w:val="bottom"/>
            <w:gridSpan w:val="2"/>
          </w:tcPr>
          <w:p>
            <w:pPr>
              <w:jc w:val="center"/>
              <w:spacing w:after="0" w:line="202" w:lineRule="exact"/>
              <w:rPr>
                <w:sz w:val="20"/>
                <w:szCs w:val="20"/>
                <w:color w:val="auto"/>
              </w:rPr>
            </w:pPr>
            <w:r>
              <w:rPr>
                <w:rFonts w:ascii="Arial" w:cs="Arial" w:eastAsia="Arial" w:hAnsi="Arial"/>
                <w:sz w:val="18"/>
                <w:szCs w:val="18"/>
                <w:color w:val="376DB5"/>
                <w:w w:val="99"/>
              </w:rPr>
              <w:t>at Last FYE</w:t>
            </w:r>
          </w:p>
        </w:tc>
      </w:tr>
      <w:tr>
        <w:trPr>
          <w:trHeight w:val="248"/>
        </w:trPr>
        <w:tc>
          <w:tcPr>
            <w:tcW w:w="1420" w:type="dxa"/>
            <w:vAlign w:val="bottom"/>
            <w:tcBorders>
              <w:bottom w:val="single" w:sz="8" w:color="376DB5"/>
            </w:tcBorders>
          </w:tcPr>
          <w:p>
            <w:pPr>
              <w:spacing w:after="0"/>
              <w:rPr>
                <w:sz w:val="20"/>
                <w:szCs w:val="20"/>
                <w:color w:val="auto"/>
              </w:rPr>
            </w:pPr>
            <w:r>
              <w:rPr>
                <w:rFonts w:ascii="Arial" w:cs="Arial" w:eastAsia="Arial" w:hAnsi="Arial"/>
                <w:sz w:val="18"/>
                <w:szCs w:val="18"/>
                <w:color w:val="376DB5"/>
              </w:rPr>
              <w:t>Name</w:t>
            </w:r>
          </w:p>
        </w:tc>
        <w:tc>
          <w:tcPr>
            <w:tcW w:w="1040" w:type="dxa"/>
            <w:vAlign w:val="bottom"/>
            <w:tcBorders>
              <w:bottom w:val="single" w:sz="8" w:color="376DB5"/>
            </w:tcBorders>
          </w:tcPr>
          <w:p>
            <w:pPr>
              <w:spacing w:after="0"/>
              <w:rPr>
                <w:sz w:val="21"/>
                <w:szCs w:val="21"/>
                <w:color w:val="auto"/>
              </w:rPr>
            </w:pPr>
          </w:p>
        </w:tc>
        <w:tc>
          <w:tcPr>
            <w:tcW w:w="1420" w:type="dxa"/>
            <w:vAlign w:val="bottom"/>
            <w:tcBorders>
              <w:bottom w:val="single" w:sz="8" w:color="376DB5"/>
            </w:tcBorders>
          </w:tcPr>
          <w:p>
            <w:pPr>
              <w:jc w:val="center"/>
              <w:ind w:left="410"/>
              <w:spacing w:after="0" w:line="248" w:lineRule="exact"/>
              <w:rPr>
                <w:sz w:val="20"/>
                <w:szCs w:val="20"/>
                <w:color w:val="auto"/>
              </w:rPr>
            </w:pPr>
            <w:r>
              <w:rPr>
                <w:rFonts w:ascii="Arial" w:cs="Arial" w:eastAsia="Arial" w:hAnsi="Arial"/>
                <w:sz w:val="18"/>
                <w:szCs w:val="18"/>
                <w:color w:val="376DB5"/>
                <w:w w:val="92"/>
              </w:rPr>
              <w:t>($)</w:t>
            </w:r>
            <w:r>
              <w:rPr>
                <w:rFonts w:ascii="Arial" w:cs="Arial" w:eastAsia="Arial" w:hAnsi="Arial"/>
                <w:sz w:val="26"/>
                <w:szCs w:val="26"/>
                <w:color w:val="376DB5"/>
                <w:w w:val="92"/>
                <w:vertAlign w:val="superscript"/>
              </w:rPr>
              <w:t>(1)</w:t>
            </w:r>
          </w:p>
        </w:tc>
        <w:tc>
          <w:tcPr>
            <w:tcW w:w="320" w:type="dxa"/>
            <w:vAlign w:val="bottom"/>
            <w:tcBorders>
              <w:bottom w:val="single" w:sz="8" w:color="376DB5"/>
            </w:tcBorders>
          </w:tcPr>
          <w:p>
            <w:pPr>
              <w:spacing w:after="0"/>
              <w:rPr>
                <w:sz w:val="21"/>
                <w:szCs w:val="21"/>
                <w:color w:val="auto"/>
              </w:rPr>
            </w:pPr>
          </w:p>
        </w:tc>
        <w:tc>
          <w:tcPr>
            <w:tcW w:w="1240" w:type="dxa"/>
            <w:vAlign w:val="bottom"/>
            <w:tcBorders>
              <w:bottom w:val="single" w:sz="8" w:color="376DB5"/>
            </w:tcBorders>
            <w:gridSpan w:val="2"/>
          </w:tcPr>
          <w:p>
            <w:pPr>
              <w:jc w:val="right"/>
              <w:ind w:right="250"/>
              <w:spacing w:after="0"/>
              <w:rPr>
                <w:sz w:val="20"/>
                <w:szCs w:val="20"/>
                <w:color w:val="auto"/>
              </w:rPr>
            </w:pPr>
            <w:r>
              <w:rPr>
                <w:rFonts w:ascii="Arial" w:cs="Arial" w:eastAsia="Arial" w:hAnsi="Arial"/>
                <w:sz w:val="18"/>
                <w:szCs w:val="18"/>
                <w:color w:val="376DB5"/>
              </w:rPr>
              <w:t>($)</w:t>
            </w:r>
          </w:p>
        </w:tc>
        <w:tc>
          <w:tcPr>
            <w:tcW w:w="340" w:type="dxa"/>
            <w:vAlign w:val="bottom"/>
            <w:tcBorders>
              <w:bottom w:val="single" w:sz="8" w:color="376DB5"/>
            </w:tcBorders>
          </w:tcPr>
          <w:p>
            <w:pPr>
              <w:spacing w:after="0"/>
              <w:rPr>
                <w:sz w:val="21"/>
                <w:szCs w:val="21"/>
                <w:color w:val="auto"/>
              </w:rPr>
            </w:pPr>
          </w:p>
        </w:tc>
        <w:tc>
          <w:tcPr>
            <w:tcW w:w="1180" w:type="dxa"/>
            <w:vAlign w:val="bottom"/>
            <w:tcBorders>
              <w:bottom w:val="single" w:sz="8" w:color="376DB5"/>
            </w:tcBorders>
          </w:tcPr>
          <w:p>
            <w:pPr>
              <w:jc w:val="center"/>
              <w:spacing w:after="0" w:line="248" w:lineRule="exact"/>
              <w:rPr>
                <w:sz w:val="20"/>
                <w:szCs w:val="20"/>
                <w:color w:val="auto"/>
              </w:rPr>
            </w:pPr>
            <w:r>
              <w:rPr>
                <w:rFonts w:ascii="Arial" w:cs="Arial" w:eastAsia="Arial" w:hAnsi="Arial"/>
                <w:sz w:val="18"/>
                <w:szCs w:val="18"/>
                <w:color w:val="376DB5"/>
                <w:w w:val="87"/>
              </w:rPr>
              <w:t>($)</w:t>
            </w:r>
            <w:r>
              <w:rPr>
                <w:rFonts w:ascii="Arial" w:cs="Arial" w:eastAsia="Arial" w:hAnsi="Arial"/>
                <w:sz w:val="26"/>
                <w:szCs w:val="26"/>
                <w:color w:val="376DB5"/>
                <w:w w:val="87"/>
                <w:vertAlign w:val="superscript"/>
              </w:rPr>
              <w:t>(2)</w:t>
            </w:r>
          </w:p>
        </w:tc>
        <w:tc>
          <w:tcPr>
            <w:tcW w:w="1440" w:type="dxa"/>
            <w:vAlign w:val="bottom"/>
            <w:tcBorders>
              <w:bottom w:val="single" w:sz="8" w:color="376DB5"/>
            </w:tcBorders>
          </w:tcPr>
          <w:p>
            <w:pPr>
              <w:ind w:left="560"/>
              <w:spacing w:after="0"/>
              <w:rPr>
                <w:sz w:val="20"/>
                <w:szCs w:val="20"/>
                <w:color w:val="auto"/>
              </w:rPr>
            </w:pPr>
            <w:r>
              <w:rPr>
                <w:rFonts w:ascii="Arial" w:cs="Arial" w:eastAsia="Arial" w:hAnsi="Arial"/>
                <w:sz w:val="18"/>
                <w:szCs w:val="18"/>
                <w:color w:val="376DB5"/>
              </w:rPr>
              <w:t>($)</w:t>
            </w:r>
          </w:p>
        </w:tc>
        <w:tc>
          <w:tcPr>
            <w:tcW w:w="1000" w:type="dxa"/>
            <w:vAlign w:val="bottom"/>
            <w:tcBorders>
              <w:bottom w:val="single" w:sz="8" w:color="376DB5"/>
            </w:tcBorders>
          </w:tcPr>
          <w:p>
            <w:pPr>
              <w:spacing w:after="0"/>
              <w:rPr>
                <w:sz w:val="21"/>
                <w:szCs w:val="21"/>
                <w:color w:val="auto"/>
              </w:rPr>
            </w:pPr>
          </w:p>
        </w:tc>
        <w:tc>
          <w:tcPr>
            <w:tcW w:w="1620" w:type="dxa"/>
            <w:vAlign w:val="bottom"/>
            <w:tcBorders>
              <w:bottom w:val="single" w:sz="8" w:color="376DB5"/>
            </w:tcBorders>
          </w:tcPr>
          <w:p>
            <w:pPr>
              <w:jc w:val="center"/>
              <w:ind w:right="830"/>
              <w:spacing w:after="0"/>
              <w:rPr>
                <w:sz w:val="20"/>
                <w:szCs w:val="20"/>
                <w:color w:val="auto"/>
              </w:rPr>
            </w:pPr>
            <w:r>
              <w:rPr>
                <w:rFonts w:ascii="Arial" w:cs="Arial" w:eastAsia="Arial" w:hAnsi="Arial"/>
                <w:sz w:val="18"/>
                <w:szCs w:val="18"/>
                <w:color w:val="376DB5"/>
                <w:w w:val="99"/>
              </w:rPr>
              <w:t>($)</w:t>
            </w:r>
          </w:p>
        </w:tc>
      </w:tr>
      <w:tr>
        <w:trPr>
          <w:trHeight w:val="277"/>
        </w:trPr>
        <w:tc>
          <w:tcPr>
            <w:tcW w:w="1420" w:type="dxa"/>
            <w:vAlign w:val="bottom"/>
          </w:tcPr>
          <w:p>
            <w:pPr>
              <w:spacing w:after="0"/>
              <w:rPr>
                <w:sz w:val="20"/>
                <w:szCs w:val="20"/>
                <w:color w:val="auto"/>
              </w:rPr>
            </w:pPr>
            <w:r>
              <w:rPr>
                <w:rFonts w:ascii="Arial" w:cs="Arial" w:eastAsia="Arial" w:hAnsi="Arial"/>
                <w:sz w:val="18"/>
                <w:szCs w:val="18"/>
                <w:color w:val="auto"/>
              </w:rPr>
              <w:t>William Lansing</w:t>
            </w:r>
          </w:p>
        </w:tc>
        <w:tc>
          <w:tcPr>
            <w:tcW w:w="1040" w:type="dxa"/>
            <w:vAlign w:val="bottom"/>
          </w:tcPr>
          <w:p>
            <w:pPr>
              <w:spacing w:after="0"/>
              <w:rPr>
                <w:sz w:val="24"/>
                <w:szCs w:val="24"/>
                <w:color w:val="auto"/>
              </w:rPr>
            </w:pPr>
          </w:p>
        </w:tc>
        <w:tc>
          <w:tcPr>
            <w:tcW w:w="1420" w:type="dxa"/>
            <w:vAlign w:val="bottom"/>
          </w:tcPr>
          <w:p>
            <w:pPr>
              <w:jc w:val="center"/>
              <w:ind w:left="71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486,207</w:t>
            </w:r>
          </w:p>
        </w:tc>
        <w:tc>
          <w:tcPr>
            <w:tcW w:w="1440" w:type="dxa"/>
            <w:vAlign w:val="bottom"/>
          </w:tcPr>
          <w:p>
            <w:pPr>
              <w:ind w:left="640"/>
              <w:spacing w:after="0"/>
              <w:rPr>
                <w:sz w:val="20"/>
                <w:szCs w:val="20"/>
                <w:color w:val="auto"/>
              </w:rPr>
            </w:pPr>
            <w:r>
              <w:rPr>
                <w:rFonts w:ascii="Arial" w:cs="Arial" w:eastAsia="Arial" w:hAnsi="Arial"/>
                <w:sz w:val="18"/>
                <w:szCs w:val="18"/>
                <w:color w:val="auto"/>
              </w:rPr>
              <w:t>—</w:t>
            </w:r>
          </w:p>
        </w:tc>
        <w:tc>
          <w:tcPr>
            <w:tcW w:w="2620" w:type="dxa"/>
            <w:vAlign w:val="bottom"/>
            <w:gridSpan w:val="2"/>
          </w:tcPr>
          <w:p>
            <w:pPr>
              <w:jc w:val="right"/>
              <w:ind w:right="670"/>
              <w:spacing w:after="0" w:line="277" w:lineRule="exact"/>
              <w:rPr>
                <w:sz w:val="20"/>
                <w:szCs w:val="20"/>
                <w:color w:val="auto"/>
              </w:rPr>
            </w:pPr>
            <w:r>
              <w:rPr>
                <w:rFonts w:ascii="Arial" w:cs="Arial" w:eastAsia="Arial" w:hAnsi="Arial"/>
                <w:sz w:val="18"/>
                <w:szCs w:val="18"/>
                <w:color w:val="auto"/>
              </w:rPr>
              <w:t>3,452,676</w:t>
            </w:r>
            <w:r>
              <w:rPr>
                <w:rFonts w:ascii="Arial" w:cs="Arial" w:eastAsia="Arial" w:hAnsi="Arial"/>
                <w:sz w:val="26"/>
                <w:szCs w:val="26"/>
                <w:color w:val="auto"/>
                <w:vertAlign w:val="superscript"/>
              </w:rPr>
              <w:t>(3)</w:t>
            </w:r>
          </w:p>
        </w:tc>
      </w:tr>
      <w:tr>
        <w:trPr>
          <w:trHeight w:val="297"/>
        </w:trPr>
        <w:tc>
          <w:tcPr>
            <w:tcW w:w="1420" w:type="dxa"/>
            <w:vAlign w:val="bottom"/>
            <w:shd w:val="clear" w:color="auto" w:fill="F2F2F2"/>
          </w:tcPr>
          <w:p>
            <w:pPr>
              <w:spacing w:after="0"/>
              <w:rPr>
                <w:sz w:val="20"/>
                <w:szCs w:val="20"/>
                <w:color w:val="auto"/>
              </w:rPr>
            </w:pPr>
            <w:r>
              <w:rPr>
                <w:rFonts w:ascii="Arial" w:cs="Arial" w:eastAsia="Arial" w:hAnsi="Arial"/>
                <w:sz w:val="18"/>
                <w:szCs w:val="18"/>
                <w:color w:val="auto"/>
              </w:rPr>
              <w:t>Steven Weber</w:t>
            </w:r>
          </w:p>
        </w:tc>
        <w:tc>
          <w:tcPr>
            <w:tcW w:w="1040" w:type="dxa"/>
            <w:vAlign w:val="bottom"/>
            <w:shd w:val="clear" w:color="auto" w:fill="F2F2F2"/>
          </w:tcPr>
          <w:p>
            <w:pPr>
              <w:spacing w:after="0"/>
              <w:rPr>
                <w:sz w:val="24"/>
                <w:szCs w:val="24"/>
                <w:color w:val="auto"/>
              </w:rPr>
            </w:pPr>
          </w:p>
        </w:tc>
        <w:tc>
          <w:tcPr>
            <w:tcW w:w="1420" w:type="dxa"/>
            <w:vAlign w:val="bottom"/>
            <w:shd w:val="clear" w:color="auto" w:fill="F2F2F2"/>
          </w:tcPr>
          <w:p>
            <w:pPr>
              <w:jc w:val="center"/>
              <w:ind w:left="690"/>
              <w:spacing w:after="0"/>
              <w:rPr>
                <w:sz w:val="20"/>
                <w:szCs w:val="20"/>
                <w:color w:val="auto"/>
              </w:rPr>
            </w:pPr>
            <w:r>
              <w:rPr>
                <w:rFonts w:ascii="Arial" w:cs="Arial" w:eastAsia="Arial" w:hAnsi="Arial"/>
                <w:sz w:val="18"/>
                <w:szCs w:val="18"/>
                <w:color w:val="auto"/>
                <w:w w:val="98"/>
              </w:rPr>
              <w:t>172,115</w:t>
            </w:r>
          </w:p>
        </w:tc>
        <w:tc>
          <w:tcPr>
            <w:tcW w:w="320" w:type="dxa"/>
            <w:vAlign w:val="bottom"/>
            <w:shd w:val="clear" w:color="auto" w:fill="F2F2F2"/>
          </w:tcPr>
          <w:p>
            <w:pPr>
              <w:spacing w:after="0"/>
              <w:rPr>
                <w:sz w:val="24"/>
                <w:szCs w:val="24"/>
                <w:color w:val="auto"/>
              </w:rPr>
            </w:pPr>
          </w:p>
        </w:tc>
        <w:tc>
          <w:tcPr>
            <w:tcW w:w="500" w:type="dxa"/>
            <w:vAlign w:val="bottom"/>
            <w:shd w:val="clear" w:color="auto" w:fill="F2F2F2"/>
          </w:tcPr>
          <w:p>
            <w:pPr>
              <w:spacing w:after="0"/>
              <w:rPr>
                <w:sz w:val="24"/>
                <w:szCs w:val="24"/>
                <w:color w:val="auto"/>
              </w:rPr>
            </w:pPr>
          </w:p>
        </w:tc>
        <w:tc>
          <w:tcPr>
            <w:tcW w:w="740" w:type="dxa"/>
            <w:vAlign w:val="bottom"/>
            <w:shd w:val="clear" w:color="auto" w:fill="F2F2F2"/>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shd w:val="clear" w:color="auto" w:fill="F2F2F2"/>
          </w:tcPr>
          <w:p>
            <w:pPr>
              <w:spacing w:after="0"/>
              <w:rPr>
                <w:sz w:val="24"/>
                <w:szCs w:val="24"/>
                <w:color w:val="auto"/>
              </w:rPr>
            </w:pPr>
          </w:p>
        </w:tc>
        <w:tc>
          <w:tcPr>
            <w:tcW w:w="1180" w:type="dxa"/>
            <w:vAlign w:val="bottom"/>
            <w:shd w:val="clear" w:color="auto" w:fill="F2F2F2"/>
          </w:tcPr>
          <w:p>
            <w:pPr>
              <w:jc w:val="right"/>
              <w:ind w:right="90"/>
              <w:spacing w:after="0"/>
              <w:rPr>
                <w:sz w:val="20"/>
                <w:szCs w:val="20"/>
                <w:color w:val="auto"/>
              </w:rPr>
            </w:pPr>
            <w:r>
              <w:rPr>
                <w:rFonts w:ascii="Arial" w:cs="Arial" w:eastAsia="Arial" w:hAnsi="Arial"/>
                <w:sz w:val="18"/>
                <w:szCs w:val="18"/>
                <w:color w:val="auto"/>
              </w:rPr>
              <w:t>110,211</w:t>
            </w:r>
          </w:p>
        </w:tc>
        <w:tc>
          <w:tcPr>
            <w:tcW w:w="1440" w:type="dxa"/>
            <w:vAlign w:val="bottom"/>
            <w:shd w:val="clear" w:color="auto" w:fill="F2F2F2"/>
          </w:tcPr>
          <w:p>
            <w:pPr>
              <w:ind w:left="6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2F2F2"/>
          </w:tcPr>
          <w:p>
            <w:pPr>
              <w:spacing w:after="0"/>
              <w:rPr>
                <w:sz w:val="24"/>
                <w:szCs w:val="24"/>
                <w:color w:val="auto"/>
              </w:rPr>
            </w:pPr>
          </w:p>
        </w:tc>
        <w:tc>
          <w:tcPr>
            <w:tcW w:w="1620" w:type="dxa"/>
            <w:vAlign w:val="bottom"/>
            <w:shd w:val="clear" w:color="auto" w:fill="F2F2F2"/>
          </w:tcPr>
          <w:p>
            <w:pPr>
              <w:jc w:val="right"/>
              <w:ind w:right="670"/>
              <w:spacing w:after="0" w:line="297" w:lineRule="exact"/>
              <w:rPr>
                <w:sz w:val="20"/>
                <w:szCs w:val="20"/>
                <w:color w:val="auto"/>
              </w:rPr>
            </w:pPr>
            <w:r>
              <w:rPr>
                <w:rFonts w:ascii="Arial" w:cs="Arial" w:eastAsia="Arial" w:hAnsi="Arial"/>
                <w:sz w:val="18"/>
                <w:szCs w:val="18"/>
                <w:color w:val="auto"/>
                <w:w w:val="97"/>
              </w:rPr>
              <w:t>840,282</w:t>
            </w:r>
            <w:r>
              <w:rPr>
                <w:rFonts w:ascii="Arial" w:cs="Arial" w:eastAsia="Arial" w:hAnsi="Arial"/>
                <w:sz w:val="26"/>
                <w:szCs w:val="26"/>
                <w:color w:val="auto"/>
                <w:w w:val="97"/>
                <w:vertAlign w:val="superscript"/>
              </w:rPr>
              <w:t>(4)</w:t>
            </w:r>
          </w:p>
        </w:tc>
      </w:tr>
      <w:tr>
        <w:trPr>
          <w:trHeight w:val="297"/>
        </w:trPr>
        <w:tc>
          <w:tcPr>
            <w:tcW w:w="1420" w:type="dxa"/>
            <w:vAlign w:val="bottom"/>
          </w:tcPr>
          <w:p>
            <w:pPr>
              <w:spacing w:after="0"/>
              <w:rPr>
                <w:sz w:val="20"/>
                <w:szCs w:val="20"/>
                <w:color w:val="auto"/>
              </w:rPr>
            </w:pPr>
            <w:r>
              <w:rPr>
                <w:rFonts w:ascii="Arial" w:cs="Arial" w:eastAsia="Arial" w:hAnsi="Arial"/>
                <w:sz w:val="18"/>
                <w:szCs w:val="18"/>
                <w:color w:val="auto"/>
              </w:rPr>
              <w:t>Nikhil Behl</w:t>
            </w:r>
          </w:p>
        </w:tc>
        <w:tc>
          <w:tcPr>
            <w:tcW w:w="1040" w:type="dxa"/>
            <w:vAlign w:val="bottom"/>
          </w:tcPr>
          <w:p>
            <w:pPr>
              <w:spacing w:after="0"/>
              <w:rPr>
                <w:sz w:val="24"/>
                <w:szCs w:val="24"/>
                <w:color w:val="auto"/>
              </w:rPr>
            </w:pPr>
          </w:p>
        </w:tc>
        <w:tc>
          <w:tcPr>
            <w:tcW w:w="1740" w:type="dxa"/>
            <w:vAlign w:val="bottom"/>
            <w:gridSpan w:val="2"/>
          </w:tcPr>
          <w:p>
            <w:pPr>
              <w:jc w:val="center"/>
              <w:ind w:left="390"/>
              <w:spacing w:after="0"/>
              <w:rPr>
                <w:sz w:val="20"/>
                <w:szCs w:val="20"/>
                <w:color w:val="auto"/>
              </w:rPr>
            </w:pPr>
            <w:r>
              <w:rPr>
                <w:rFonts w:ascii="Arial" w:cs="Arial" w:eastAsia="Arial" w:hAnsi="Arial"/>
                <w:sz w:val="18"/>
                <w:szCs w:val="18"/>
                <w:color w:val="auto"/>
              </w:rPr>
              <w:t>324,519</w:t>
            </w:r>
          </w:p>
        </w:tc>
        <w:tc>
          <w:tcPr>
            <w:tcW w:w="500" w:type="dxa"/>
            <w:vAlign w:val="bottom"/>
          </w:tcPr>
          <w:p>
            <w:pPr>
              <w:spacing w:after="0"/>
              <w:rPr>
                <w:sz w:val="24"/>
                <w:szCs w:val="24"/>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600,931</w:t>
            </w:r>
          </w:p>
        </w:tc>
        <w:tc>
          <w:tcPr>
            <w:tcW w:w="1440" w:type="dxa"/>
            <w:vAlign w:val="bottom"/>
          </w:tcPr>
          <w:p>
            <w:pPr>
              <w:ind w:left="640"/>
              <w:spacing w:after="0"/>
              <w:rPr>
                <w:sz w:val="20"/>
                <w:szCs w:val="20"/>
                <w:color w:val="auto"/>
              </w:rPr>
            </w:pPr>
            <w:r>
              <w:rPr>
                <w:rFonts w:ascii="Arial" w:cs="Arial" w:eastAsia="Arial" w:hAnsi="Arial"/>
                <w:sz w:val="18"/>
                <w:szCs w:val="18"/>
                <w:color w:val="auto"/>
              </w:rPr>
              <w:t>—</w:t>
            </w:r>
          </w:p>
        </w:tc>
        <w:tc>
          <w:tcPr>
            <w:tcW w:w="2620" w:type="dxa"/>
            <w:vAlign w:val="bottom"/>
            <w:gridSpan w:val="2"/>
          </w:tcPr>
          <w:p>
            <w:pPr>
              <w:jc w:val="right"/>
              <w:ind w:right="670"/>
              <w:spacing w:after="0" w:line="297" w:lineRule="exact"/>
              <w:rPr>
                <w:sz w:val="20"/>
                <w:szCs w:val="20"/>
                <w:color w:val="auto"/>
              </w:rPr>
            </w:pPr>
            <w:r>
              <w:rPr>
                <w:rFonts w:ascii="Arial" w:cs="Arial" w:eastAsia="Arial" w:hAnsi="Arial"/>
                <w:sz w:val="18"/>
                <w:szCs w:val="18"/>
                <w:color w:val="auto"/>
              </w:rPr>
              <w:t>4,617,477</w:t>
            </w:r>
            <w:r>
              <w:rPr>
                <w:rFonts w:ascii="Arial" w:cs="Arial" w:eastAsia="Arial" w:hAnsi="Arial"/>
                <w:sz w:val="26"/>
                <w:szCs w:val="26"/>
                <w:color w:val="auto"/>
                <w:vertAlign w:val="superscript"/>
              </w:rPr>
              <w:t>(5)</w:t>
            </w:r>
          </w:p>
        </w:tc>
      </w:tr>
      <w:tr>
        <w:trPr>
          <w:trHeight w:val="297"/>
        </w:trPr>
        <w:tc>
          <w:tcPr>
            <w:tcW w:w="1420" w:type="dxa"/>
            <w:vAlign w:val="bottom"/>
            <w:shd w:val="clear" w:color="auto" w:fill="F2F2F2"/>
          </w:tcPr>
          <w:p>
            <w:pPr>
              <w:spacing w:after="0"/>
              <w:rPr>
                <w:sz w:val="20"/>
                <w:szCs w:val="20"/>
                <w:color w:val="auto"/>
              </w:rPr>
            </w:pPr>
            <w:r>
              <w:rPr>
                <w:rFonts w:ascii="Arial" w:cs="Arial" w:eastAsia="Arial" w:hAnsi="Arial"/>
                <w:sz w:val="18"/>
                <w:szCs w:val="18"/>
                <w:color w:val="auto"/>
              </w:rPr>
              <w:t>Richard Deal</w:t>
            </w:r>
          </w:p>
        </w:tc>
        <w:tc>
          <w:tcPr>
            <w:tcW w:w="1040" w:type="dxa"/>
            <w:vAlign w:val="bottom"/>
            <w:shd w:val="clear" w:color="auto" w:fill="F2F2F2"/>
          </w:tcPr>
          <w:p>
            <w:pPr>
              <w:spacing w:after="0"/>
              <w:rPr>
                <w:sz w:val="24"/>
                <w:szCs w:val="24"/>
                <w:color w:val="auto"/>
              </w:rPr>
            </w:pPr>
          </w:p>
        </w:tc>
        <w:tc>
          <w:tcPr>
            <w:tcW w:w="1420" w:type="dxa"/>
            <w:vAlign w:val="bottom"/>
            <w:shd w:val="clear" w:color="auto" w:fill="F2F2F2"/>
          </w:tcPr>
          <w:p>
            <w:pPr>
              <w:jc w:val="center"/>
              <w:ind w:left="7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F2F2F2"/>
          </w:tcPr>
          <w:p>
            <w:pPr>
              <w:spacing w:after="0"/>
              <w:rPr>
                <w:sz w:val="24"/>
                <w:szCs w:val="24"/>
                <w:color w:val="auto"/>
              </w:rPr>
            </w:pPr>
          </w:p>
        </w:tc>
        <w:tc>
          <w:tcPr>
            <w:tcW w:w="500" w:type="dxa"/>
            <w:vAlign w:val="bottom"/>
            <w:shd w:val="clear" w:color="auto" w:fill="F2F2F2"/>
          </w:tcPr>
          <w:p>
            <w:pPr>
              <w:spacing w:after="0"/>
              <w:rPr>
                <w:sz w:val="24"/>
                <w:szCs w:val="24"/>
                <w:color w:val="auto"/>
              </w:rPr>
            </w:pPr>
          </w:p>
        </w:tc>
        <w:tc>
          <w:tcPr>
            <w:tcW w:w="740" w:type="dxa"/>
            <w:vAlign w:val="bottom"/>
            <w:shd w:val="clear" w:color="auto" w:fill="F2F2F2"/>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shd w:val="clear" w:color="auto" w:fill="F2F2F2"/>
          </w:tcPr>
          <w:p>
            <w:pPr>
              <w:spacing w:after="0"/>
              <w:rPr>
                <w:sz w:val="24"/>
                <w:szCs w:val="24"/>
                <w:color w:val="auto"/>
              </w:rPr>
            </w:pPr>
          </w:p>
        </w:tc>
        <w:tc>
          <w:tcPr>
            <w:tcW w:w="1180" w:type="dxa"/>
            <w:vAlign w:val="bottom"/>
            <w:shd w:val="clear" w:color="auto" w:fill="F2F2F2"/>
          </w:tcPr>
          <w:p>
            <w:pPr>
              <w:jc w:val="right"/>
              <w:ind w:right="3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F2F2F2"/>
          </w:tcPr>
          <w:p>
            <w:pPr>
              <w:ind w:left="6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2F2F2"/>
          </w:tcPr>
          <w:p>
            <w:pPr>
              <w:spacing w:after="0"/>
              <w:rPr>
                <w:sz w:val="24"/>
                <w:szCs w:val="24"/>
                <w:color w:val="auto"/>
              </w:rPr>
            </w:pPr>
          </w:p>
        </w:tc>
        <w:tc>
          <w:tcPr>
            <w:tcW w:w="1620" w:type="dxa"/>
            <w:vAlign w:val="bottom"/>
            <w:shd w:val="clear" w:color="auto" w:fill="F2F2F2"/>
          </w:tcPr>
          <w:p>
            <w:pPr>
              <w:jc w:val="right"/>
              <w:ind w:right="670"/>
              <w:spacing w:after="0"/>
              <w:rPr>
                <w:sz w:val="20"/>
                <w:szCs w:val="20"/>
                <w:color w:val="auto"/>
              </w:rPr>
            </w:pPr>
            <w:r>
              <w:rPr>
                <w:rFonts w:ascii="Arial" w:cs="Arial" w:eastAsia="Arial" w:hAnsi="Arial"/>
                <w:sz w:val="18"/>
                <w:szCs w:val="18"/>
                <w:color w:val="auto"/>
              </w:rPr>
              <w:t>—</w:t>
            </w:r>
          </w:p>
        </w:tc>
      </w:tr>
      <w:tr>
        <w:trPr>
          <w:trHeight w:val="292"/>
        </w:trPr>
        <w:tc>
          <w:tcPr>
            <w:tcW w:w="1420" w:type="dxa"/>
            <w:vAlign w:val="bottom"/>
          </w:tcPr>
          <w:p>
            <w:pPr>
              <w:spacing w:after="0"/>
              <w:rPr>
                <w:sz w:val="20"/>
                <w:szCs w:val="20"/>
                <w:color w:val="auto"/>
              </w:rPr>
            </w:pPr>
            <w:r>
              <w:rPr>
                <w:rFonts w:ascii="Arial" w:cs="Arial" w:eastAsia="Arial" w:hAnsi="Arial"/>
                <w:sz w:val="18"/>
                <w:szCs w:val="18"/>
                <w:color w:val="auto"/>
              </w:rPr>
              <w:t>Mark Scadina</w:t>
            </w:r>
          </w:p>
        </w:tc>
        <w:tc>
          <w:tcPr>
            <w:tcW w:w="1040" w:type="dxa"/>
            <w:vAlign w:val="bottom"/>
          </w:tcPr>
          <w:p>
            <w:pPr>
              <w:spacing w:after="0"/>
              <w:rPr>
                <w:sz w:val="24"/>
                <w:szCs w:val="24"/>
                <w:color w:val="auto"/>
              </w:rPr>
            </w:pPr>
          </w:p>
        </w:tc>
        <w:tc>
          <w:tcPr>
            <w:tcW w:w="1420" w:type="dxa"/>
            <w:vAlign w:val="bottom"/>
          </w:tcPr>
          <w:p>
            <w:pPr>
              <w:jc w:val="center"/>
              <w:ind w:left="71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40" w:type="dxa"/>
            <w:vAlign w:val="bottom"/>
          </w:tcPr>
          <w:p>
            <w:pPr>
              <w:ind w:left="6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4"/>
                <w:szCs w:val="24"/>
                <w:color w:val="auto"/>
              </w:rPr>
            </w:pPr>
          </w:p>
        </w:tc>
        <w:tc>
          <w:tcPr>
            <w:tcW w:w="1620" w:type="dxa"/>
            <w:vAlign w:val="bottom"/>
          </w:tcPr>
          <w:p>
            <w:pPr>
              <w:jc w:val="right"/>
              <w:ind w:right="670"/>
              <w:spacing w:after="0"/>
              <w:rPr>
                <w:sz w:val="20"/>
                <w:szCs w:val="20"/>
                <w:color w:val="auto"/>
              </w:rPr>
            </w:pPr>
            <w:r>
              <w:rPr>
                <w:rFonts w:ascii="Arial" w:cs="Arial" w:eastAsia="Arial" w:hAnsi="Arial"/>
                <w:sz w:val="18"/>
                <w:szCs w:val="18"/>
                <w:color w:val="auto"/>
              </w:rPr>
              <w:t>—</w:t>
            </w:r>
          </w:p>
        </w:tc>
      </w:tr>
      <w:tr>
        <w:trPr>
          <w:trHeight w:val="302"/>
        </w:trPr>
        <w:tc>
          <w:tcPr>
            <w:tcW w:w="1420" w:type="dxa"/>
            <w:vAlign w:val="bottom"/>
            <w:tcBorders>
              <w:bottom w:val="single" w:sz="8" w:color="376DB5"/>
            </w:tcBorders>
            <w:shd w:val="clear" w:color="auto" w:fill="F2F2F2"/>
          </w:tcPr>
          <w:p>
            <w:pPr>
              <w:spacing w:after="0"/>
              <w:rPr>
                <w:sz w:val="20"/>
                <w:szCs w:val="20"/>
                <w:color w:val="auto"/>
              </w:rPr>
            </w:pPr>
            <w:r>
              <w:rPr>
                <w:rFonts w:ascii="Arial" w:cs="Arial" w:eastAsia="Arial" w:hAnsi="Arial"/>
                <w:sz w:val="18"/>
                <w:szCs w:val="18"/>
                <w:color w:val="auto"/>
                <w:w w:val="99"/>
              </w:rPr>
              <w:t>James Wehmann</w:t>
            </w:r>
          </w:p>
        </w:tc>
        <w:tc>
          <w:tcPr>
            <w:tcW w:w="1040" w:type="dxa"/>
            <w:vAlign w:val="bottom"/>
            <w:tcBorders>
              <w:bottom w:val="single" w:sz="8" w:color="376DB5"/>
            </w:tcBorders>
            <w:shd w:val="clear" w:color="auto" w:fill="F2F2F2"/>
          </w:tcPr>
          <w:p>
            <w:pPr>
              <w:spacing w:after="0"/>
              <w:rPr>
                <w:sz w:val="24"/>
                <w:szCs w:val="24"/>
                <w:color w:val="auto"/>
              </w:rPr>
            </w:pPr>
          </w:p>
        </w:tc>
        <w:tc>
          <w:tcPr>
            <w:tcW w:w="1740" w:type="dxa"/>
            <w:vAlign w:val="bottom"/>
            <w:tcBorders>
              <w:bottom w:val="single" w:sz="8" w:color="376DB5"/>
            </w:tcBorders>
            <w:gridSpan w:val="2"/>
            <w:shd w:val="clear" w:color="auto" w:fill="F2F2F2"/>
          </w:tcPr>
          <w:p>
            <w:pPr>
              <w:jc w:val="center"/>
              <w:ind w:left="390"/>
              <w:spacing w:after="0"/>
              <w:rPr>
                <w:sz w:val="20"/>
                <w:szCs w:val="20"/>
                <w:color w:val="auto"/>
              </w:rPr>
            </w:pPr>
            <w:r>
              <w:rPr>
                <w:rFonts w:ascii="Arial" w:cs="Arial" w:eastAsia="Arial" w:hAnsi="Arial"/>
                <w:sz w:val="18"/>
                <w:szCs w:val="18"/>
                <w:color w:val="auto"/>
              </w:rPr>
              <w:t>413,712</w:t>
            </w:r>
          </w:p>
        </w:tc>
        <w:tc>
          <w:tcPr>
            <w:tcW w:w="500" w:type="dxa"/>
            <w:vAlign w:val="bottom"/>
            <w:tcBorders>
              <w:bottom w:val="single" w:sz="8" w:color="376DB5"/>
            </w:tcBorders>
            <w:shd w:val="clear" w:color="auto" w:fill="F2F2F2"/>
          </w:tcPr>
          <w:p>
            <w:pPr>
              <w:spacing w:after="0"/>
              <w:rPr>
                <w:sz w:val="24"/>
                <w:szCs w:val="24"/>
                <w:color w:val="auto"/>
              </w:rPr>
            </w:pPr>
          </w:p>
        </w:tc>
        <w:tc>
          <w:tcPr>
            <w:tcW w:w="740" w:type="dxa"/>
            <w:vAlign w:val="bottom"/>
            <w:tcBorders>
              <w:bottom w:val="single" w:sz="8" w:color="376DB5"/>
            </w:tcBorders>
            <w:shd w:val="clear" w:color="auto" w:fill="F2F2F2"/>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376DB5"/>
            </w:tcBorders>
            <w:shd w:val="clear" w:color="auto" w:fill="F2F2F2"/>
          </w:tcPr>
          <w:p>
            <w:pPr>
              <w:spacing w:after="0"/>
              <w:rPr>
                <w:sz w:val="24"/>
                <w:szCs w:val="24"/>
                <w:color w:val="auto"/>
              </w:rPr>
            </w:pPr>
          </w:p>
        </w:tc>
        <w:tc>
          <w:tcPr>
            <w:tcW w:w="1180" w:type="dxa"/>
            <w:vAlign w:val="bottom"/>
            <w:tcBorders>
              <w:bottom w:val="single" w:sz="8" w:color="376DB5"/>
            </w:tcBorders>
            <w:shd w:val="clear" w:color="auto" w:fill="F2F2F2"/>
          </w:tcPr>
          <w:p>
            <w:pPr>
              <w:jc w:val="right"/>
              <w:ind w:right="90"/>
              <w:spacing w:after="0"/>
              <w:rPr>
                <w:sz w:val="20"/>
                <w:szCs w:val="20"/>
                <w:color w:val="auto"/>
              </w:rPr>
            </w:pPr>
            <w:r>
              <w:rPr>
                <w:rFonts w:ascii="Arial" w:cs="Arial" w:eastAsia="Arial" w:hAnsi="Arial"/>
                <w:sz w:val="18"/>
                <w:szCs w:val="18"/>
                <w:color w:val="auto"/>
              </w:rPr>
              <w:t>704,231</w:t>
            </w:r>
          </w:p>
        </w:tc>
        <w:tc>
          <w:tcPr>
            <w:tcW w:w="1440" w:type="dxa"/>
            <w:vAlign w:val="bottom"/>
            <w:tcBorders>
              <w:bottom w:val="single" w:sz="8" w:color="376DB5"/>
            </w:tcBorders>
            <w:shd w:val="clear" w:color="auto" w:fill="F2F2F2"/>
          </w:tcPr>
          <w:p>
            <w:pPr>
              <w:ind w:left="640"/>
              <w:spacing w:after="0"/>
              <w:rPr>
                <w:sz w:val="20"/>
                <w:szCs w:val="20"/>
                <w:color w:val="auto"/>
              </w:rPr>
            </w:pPr>
            <w:r>
              <w:rPr>
                <w:rFonts w:ascii="Arial" w:cs="Arial" w:eastAsia="Arial" w:hAnsi="Arial"/>
                <w:sz w:val="18"/>
                <w:szCs w:val="18"/>
                <w:color w:val="auto"/>
              </w:rPr>
              <w:t>—</w:t>
            </w:r>
          </w:p>
        </w:tc>
        <w:tc>
          <w:tcPr>
            <w:tcW w:w="2620" w:type="dxa"/>
            <w:vAlign w:val="bottom"/>
            <w:tcBorders>
              <w:bottom w:val="single" w:sz="8" w:color="376DB5"/>
            </w:tcBorders>
            <w:gridSpan w:val="2"/>
            <w:shd w:val="clear" w:color="auto" w:fill="F2F2F2"/>
          </w:tcPr>
          <w:p>
            <w:pPr>
              <w:jc w:val="right"/>
              <w:ind w:right="670"/>
              <w:spacing w:after="0"/>
              <w:rPr>
                <w:sz w:val="20"/>
                <w:szCs w:val="20"/>
                <w:color w:val="auto"/>
              </w:rPr>
            </w:pPr>
            <w:r>
              <w:rPr>
                <w:rFonts w:ascii="Arial" w:cs="Arial" w:eastAsia="Arial" w:hAnsi="Arial"/>
                <w:sz w:val="18"/>
                <w:szCs w:val="18"/>
                <w:color w:val="auto"/>
              </w:rPr>
              <w:t>5,331,469</w:t>
            </w:r>
            <w:r>
              <w:rPr>
                <w:rFonts w:ascii="Arial" w:cs="Arial" w:eastAsia="Arial" w:hAnsi="Arial"/>
                <w:sz w:val="26"/>
                <w:szCs w:val="26"/>
                <w:color w:val="auto"/>
                <w:vertAlign w:val="superscript"/>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1226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50" w:lineRule="exact"/>
        <w:rPr>
          <w:sz w:val="20"/>
          <w:szCs w:val="20"/>
          <w:color w:val="auto"/>
        </w:rPr>
      </w:pPr>
    </w:p>
    <w:p>
      <w:pPr>
        <w:ind w:left="540" w:right="20" w:hanging="424"/>
        <w:spacing w:after="0" w:line="204" w:lineRule="auto"/>
        <w:tabs>
          <w:tab w:leader="none" w:pos="540" w:val="left"/>
        </w:tabs>
        <w:numPr>
          <w:ilvl w:val="0"/>
          <w:numId w:val="58"/>
        </w:numPr>
        <w:rPr>
          <w:rFonts w:ascii="Arial" w:cs="Arial" w:eastAsia="Arial" w:hAnsi="Arial"/>
          <w:sz w:val="27"/>
          <w:szCs w:val="27"/>
          <w:color w:val="auto"/>
          <w:vertAlign w:val="superscript"/>
        </w:rPr>
      </w:pPr>
      <w:r>
        <w:rPr>
          <w:rFonts w:ascii="Arial" w:cs="Arial" w:eastAsia="Arial" w:hAnsi="Arial"/>
          <w:sz w:val="18"/>
          <w:szCs w:val="18"/>
          <w:color w:val="auto"/>
        </w:rPr>
        <w:t>The amount reported in this column has been reported in the fiscal 2025 Summary Compensation Table as part of the individual’s compensation.</w:t>
      </w:r>
    </w:p>
    <w:p>
      <w:pPr>
        <w:spacing w:after="0" w:line="5" w:lineRule="exact"/>
        <w:rPr>
          <w:rFonts w:ascii="Arial" w:cs="Arial" w:eastAsia="Arial" w:hAnsi="Arial"/>
          <w:sz w:val="27"/>
          <w:szCs w:val="27"/>
          <w:color w:val="auto"/>
          <w:vertAlign w:val="superscript"/>
        </w:rPr>
      </w:pPr>
    </w:p>
    <w:p>
      <w:pPr>
        <w:ind w:left="540" w:right="20" w:hanging="424"/>
        <w:spacing w:after="0" w:line="204" w:lineRule="auto"/>
        <w:tabs>
          <w:tab w:leader="none" w:pos="540" w:val="left"/>
        </w:tabs>
        <w:numPr>
          <w:ilvl w:val="0"/>
          <w:numId w:val="58"/>
        </w:numPr>
        <w:rPr>
          <w:rFonts w:ascii="Arial" w:cs="Arial" w:eastAsia="Arial" w:hAnsi="Arial"/>
          <w:sz w:val="27"/>
          <w:szCs w:val="27"/>
          <w:color w:val="auto"/>
          <w:vertAlign w:val="superscript"/>
        </w:rPr>
      </w:pPr>
      <w:r>
        <w:rPr>
          <w:rFonts w:ascii="Arial" w:cs="Arial" w:eastAsia="Arial" w:hAnsi="Arial"/>
          <w:sz w:val="18"/>
          <w:szCs w:val="18"/>
          <w:color w:val="auto"/>
        </w:rPr>
        <w:t>The amount reported in this column was not reported in the Summary Compensation Table as part of the individual’s compensation for the most recent fiscal year because none of the earnings are considered to be “above market” or “preferential.”</w:t>
      </w:r>
    </w:p>
    <w:p>
      <w:pPr>
        <w:spacing w:after="0" w:line="5" w:lineRule="exact"/>
        <w:rPr>
          <w:rFonts w:ascii="Arial" w:cs="Arial" w:eastAsia="Arial" w:hAnsi="Arial"/>
          <w:sz w:val="27"/>
          <w:szCs w:val="27"/>
          <w:color w:val="auto"/>
          <w:vertAlign w:val="superscript"/>
        </w:rPr>
      </w:pPr>
    </w:p>
    <w:p>
      <w:pPr>
        <w:ind w:left="540" w:right="20" w:hanging="424"/>
        <w:spacing w:after="0" w:line="204" w:lineRule="auto"/>
        <w:tabs>
          <w:tab w:leader="none" w:pos="540" w:val="left"/>
        </w:tabs>
        <w:numPr>
          <w:ilvl w:val="0"/>
          <w:numId w:val="58"/>
        </w:numPr>
        <w:rPr>
          <w:rFonts w:ascii="Arial" w:cs="Arial" w:eastAsia="Arial" w:hAnsi="Arial"/>
          <w:sz w:val="27"/>
          <w:szCs w:val="27"/>
          <w:color w:val="auto"/>
          <w:vertAlign w:val="superscript"/>
        </w:rPr>
      </w:pPr>
      <w:r>
        <w:rPr>
          <w:rFonts w:ascii="Arial" w:cs="Arial" w:eastAsia="Arial" w:hAnsi="Arial"/>
          <w:sz w:val="18"/>
          <w:szCs w:val="18"/>
          <w:color w:val="auto"/>
        </w:rPr>
        <w:t>Of the amount shown in this column, $1,499,999 was previously reported as compensation to Mr. Lansing in the Summary Compensation Table for years prior to fiscal 2025.</w:t>
      </w:r>
    </w:p>
    <w:p>
      <w:pPr>
        <w:spacing w:after="0" w:line="5" w:lineRule="exact"/>
        <w:rPr>
          <w:rFonts w:ascii="Arial" w:cs="Arial" w:eastAsia="Arial" w:hAnsi="Arial"/>
          <w:sz w:val="27"/>
          <w:szCs w:val="27"/>
          <w:color w:val="auto"/>
          <w:vertAlign w:val="superscript"/>
        </w:rPr>
      </w:pPr>
    </w:p>
    <w:p>
      <w:pPr>
        <w:ind w:left="540" w:right="20" w:hanging="424"/>
        <w:spacing w:after="0" w:line="204" w:lineRule="auto"/>
        <w:tabs>
          <w:tab w:leader="none" w:pos="540" w:val="left"/>
        </w:tabs>
        <w:numPr>
          <w:ilvl w:val="0"/>
          <w:numId w:val="58"/>
        </w:numPr>
        <w:rPr>
          <w:rFonts w:ascii="Arial" w:cs="Arial" w:eastAsia="Arial" w:hAnsi="Arial"/>
          <w:sz w:val="27"/>
          <w:szCs w:val="27"/>
          <w:color w:val="auto"/>
          <w:vertAlign w:val="superscript"/>
        </w:rPr>
      </w:pPr>
      <w:r>
        <w:rPr>
          <w:rFonts w:ascii="Arial" w:cs="Arial" w:eastAsia="Arial" w:hAnsi="Arial"/>
          <w:sz w:val="18"/>
          <w:szCs w:val="18"/>
          <w:color w:val="auto"/>
        </w:rPr>
        <w:t>Of the amount shown in this column, $237,500 was previously reported as compensation to Mr. Weber in the Summary Compensation Table for years prior to fiscal 2025.</w:t>
      </w:r>
    </w:p>
    <w:p>
      <w:pPr>
        <w:spacing w:after="0" w:line="5" w:lineRule="exact"/>
        <w:rPr>
          <w:rFonts w:ascii="Arial" w:cs="Arial" w:eastAsia="Arial" w:hAnsi="Arial"/>
          <w:sz w:val="27"/>
          <w:szCs w:val="27"/>
          <w:color w:val="auto"/>
          <w:vertAlign w:val="superscript"/>
        </w:rPr>
      </w:pPr>
    </w:p>
    <w:p>
      <w:pPr>
        <w:ind w:left="540" w:right="20" w:hanging="424"/>
        <w:spacing w:after="0" w:line="204" w:lineRule="auto"/>
        <w:tabs>
          <w:tab w:leader="none" w:pos="540" w:val="left"/>
        </w:tabs>
        <w:numPr>
          <w:ilvl w:val="0"/>
          <w:numId w:val="58"/>
        </w:numPr>
        <w:rPr>
          <w:rFonts w:ascii="Arial" w:cs="Arial" w:eastAsia="Arial" w:hAnsi="Arial"/>
          <w:sz w:val="27"/>
          <w:szCs w:val="27"/>
          <w:color w:val="auto"/>
          <w:vertAlign w:val="superscript"/>
        </w:rPr>
      </w:pPr>
      <w:r>
        <w:rPr>
          <w:rFonts w:ascii="Arial" w:cs="Arial" w:eastAsia="Arial" w:hAnsi="Arial"/>
          <w:sz w:val="18"/>
          <w:szCs w:val="18"/>
          <w:color w:val="auto"/>
        </w:rPr>
        <w:t>Of the amount shown in this column, $0 was previously reported as compensation to Mr. Behl in the Summary Compensation Table for years prior to fiscal 2025, as he was not a Named Executive Officer.</w:t>
      </w:r>
    </w:p>
    <w:p>
      <w:pPr>
        <w:spacing w:after="0" w:line="5" w:lineRule="exact"/>
        <w:rPr>
          <w:rFonts w:ascii="Arial" w:cs="Arial" w:eastAsia="Arial" w:hAnsi="Arial"/>
          <w:sz w:val="27"/>
          <w:szCs w:val="27"/>
          <w:color w:val="auto"/>
          <w:vertAlign w:val="superscript"/>
        </w:rPr>
      </w:pPr>
    </w:p>
    <w:p>
      <w:pPr>
        <w:ind w:left="540" w:right="20" w:hanging="424"/>
        <w:spacing w:after="0" w:line="204" w:lineRule="auto"/>
        <w:tabs>
          <w:tab w:leader="none" w:pos="540" w:val="left"/>
        </w:tabs>
        <w:numPr>
          <w:ilvl w:val="0"/>
          <w:numId w:val="58"/>
        </w:numPr>
        <w:rPr>
          <w:rFonts w:ascii="Arial" w:cs="Arial" w:eastAsia="Arial" w:hAnsi="Arial"/>
          <w:sz w:val="27"/>
          <w:szCs w:val="27"/>
          <w:color w:val="auto"/>
          <w:vertAlign w:val="superscript"/>
        </w:rPr>
      </w:pPr>
      <w:r>
        <w:rPr>
          <w:rFonts w:ascii="Arial" w:cs="Arial" w:eastAsia="Arial" w:hAnsi="Arial"/>
          <w:sz w:val="18"/>
          <w:szCs w:val="18"/>
          <w:color w:val="auto"/>
        </w:rPr>
        <w:t>Of the amount shown in this column, $2,282,611 was previously reported as compensation to Mr. Wehmann in the Summary Compensation Table for years prior to fiscal 2025.</w:t>
      </w:r>
    </w:p>
    <w:p>
      <w:pPr>
        <w:spacing w:after="0" w:line="289" w:lineRule="exact"/>
        <w:rPr>
          <w:sz w:val="20"/>
          <w:szCs w:val="20"/>
          <w:color w:val="auto"/>
        </w:rPr>
      </w:pPr>
    </w:p>
    <w:p>
      <w:pPr>
        <w:jc w:val="both"/>
        <w:ind w:left="120" w:firstLine="551"/>
        <w:spacing w:after="0" w:line="244" w:lineRule="auto"/>
        <w:rPr>
          <w:sz w:val="20"/>
          <w:szCs w:val="20"/>
          <w:color w:val="auto"/>
        </w:rPr>
      </w:pPr>
      <w:r>
        <w:rPr>
          <w:rFonts w:ascii="Arial" w:cs="Arial" w:eastAsia="Arial" w:hAnsi="Arial"/>
          <w:sz w:val="18"/>
          <w:szCs w:val="18"/>
          <w:color w:val="auto"/>
        </w:rPr>
        <w:t>This plan is intended for a select group of employees of the Company who are in the highest salary band. Employees can defer up to 50% (increased during 2025 from 25%) of base salary and up to 75% of incentive award compensation into the plan. These elections are irrevocable and stay in place for the entire calendar year. The Company does not make any employer contributions to this plan, and employees are always 100% vested in their contributions. Employees make their own investment election decisions from a select group of investment choices designated by the Company.</w:t>
      </w:r>
    </w:p>
    <w:p>
      <w:pPr>
        <w:spacing w:after="0" w:line="68"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Participating employees also make an irrevocable election for distributions from the plan at retirement. If they terminate employment prior to retirement, then participating employees will receive their distribution on the first day of the seventh calendar month following separation from service due to any reason.</w:t>
      </w:r>
    </w:p>
    <w:p>
      <w:pPr>
        <w:spacing w:after="0" w:line="101"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68</w:t>
      </w:r>
    </w:p>
    <w:p>
      <w:pPr>
        <w:sectPr>
          <w:pgSz w:w="11900" w:h="16838" w:orient="portrait"/>
          <w:cols w:equalWidth="0" w:num="1">
            <w:col w:w="11140"/>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POTENTIAL PAYMENTS UPON TERMINATION OR CHANGE IN CONTROL</w:t>
      </w:r>
    </w:p>
    <w:p>
      <w:pPr>
        <w:spacing w:after="0" w:line="231"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The information below describes the compensation that would become payable under existing plans and arrangements if a named executive officer’s employment terminates under certain circumstances or if a change in control of the Company occurs.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 Management Agreements</w:t>
      </w:r>
    </w:p>
    <w:p>
      <w:pPr>
        <w:spacing w:after="0" w:line="104" w:lineRule="exact"/>
        <w:rPr>
          <w:sz w:val="20"/>
          <w:szCs w:val="20"/>
          <w:color w:val="auto"/>
        </w:rPr>
      </w:pPr>
    </w:p>
    <w:p>
      <w:pPr>
        <w:jc w:val="both"/>
        <w:ind w:left="120" w:firstLine="551"/>
        <w:spacing w:after="0" w:line="229" w:lineRule="auto"/>
        <w:rPr>
          <w:sz w:val="20"/>
          <w:szCs w:val="20"/>
          <w:color w:val="auto"/>
        </w:rPr>
      </w:pPr>
      <w:r>
        <w:rPr>
          <w:rFonts w:ascii="Arial" w:cs="Arial" w:eastAsia="Arial" w:hAnsi="Arial"/>
          <w:sz w:val="18"/>
          <w:szCs w:val="18"/>
          <w:color w:val="auto"/>
        </w:rPr>
        <w:t>Each of our named executive officers is a party to a Management Agreement, as amended (the “Management Agreement”), with the Company. The Management Agreements are for a fixed term with automatic one-year extensions. Except in the case of Mr. Lansing, if during the term of the Management Agreements a change of control Event occurs, and if the executive officer’s employment is terminated within 60 days before or two years following the Event due to an involuntary termination by the Company without Cause or for Good Reason by the executive (as defined below), the executive will be entitled to the following pay and benefits: (i) a cash payment in an amount equal to one times the sum of (a) his or her annual base salary in effect on the last day of his or her employment, plus (b) the annual cash incentive payment last paid to him or her before the termination of his or her employment, such cash payment to be made in a lump sum on the 70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following his or her separation from service (subject to certain exceptions), and (ii) continuation of certain benefits pursuant to COBRA for 12 months. In addition, all of such officer’s unvested stock options, restricted stock units and performance share units will vest in full, subject to certain limitations specified in the Management Agreement. The officer’s receipt of these severance amounts is conditioned on the officer’s delivery of a release of claims and agreement not to solicit Company employees for one year following termination of employment.</w:t>
      </w:r>
    </w:p>
    <w:p>
      <w:pPr>
        <w:spacing w:after="0" w:line="188"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Mr. Lansing’s Management Agreement provides for the same general non-economic provisions described above. In the case of a qualifying termination of employment in connection with or following a change of control Event, Mr. Lansing’s severance will be in the amount of three times the sum of base salary and the incentive payment for the prior fiscal year, calculated in the same manner described above, and he is entitled to 18 months of continued benefits pursuant to COBRA.</w:t>
      </w:r>
    </w:p>
    <w:p>
      <w:pPr>
        <w:spacing w:after="0" w:line="174"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In all of the Management Agreements, an “Event” generally means (i) the acquisition by a person of 30% or more the shares of our Company’s common stock, (ii) continuing directors no longer represent a majority of the members of the Board, (iii) the consummation of a reorganization, merger or consolidation of the Company or a statutory share exchange unless immediately following such transaction, all or substantially all of the persons who were the beneficial owners of the Company’s stock before the transaction own more than 70% of the common stock of the resulting corporation, or (iv) approval by the Company’s stockholders of a complete liquidation or dissolution or the sale of all or substantially all of the Company’s assets unless the sale is made to a corporation more than 70% of whose shares are held by persons who were the beneficial owners of the Company’s stock before the transaction.</w:t>
      </w:r>
    </w:p>
    <w:p>
      <w:pPr>
        <w:spacing w:after="0" w:line="185" w:lineRule="exact"/>
        <w:rPr>
          <w:sz w:val="20"/>
          <w:szCs w:val="20"/>
          <w:color w:val="auto"/>
        </w:rPr>
      </w:pPr>
    </w:p>
    <w:p>
      <w:pPr>
        <w:jc w:val="both"/>
        <w:ind w:left="120" w:firstLine="551"/>
        <w:spacing w:after="0" w:line="271" w:lineRule="auto"/>
        <w:rPr>
          <w:sz w:val="20"/>
          <w:szCs w:val="20"/>
          <w:color w:val="auto"/>
        </w:rPr>
      </w:pPr>
      <w:r>
        <w:rPr>
          <w:rFonts w:ascii="Arial" w:cs="Arial" w:eastAsia="Arial" w:hAnsi="Arial"/>
          <w:sz w:val="18"/>
          <w:szCs w:val="18"/>
          <w:color w:val="auto"/>
        </w:rPr>
        <w:t>In all of the Management Agreements, “Cause” generally means (i) willful and gross neglect by the executive officer of his or her duties, or (ii) a felony committed by the executive officer that is substantially detrimental to the Company.</w:t>
      </w:r>
    </w:p>
    <w:p>
      <w:pPr>
        <w:spacing w:after="0" w:line="154" w:lineRule="exact"/>
        <w:rPr>
          <w:sz w:val="20"/>
          <w:szCs w:val="20"/>
          <w:color w:val="auto"/>
        </w:rPr>
      </w:pPr>
    </w:p>
    <w:p>
      <w:pPr>
        <w:jc w:val="both"/>
        <w:ind w:left="120" w:firstLine="551"/>
        <w:spacing w:after="0" w:line="242" w:lineRule="auto"/>
        <w:rPr>
          <w:sz w:val="20"/>
          <w:szCs w:val="20"/>
          <w:color w:val="auto"/>
        </w:rPr>
      </w:pPr>
      <w:r>
        <w:rPr>
          <w:rFonts w:ascii="Arial" w:cs="Arial" w:eastAsia="Arial" w:hAnsi="Arial"/>
          <w:sz w:val="18"/>
          <w:szCs w:val="18"/>
          <w:color w:val="auto"/>
        </w:rPr>
        <w:t>In all of the Management Agreements, “Good Reason” generally means that one of the following conditions occurs without the executive officer’s consent and the Company does not cure the condition after receiving notice of it: (i) a material reduction in the executive officer’s authority, duty or responsibilities, (ii) a material reduction in the executive officer’s annual base salary or target incentive, (iii) a material reduction in the aggregate benefits the executive officer enjoys under the Company’s wellness and compensatory programs, (iv) a requirement that the executive officer relocate to an office located more than 50 miles away from his or her current office location, or (v) a failure by the Company to obtain agreement from any successor to assume the Letter Agreement.</w:t>
      </w:r>
    </w:p>
    <w:p>
      <w:pPr>
        <w:spacing w:after="0" w:line="179"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If an executive officer receives any payment or benefit under his or her management agreement following termination of employment, the executive officer will not be entitled to receive severance benefits under his or her Letter Agreement.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69</w:t>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Severance Arrangements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description of the named executive officers’ Letter Agreements above for information about severance pay and benefits.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Awards</w:t>
      </w:r>
    </w:p>
    <w:p>
      <w:pPr>
        <w:spacing w:after="0" w:line="104" w:lineRule="exact"/>
        <w:rPr>
          <w:sz w:val="20"/>
          <w:szCs w:val="20"/>
          <w:color w:val="auto"/>
        </w:rPr>
      </w:pPr>
    </w:p>
    <w:p>
      <w:pPr>
        <w:jc w:val="both"/>
        <w:ind w:left="120" w:right="20" w:firstLine="551"/>
        <w:spacing w:after="0" w:line="244" w:lineRule="auto"/>
        <w:rPr>
          <w:sz w:val="20"/>
          <w:szCs w:val="20"/>
          <w:color w:val="auto"/>
        </w:rPr>
      </w:pPr>
      <w:r>
        <w:rPr>
          <w:rFonts w:ascii="Arial" w:cs="Arial" w:eastAsia="Arial" w:hAnsi="Arial"/>
          <w:sz w:val="18"/>
          <w:szCs w:val="18"/>
          <w:color w:val="auto"/>
        </w:rPr>
        <w:t>The 2021 Long-Term Incentive Plan (“2021 LTIP”) and the 2012 Long -Term Incentive Plan (“2012 LTIP”) provide for full vesting of equity awards granted under the plan, including stock options and RSUs, in the event of a recipient’s death or disability. In addition, the award agreements for the stock options and RSUs held by the named executive officers generally provide that the vesting of such awards will continue in accordance with same vesting schedule if the officer has a qualifying retirement, other than the special performance-based retention and leadership continuity option award granted to Mr. Lansing in June 2023.</w:t>
      </w:r>
    </w:p>
    <w:p>
      <w:pPr>
        <w:spacing w:after="0" w:line="176" w:lineRule="exact"/>
        <w:rPr>
          <w:sz w:val="20"/>
          <w:szCs w:val="20"/>
          <w:color w:val="auto"/>
        </w:rPr>
      </w:pPr>
    </w:p>
    <w:p>
      <w:pPr>
        <w:jc w:val="both"/>
        <w:ind w:left="120" w:firstLine="551"/>
        <w:spacing w:after="0" w:line="239" w:lineRule="auto"/>
        <w:rPr>
          <w:sz w:val="20"/>
          <w:szCs w:val="20"/>
          <w:color w:val="auto"/>
        </w:rPr>
      </w:pPr>
      <w:r>
        <w:rPr>
          <w:rFonts w:ascii="Arial" w:cs="Arial" w:eastAsia="Arial" w:hAnsi="Arial"/>
          <w:sz w:val="18"/>
          <w:szCs w:val="18"/>
          <w:color w:val="auto"/>
        </w:rPr>
        <w:t>The award agreements for the PSUs granted to executive officers and outstanding as of September 30, 2025 provide that (i) upon termination of service during the performance period due to death or disability, the target number of units will be deemed to be earned and will vest in full upon such termination, and (ii) upon a change in control during the performance period as a result of which the Company does not survive as an operating company or survives only as a subsidiary of another entity (a “business combination”), the target number of units will be deemed to be earned and will vest in full upon or immediately before, and conditioned upon, the consummation of the business combination. In addition, upon (i) termination of service during the vesting period due to death or disability, all earned units will vest in full upon such termination, or (ii) a business combination during the vesting period, all earned units will vest in full upon or immediately before, and conditioned upon, the consummation of the business combination. Further, units will continue to be earned and vest if the participant has a qualifying retirement.</w:t>
      </w:r>
    </w:p>
    <w:p>
      <w:pPr>
        <w:spacing w:after="0" w:line="183" w:lineRule="exact"/>
        <w:rPr>
          <w:sz w:val="20"/>
          <w:szCs w:val="20"/>
          <w:color w:val="auto"/>
        </w:rPr>
      </w:pPr>
    </w:p>
    <w:p>
      <w:pPr>
        <w:jc w:val="both"/>
        <w:ind w:left="120" w:right="20" w:firstLine="551"/>
        <w:spacing w:after="0" w:line="238" w:lineRule="auto"/>
        <w:rPr>
          <w:sz w:val="20"/>
          <w:szCs w:val="20"/>
          <w:color w:val="auto"/>
        </w:rPr>
      </w:pPr>
      <w:r>
        <w:rPr>
          <w:rFonts w:ascii="Arial" w:cs="Arial" w:eastAsia="Arial" w:hAnsi="Arial"/>
          <w:sz w:val="18"/>
          <w:szCs w:val="18"/>
          <w:color w:val="auto"/>
        </w:rPr>
        <w:t>The award agreements for the MSUs granted to executive officers under the 2021 LTIP provide that upon a change in control in which the Company does not survive as an operating company or only survives as a subsidiary of another entity (i) each performance period is truncated to end on the day of such change in control; (ii) the units earned at the end of each adjusted performance period are calculated with a modified calculation of the relative return factor; (iii) a portion of these adjusted period earned units vest immediately (determined by multiplying the adjusted period earned units by a fraction, the numerator of which is the number of days in the adjusted performance period and the denominator of which is the days in the performance period before adjustment); and (iv) the unvested units after the previous calculation will vest monthly. Furthermore, if the award recipient is terminated for reasons other than Cause all unvested units described in the preceding sentence will vest in full. Except upon an award recipient’s death or disability after the final performance period in the applicable award agreement for an MSU (where only earned units will vest in full), all units will vest in full upon an award recipient’s death or disability. In addition, the units will continue to be earned and vest if the participant has a qualifying retirement, other than the special performance-based retention and leadership continuity MSU award granted to Mr. Lansing in June 2023.</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 Benefits</w:t>
      </w:r>
    </w:p>
    <w:p>
      <w:pPr>
        <w:spacing w:after="0" w:line="104" w:lineRule="exact"/>
        <w:rPr>
          <w:sz w:val="20"/>
          <w:szCs w:val="20"/>
          <w:color w:val="auto"/>
        </w:rPr>
      </w:pPr>
    </w:p>
    <w:p>
      <w:pPr>
        <w:jc w:val="both"/>
        <w:ind w:left="120" w:right="20" w:firstLine="551"/>
        <w:spacing w:after="0" w:line="239" w:lineRule="auto"/>
        <w:rPr>
          <w:sz w:val="20"/>
          <w:szCs w:val="20"/>
          <w:color w:val="auto"/>
        </w:rPr>
      </w:pPr>
      <w:r>
        <w:rPr>
          <w:rFonts w:ascii="Arial" w:cs="Arial" w:eastAsia="Arial" w:hAnsi="Arial"/>
          <w:sz w:val="18"/>
          <w:szCs w:val="18"/>
          <w:color w:val="auto"/>
        </w:rPr>
        <w:t>All FICO employees are covered under our Short- and Long-Term Disability Policies. For the first six months of a qualified disability, the employee receives 60% of base salary under the Short-Term Disability Policy. After six months of disability, the employee becomes eligible to receive 50% of base salary (up to a maximum of $10,000 per month) under the Long-Term Disability Policy. These Long-Term Disability payments continue for up to twenty-four months from the commencement of the initial Long-Term Disability period, provided the employee is unable to earn more than 80% of their pre-disability earnings at their own occupation. If, after this twenty-four-month period, the employee is unable to earn more than 80% of their pre-disability earnings at any gainful occupation for which they are reasonably qualified (factoring in training, prior education, and experience), the Long-Term Disability benefit may continue up to age 65. Supplemental disability insurance can also be purchased by employees to increase the percentage of base salary to which they are entitled under the policies.</w:t>
      </w:r>
    </w:p>
    <w:p>
      <w:pPr>
        <w:spacing w:after="0" w:line="183"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All employees are also covered by a Company-provided life insurance policy, which provides for the lump sum payment of one times the employee’s base salary in the event of death, or two times base salary in the event of accidental death. Additional amounts may be payable under a Company-provided business travel accident insurance policy.</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70</w:t>
      </w:r>
    </w:p>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Estimated Payments That Would Have Been Made to the Named Executive Officers</w:t>
      </w:r>
    </w:p>
    <w:p>
      <w:pPr>
        <w:spacing w:after="0" w:line="104" w:lineRule="exact"/>
        <w:rPr>
          <w:sz w:val="20"/>
          <w:szCs w:val="20"/>
          <w:color w:val="auto"/>
        </w:rPr>
      </w:pPr>
    </w:p>
    <w:p>
      <w:pPr>
        <w:jc w:val="both"/>
        <w:ind w:left="120" w:firstLine="551"/>
        <w:spacing w:after="0" w:line="244" w:lineRule="auto"/>
        <w:rPr>
          <w:sz w:val="20"/>
          <w:szCs w:val="20"/>
          <w:color w:val="auto"/>
        </w:rPr>
      </w:pPr>
      <w:r>
        <w:rPr>
          <w:rFonts w:ascii="Arial" w:cs="Arial" w:eastAsia="Arial" w:hAnsi="Arial"/>
          <w:sz w:val="18"/>
          <w:szCs w:val="18"/>
          <w:color w:val="auto"/>
        </w:rPr>
        <w:t>The tables below quantify the estimated payments and benefits that would have been provided to our named executive officers, other than Mr. Wehmann, in connection with the termination of their employment under the circumstances indicated. The information assumes that the triggering event occurred on September 30, 2025, the last day of fiscal 2025, and the price per share of our common stock is the closing market price on September 30, 2025, the last trading day of fiscal 2025 (which was $1,496.53). Benefits payable under our Short-Term and Long-Term Disability Policies and Company-provided life insurance policy are not reflected in the following tables.</w:t>
      </w:r>
    </w:p>
    <w:p>
      <w:pPr>
        <w:spacing w:after="0" w:line="176"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As discussed above, Mr. Wehmann’s employment with us terminated on September 5, 2025. Mr. Wehmann did not receive any payments or benefits in connection with his termination of employment, and his Letter Agreement, Management Agreement and all outstanding equity awards held by him were terminated effective September 5, 2025.</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William Lansing</w:t>
      </w: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4000" w:type="dxa"/>
            <w:vAlign w:val="bottom"/>
            <w:tcBorders>
              <w:top w:val="single" w:sz="8" w:color="376DB5"/>
            </w:tcBorders>
          </w:tcPr>
          <w:p>
            <w:pPr>
              <w:spacing w:after="0"/>
              <w:rPr>
                <w:sz w:val="15"/>
                <w:szCs w:val="15"/>
                <w:color w:val="auto"/>
              </w:rPr>
            </w:pPr>
          </w:p>
        </w:tc>
        <w:tc>
          <w:tcPr>
            <w:tcW w:w="1000" w:type="dxa"/>
            <w:vAlign w:val="bottom"/>
            <w:tcBorders>
              <w:top w:val="single" w:sz="8" w:color="376DB5"/>
            </w:tcBorders>
          </w:tcPr>
          <w:p>
            <w:pPr>
              <w:spacing w:after="0"/>
              <w:rPr>
                <w:sz w:val="15"/>
                <w:szCs w:val="15"/>
                <w:color w:val="auto"/>
              </w:rPr>
            </w:pPr>
          </w:p>
        </w:tc>
        <w:tc>
          <w:tcPr>
            <w:tcW w:w="900" w:type="dxa"/>
            <w:vAlign w:val="bottom"/>
            <w:tcBorders>
              <w:top w:val="single" w:sz="8" w:color="376DB5"/>
            </w:tcBorders>
          </w:tcPr>
          <w:p>
            <w:pPr>
              <w:spacing w:after="0"/>
              <w:rPr>
                <w:sz w:val="15"/>
                <w:szCs w:val="15"/>
                <w:color w:val="auto"/>
              </w:rPr>
            </w:pPr>
          </w:p>
        </w:tc>
        <w:tc>
          <w:tcPr>
            <w:tcW w:w="980" w:type="dxa"/>
            <w:vAlign w:val="bottom"/>
            <w:tcBorders>
              <w:top w:val="single" w:sz="8" w:color="376DB5"/>
            </w:tcBorders>
          </w:tcPr>
          <w:p>
            <w:pPr>
              <w:spacing w:after="0"/>
              <w:rPr>
                <w:sz w:val="15"/>
                <w:szCs w:val="15"/>
                <w:color w:val="auto"/>
              </w:rPr>
            </w:pPr>
          </w:p>
        </w:tc>
        <w:tc>
          <w:tcPr>
            <w:tcW w:w="1020" w:type="dxa"/>
            <w:vAlign w:val="bottom"/>
            <w:tcBorders>
              <w:top w:val="single" w:sz="8" w:color="376DB5"/>
            </w:tcBorders>
          </w:tcPr>
          <w:p>
            <w:pPr>
              <w:jc w:val="center"/>
              <w:spacing w:after="0"/>
              <w:rPr>
                <w:sz w:val="20"/>
                <w:szCs w:val="20"/>
                <w:color w:val="auto"/>
              </w:rPr>
            </w:pPr>
            <w:r>
              <w:rPr>
                <w:rFonts w:ascii="Arial" w:cs="Arial" w:eastAsia="Arial" w:hAnsi="Arial"/>
                <w:sz w:val="14"/>
                <w:szCs w:val="14"/>
                <w:color w:val="376DB5"/>
              </w:rPr>
              <w:t>Termination</w:t>
            </w:r>
          </w:p>
        </w:tc>
        <w:tc>
          <w:tcPr>
            <w:tcW w:w="1040" w:type="dxa"/>
            <w:vAlign w:val="bottom"/>
            <w:tcBorders>
              <w:top w:val="single" w:sz="8" w:color="376DB5"/>
            </w:tcBorders>
          </w:tcPr>
          <w:p>
            <w:pPr>
              <w:spacing w:after="0"/>
              <w:rPr>
                <w:sz w:val="15"/>
                <w:szCs w:val="15"/>
                <w:color w:val="auto"/>
              </w:rPr>
            </w:pPr>
          </w:p>
        </w:tc>
        <w:tc>
          <w:tcPr>
            <w:tcW w:w="1040" w:type="dxa"/>
            <w:vAlign w:val="bottom"/>
            <w:tcBorders>
              <w:top w:val="single" w:sz="8" w:color="376DB5"/>
            </w:tcBorders>
          </w:tcPr>
          <w:p>
            <w:pPr>
              <w:spacing w:after="0"/>
              <w:rPr>
                <w:sz w:val="15"/>
                <w:szCs w:val="15"/>
                <w:color w:val="auto"/>
              </w:rPr>
            </w:pPr>
          </w:p>
        </w:tc>
        <w:tc>
          <w:tcPr>
            <w:tcW w:w="1040" w:type="dxa"/>
            <w:vAlign w:val="bottom"/>
            <w:tcBorders>
              <w:top w:val="single" w:sz="8" w:color="376DB5"/>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376DB5"/>
              </w:rPr>
              <w:t>by Us</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376DB5"/>
              </w:rPr>
              <w:t>Without</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376DB5"/>
              </w:rPr>
              <w:t>Cause in</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376DB5"/>
              </w:rPr>
              <w:t>Connection</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376DB5"/>
              </w:rPr>
              <w:t>with a</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376DB5"/>
              </w:rPr>
              <w:t>Change in</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376DB5"/>
              </w:rPr>
              <w:t>Termination</w:t>
            </w:r>
          </w:p>
        </w:tc>
        <w:tc>
          <w:tcPr>
            <w:tcW w:w="1020" w:type="dxa"/>
            <w:vAlign w:val="bottom"/>
          </w:tcPr>
          <w:p>
            <w:pPr>
              <w:jc w:val="center"/>
              <w:spacing w:after="0"/>
              <w:rPr>
                <w:sz w:val="20"/>
                <w:szCs w:val="20"/>
                <w:color w:val="auto"/>
              </w:rPr>
            </w:pPr>
            <w:r>
              <w:rPr>
                <w:rFonts w:ascii="Arial" w:cs="Arial" w:eastAsia="Arial" w:hAnsi="Arial"/>
                <w:sz w:val="14"/>
                <w:szCs w:val="14"/>
                <w:color w:val="376DB5"/>
              </w:rPr>
              <w:t>Control or</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376DB5"/>
              </w:rPr>
              <w:t>by Us</w:t>
            </w:r>
          </w:p>
        </w:tc>
        <w:tc>
          <w:tcPr>
            <w:tcW w:w="1020" w:type="dxa"/>
            <w:vAlign w:val="bottom"/>
          </w:tcPr>
          <w:p>
            <w:pPr>
              <w:jc w:val="center"/>
              <w:spacing w:after="0"/>
              <w:rPr>
                <w:sz w:val="20"/>
                <w:szCs w:val="20"/>
                <w:color w:val="auto"/>
              </w:rPr>
            </w:pPr>
            <w:r>
              <w:rPr>
                <w:rFonts w:ascii="Arial" w:cs="Arial" w:eastAsia="Arial" w:hAnsi="Arial"/>
                <w:sz w:val="14"/>
                <w:szCs w:val="14"/>
                <w:color w:val="376DB5"/>
              </w:rPr>
              <w:t>by the NEO</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376DB5"/>
              </w:rPr>
              <w:t>Without</w:t>
            </w:r>
          </w:p>
        </w:tc>
        <w:tc>
          <w:tcPr>
            <w:tcW w:w="1020" w:type="dxa"/>
            <w:vAlign w:val="bottom"/>
          </w:tcPr>
          <w:p>
            <w:pPr>
              <w:jc w:val="center"/>
              <w:spacing w:after="0"/>
              <w:rPr>
                <w:sz w:val="20"/>
                <w:szCs w:val="20"/>
                <w:color w:val="auto"/>
              </w:rPr>
            </w:pPr>
            <w:r>
              <w:rPr>
                <w:rFonts w:ascii="Arial" w:cs="Arial" w:eastAsia="Arial" w:hAnsi="Arial"/>
                <w:sz w:val="14"/>
                <w:szCs w:val="14"/>
                <w:color w:val="376DB5"/>
              </w:rPr>
              <w:t>with Good</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376DB5"/>
              </w:rPr>
              <w:t>Cause or</w:t>
            </w:r>
          </w:p>
        </w:tc>
        <w:tc>
          <w:tcPr>
            <w:tcW w:w="1020" w:type="dxa"/>
            <w:vAlign w:val="bottom"/>
          </w:tcPr>
          <w:p>
            <w:pPr>
              <w:jc w:val="center"/>
              <w:spacing w:after="0"/>
              <w:rPr>
                <w:sz w:val="20"/>
                <w:szCs w:val="20"/>
                <w:color w:val="auto"/>
              </w:rPr>
            </w:pPr>
            <w:r>
              <w:rPr>
                <w:rFonts w:ascii="Arial" w:cs="Arial" w:eastAsia="Arial" w:hAnsi="Arial"/>
                <w:sz w:val="14"/>
                <w:szCs w:val="14"/>
                <w:color w:val="376DB5"/>
              </w:rPr>
              <w:t>Reason in</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376DB5"/>
                <w:w w:val="94"/>
              </w:rPr>
              <w:t>by</w:t>
            </w:r>
          </w:p>
        </w:tc>
        <w:tc>
          <w:tcPr>
            <w:tcW w:w="1020" w:type="dxa"/>
            <w:vAlign w:val="bottom"/>
          </w:tcPr>
          <w:p>
            <w:pPr>
              <w:jc w:val="center"/>
              <w:spacing w:after="0"/>
              <w:rPr>
                <w:sz w:val="20"/>
                <w:szCs w:val="20"/>
                <w:color w:val="auto"/>
              </w:rPr>
            </w:pPr>
            <w:r>
              <w:rPr>
                <w:rFonts w:ascii="Arial" w:cs="Arial" w:eastAsia="Arial" w:hAnsi="Arial"/>
                <w:sz w:val="14"/>
                <w:szCs w:val="14"/>
                <w:color w:val="376DB5"/>
              </w:rPr>
              <w:t>Connection</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000" w:type="dxa"/>
            <w:vAlign w:val="bottom"/>
          </w:tcPr>
          <w:p>
            <w:pPr>
              <w:jc w:val="center"/>
              <w:ind w:left="8"/>
              <w:spacing w:after="0"/>
              <w:rPr>
                <w:sz w:val="20"/>
                <w:szCs w:val="20"/>
                <w:color w:val="auto"/>
              </w:rPr>
            </w:pPr>
            <w:r>
              <w:rPr>
                <w:rFonts w:ascii="Arial" w:cs="Arial" w:eastAsia="Arial" w:hAnsi="Arial"/>
                <w:sz w:val="14"/>
                <w:szCs w:val="14"/>
                <w:color w:val="376DB5"/>
              </w:rPr>
              <w:t>Voluntary</w:t>
            </w:r>
          </w:p>
        </w:tc>
        <w:tc>
          <w:tcPr>
            <w:tcW w:w="900" w:type="dxa"/>
            <w:vAlign w:val="bottom"/>
          </w:tcPr>
          <w:p>
            <w:pPr>
              <w:jc w:val="center"/>
              <w:spacing w:after="0"/>
              <w:rPr>
                <w:sz w:val="20"/>
                <w:szCs w:val="20"/>
                <w:color w:val="auto"/>
              </w:rPr>
            </w:pPr>
            <w:r>
              <w:rPr>
                <w:rFonts w:ascii="Arial" w:cs="Arial" w:eastAsia="Arial" w:hAnsi="Arial"/>
                <w:sz w:val="14"/>
                <w:szCs w:val="14"/>
                <w:color w:val="376DB5"/>
              </w:rPr>
              <w:t>Termination</w:t>
            </w:r>
          </w:p>
        </w:tc>
        <w:tc>
          <w:tcPr>
            <w:tcW w:w="980" w:type="dxa"/>
            <w:vAlign w:val="bottom"/>
          </w:tcPr>
          <w:p>
            <w:pPr>
              <w:jc w:val="center"/>
              <w:spacing w:after="0"/>
              <w:rPr>
                <w:sz w:val="20"/>
                <w:szCs w:val="20"/>
                <w:color w:val="auto"/>
              </w:rPr>
            </w:pPr>
            <w:r>
              <w:rPr>
                <w:rFonts w:ascii="Arial" w:cs="Arial" w:eastAsia="Arial" w:hAnsi="Arial"/>
                <w:sz w:val="14"/>
                <w:szCs w:val="14"/>
                <w:color w:val="376DB5"/>
              </w:rPr>
              <w:t>NEO with</w:t>
            </w:r>
          </w:p>
        </w:tc>
        <w:tc>
          <w:tcPr>
            <w:tcW w:w="1020" w:type="dxa"/>
            <w:vAlign w:val="bottom"/>
          </w:tcPr>
          <w:p>
            <w:pPr>
              <w:jc w:val="center"/>
              <w:spacing w:after="0"/>
              <w:rPr>
                <w:sz w:val="20"/>
                <w:szCs w:val="20"/>
                <w:color w:val="auto"/>
              </w:rPr>
            </w:pPr>
            <w:r>
              <w:rPr>
                <w:rFonts w:ascii="Arial" w:cs="Arial" w:eastAsia="Arial" w:hAnsi="Arial"/>
                <w:sz w:val="14"/>
                <w:szCs w:val="14"/>
                <w:color w:val="376DB5"/>
              </w:rPr>
              <w:t>with a</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376DB5"/>
              </w:rPr>
              <w:t>Termination</w:t>
            </w:r>
          </w:p>
        </w:tc>
        <w:tc>
          <w:tcPr>
            <w:tcW w:w="900" w:type="dxa"/>
            <w:vAlign w:val="bottom"/>
          </w:tcPr>
          <w:p>
            <w:pPr>
              <w:jc w:val="center"/>
              <w:spacing w:after="0"/>
              <w:rPr>
                <w:sz w:val="20"/>
                <w:szCs w:val="20"/>
                <w:color w:val="auto"/>
              </w:rPr>
            </w:pPr>
            <w:r>
              <w:rPr>
                <w:rFonts w:ascii="Arial" w:cs="Arial" w:eastAsia="Arial" w:hAnsi="Arial"/>
                <w:sz w:val="14"/>
                <w:szCs w:val="14"/>
                <w:color w:val="376DB5"/>
              </w:rPr>
              <w:t>by Us for</w:t>
            </w:r>
          </w:p>
        </w:tc>
        <w:tc>
          <w:tcPr>
            <w:tcW w:w="980" w:type="dxa"/>
            <w:vAlign w:val="bottom"/>
          </w:tcPr>
          <w:p>
            <w:pPr>
              <w:jc w:val="center"/>
              <w:spacing w:after="0"/>
              <w:rPr>
                <w:sz w:val="20"/>
                <w:szCs w:val="20"/>
                <w:color w:val="auto"/>
              </w:rPr>
            </w:pPr>
            <w:r>
              <w:rPr>
                <w:rFonts w:ascii="Arial" w:cs="Arial" w:eastAsia="Arial" w:hAnsi="Arial"/>
                <w:sz w:val="14"/>
                <w:szCs w:val="14"/>
                <w:color w:val="376DB5"/>
                <w:w w:val="99"/>
              </w:rPr>
              <w:t>Good</w:t>
            </w:r>
          </w:p>
        </w:tc>
        <w:tc>
          <w:tcPr>
            <w:tcW w:w="1020" w:type="dxa"/>
            <w:vAlign w:val="bottom"/>
          </w:tcPr>
          <w:p>
            <w:pPr>
              <w:jc w:val="center"/>
              <w:spacing w:after="0"/>
              <w:rPr>
                <w:sz w:val="20"/>
                <w:szCs w:val="20"/>
                <w:color w:val="auto"/>
              </w:rPr>
            </w:pPr>
            <w:r>
              <w:rPr>
                <w:rFonts w:ascii="Arial" w:cs="Arial" w:eastAsia="Arial" w:hAnsi="Arial"/>
                <w:sz w:val="14"/>
                <w:szCs w:val="14"/>
                <w:color w:val="376DB5"/>
              </w:rPr>
              <w:t>Change in</w:t>
            </w:r>
          </w:p>
        </w:tc>
        <w:tc>
          <w:tcPr>
            <w:tcW w:w="1040" w:type="dxa"/>
            <w:vAlign w:val="bottom"/>
            <w:vMerge w:val="restart"/>
          </w:tcPr>
          <w:p>
            <w:pPr>
              <w:ind w:left="100"/>
              <w:spacing w:after="0"/>
              <w:rPr>
                <w:sz w:val="20"/>
                <w:szCs w:val="20"/>
                <w:color w:val="auto"/>
              </w:rPr>
            </w:pPr>
            <w:r>
              <w:rPr>
                <w:rFonts w:ascii="Arial" w:cs="Arial" w:eastAsia="Arial" w:hAnsi="Arial"/>
                <w:sz w:val="14"/>
                <w:szCs w:val="14"/>
                <w:color w:val="376DB5"/>
              </w:rPr>
              <w:t>Retirement</w:t>
            </w:r>
            <w:r>
              <w:rPr>
                <w:rFonts w:ascii="Arial" w:cs="Arial" w:eastAsia="Arial" w:hAnsi="Arial"/>
                <w:sz w:val="21"/>
                <w:szCs w:val="21"/>
                <w:color w:val="376DB5"/>
                <w:vertAlign w:val="superscript"/>
              </w:rPr>
              <w:t>(7)</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376DB5"/>
              </w:rPr>
              <w:t>by NEO</w:t>
            </w:r>
          </w:p>
        </w:tc>
        <w:tc>
          <w:tcPr>
            <w:tcW w:w="900" w:type="dxa"/>
            <w:vAlign w:val="bottom"/>
          </w:tcPr>
          <w:p>
            <w:pPr>
              <w:jc w:val="center"/>
              <w:spacing w:after="0"/>
              <w:rPr>
                <w:sz w:val="20"/>
                <w:szCs w:val="20"/>
                <w:color w:val="auto"/>
              </w:rPr>
            </w:pPr>
            <w:r>
              <w:rPr>
                <w:rFonts w:ascii="Arial" w:cs="Arial" w:eastAsia="Arial" w:hAnsi="Arial"/>
                <w:sz w:val="14"/>
                <w:szCs w:val="14"/>
                <w:color w:val="376DB5"/>
              </w:rPr>
              <w:t>Cause</w:t>
            </w:r>
          </w:p>
        </w:tc>
        <w:tc>
          <w:tcPr>
            <w:tcW w:w="980" w:type="dxa"/>
            <w:vAlign w:val="bottom"/>
          </w:tcPr>
          <w:p>
            <w:pPr>
              <w:jc w:val="center"/>
              <w:spacing w:after="0"/>
              <w:rPr>
                <w:sz w:val="20"/>
                <w:szCs w:val="20"/>
                <w:color w:val="auto"/>
              </w:rPr>
            </w:pPr>
            <w:r>
              <w:rPr>
                <w:rFonts w:ascii="Arial" w:cs="Arial" w:eastAsia="Arial" w:hAnsi="Arial"/>
                <w:sz w:val="14"/>
                <w:szCs w:val="14"/>
                <w:color w:val="376DB5"/>
              </w:rPr>
              <w:t>Reason</w:t>
            </w:r>
          </w:p>
        </w:tc>
        <w:tc>
          <w:tcPr>
            <w:tcW w:w="1020" w:type="dxa"/>
            <w:vAlign w:val="bottom"/>
          </w:tcPr>
          <w:p>
            <w:pPr>
              <w:jc w:val="center"/>
              <w:spacing w:after="0"/>
              <w:rPr>
                <w:sz w:val="20"/>
                <w:szCs w:val="20"/>
                <w:color w:val="auto"/>
              </w:rPr>
            </w:pPr>
            <w:r>
              <w:rPr>
                <w:rFonts w:ascii="Arial" w:cs="Arial" w:eastAsia="Arial" w:hAnsi="Arial"/>
                <w:sz w:val="14"/>
                <w:szCs w:val="14"/>
                <w:color w:val="376DB5"/>
              </w:rPr>
              <w:t>Control</w:t>
            </w:r>
          </w:p>
        </w:tc>
        <w:tc>
          <w:tcPr>
            <w:tcW w:w="1040" w:type="dxa"/>
            <w:vAlign w:val="bottom"/>
            <w:vMerge w:val="continue"/>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color w:val="376DB5"/>
              </w:rPr>
              <w:t>Disability</w:t>
            </w:r>
          </w:p>
        </w:tc>
        <w:tc>
          <w:tcPr>
            <w:tcW w:w="1040" w:type="dxa"/>
            <w:vAlign w:val="bottom"/>
          </w:tcPr>
          <w:p>
            <w:pPr>
              <w:jc w:val="right"/>
              <w:ind w:right="248"/>
              <w:spacing w:after="0"/>
              <w:rPr>
                <w:sz w:val="20"/>
                <w:szCs w:val="20"/>
                <w:color w:val="auto"/>
              </w:rPr>
            </w:pPr>
            <w:r>
              <w:rPr>
                <w:rFonts w:ascii="Arial" w:cs="Arial" w:eastAsia="Arial" w:hAnsi="Arial"/>
                <w:sz w:val="14"/>
                <w:szCs w:val="14"/>
                <w:color w:val="376DB5"/>
              </w:rPr>
              <w:t>Death</w:t>
            </w:r>
          </w:p>
        </w:tc>
        <w:tc>
          <w:tcPr>
            <w:tcW w:w="0" w:type="dxa"/>
            <w:vAlign w:val="bottom"/>
          </w:tcPr>
          <w:p>
            <w:pPr>
              <w:spacing w:after="0"/>
              <w:rPr>
                <w:sz w:val="1"/>
                <w:szCs w:val="1"/>
                <w:color w:val="auto"/>
              </w:rPr>
            </w:pPr>
          </w:p>
        </w:tc>
      </w:tr>
      <w:tr>
        <w:trPr>
          <w:trHeight w:val="194"/>
        </w:trPr>
        <w:tc>
          <w:tcPr>
            <w:tcW w:w="4000" w:type="dxa"/>
            <w:vAlign w:val="bottom"/>
            <w:tcBorders>
              <w:bottom w:val="single" w:sz="8" w:color="376DB5"/>
            </w:tcBorders>
          </w:tcPr>
          <w:p>
            <w:pPr>
              <w:spacing w:after="0"/>
              <w:rPr>
                <w:sz w:val="20"/>
                <w:szCs w:val="20"/>
                <w:color w:val="auto"/>
              </w:rPr>
            </w:pPr>
            <w:r>
              <w:rPr>
                <w:rFonts w:ascii="Arial" w:cs="Arial" w:eastAsia="Arial" w:hAnsi="Arial"/>
                <w:sz w:val="14"/>
                <w:szCs w:val="14"/>
                <w:color w:val="376DB5"/>
              </w:rPr>
              <w:t>Payment or Benefit</w:t>
            </w:r>
          </w:p>
        </w:tc>
        <w:tc>
          <w:tcPr>
            <w:tcW w:w="100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376DB5"/>
              </w:rPr>
              <w:t>($)</w:t>
            </w:r>
          </w:p>
        </w:tc>
        <w:tc>
          <w:tcPr>
            <w:tcW w:w="90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376DB5"/>
              </w:rPr>
              <w:t>($)</w:t>
            </w:r>
          </w:p>
        </w:tc>
        <w:tc>
          <w:tcPr>
            <w:tcW w:w="980" w:type="dxa"/>
            <w:vAlign w:val="bottom"/>
            <w:tcBorders>
              <w:bottom w:val="single" w:sz="8" w:color="376DB5"/>
            </w:tcBorders>
          </w:tcPr>
          <w:p>
            <w:pPr>
              <w:jc w:val="right"/>
              <w:ind w:right="348"/>
              <w:spacing w:after="0"/>
              <w:rPr>
                <w:sz w:val="20"/>
                <w:szCs w:val="20"/>
                <w:color w:val="auto"/>
              </w:rPr>
            </w:pPr>
            <w:r>
              <w:rPr>
                <w:rFonts w:ascii="Arial" w:cs="Arial" w:eastAsia="Arial" w:hAnsi="Arial"/>
                <w:sz w:val="14"/>
                <w:szCs w:val="14"/>
                <w:color w:val="376DB5"/>
              </w:rPr>
              <w:t>($)</w:t>
            </w:r>
          </w:p>
        </w:tc>
        <w:tc>
          <w:tcPr>
            <w:tcW w:w="102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376DB5"/>
              </w:rPr>
              <w:t>($)</w:t>
            </w:r>
          </w:p>
        </w:tc>
        <w:tc>
          <w:tcPr>
            <w:tcW w:w="104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376DB5"/>
                <w:w w:val="93"/>
              </w:rPr>
              <w:t>($)</w:t>
            </w:r>
          </w:p>
        </w:tc>
        <w:tc>
          <w:tcPr>
            <w:tcW w:w="1040" w:type="dxa"/>
            <w:vAlign w:val="bottom"/>
            <w:tcBorders>
              <w:bottom w:val="single" w:sz="8" w:color="376DB5"/>
            </w:tcBorders>
          </w:tcPr>
          <w:p>
            <w:pPr>
              <w:jc w:val="right"/>
              <w:ind w:right="388"/>
              <w:spacing w:after="0"/>
              <w:rPr>
                <w:sz w:val="20"/>
                <w:szCs w:val="20"/>
                <w:color w:val="auto"/>
              </w:rPr>
            </w:pPr>
            <w:r>
              <w:rPr>
                <w:rFonts w:ascii="Arial" w:cs="Arial" w:eastAsia="Arial" w:hAnsi="Arial"/>
                <w:sz w:val="14"/>
                <w:szCs w:val="14"/>
                <w:color w:val="376DB5"/>
              </w:rPr>
              <w:t>($)</w:t>
            </w:r>
          </w:p>
        </w:tc>
        <w:tc>
          <w:tcPr>
            <w:tcW w:w="1040" w:type="dxa"/>
            <w:vAlign w:val="bottom"/>
            <w:tcBorders>
              <w:bottom w:val="single" w:sz="8" w:color="376DB5"/>
            </w:tcBorders>
          </w:tcPr>
          <w:p>
            <w:pPr>
              <w:jc w:val="right"/>
              <w:ind w:right="348"/>
              <w:spacing w:after="0"/>
              <w:rPr>
                <w:sz w:val="20"/>
                <w:szCs w:val="20"/>
                <w:color w:val="auto"/>
              </w:rPr>
            </w:pPr>
            <w:r>
              <w:rPr>
                <w:rFonts w:ascii="Arial" w:cs="Arial" w:eastAsia="Arial" w:hAnsi="Arial"/>
                <w:sz w:val="14"/>
                <w:szCs w:val="14"/>
                <w:color w:val="376DB5"/>
              </w:rPr>
              <w:t>($)</w:t>
            </w:r>
          </w:p>
        </w:tc>
        <w:tc>
          <w:tcPr>
            <w:tcW w:w="0" w:type="dxa"/>
            <w:vAlign w:val="bottom"/>
          </w:tcPr>
          <w:p>
            <w:pPr>
              <w:spacing w:after="0"/>
              <w:rPr>
                <w:sz w:val="1"/>
                <w:szCs w:val="1"/>
                <w:color w:val="auto"/>
              </w:rPr>
            </w:pPr>
          </w:p>
        </w:tc>
      </w:tr>
      <w:tr>
        <w:trPr>
          <w:trHeight w:val="200"/>
        </w:trPr>
        <w:tc>
          <w:tcPr>
            <w:tcW w:w="4000" w:type="dxa"/>
            <w:vAlign w:val="bottom"/>
          </w:tcPr>
          <w:p>
            <w:pPr>
              <w:spacing w:after="0" w:line="200" w:lineRule="exact"/>
              <w:rPr>
                <w:sz w:val="20"/>
                <w:szCs w:val="20"/>
                <w:color w:val="auto"/>
              </w:rPr>
            </w:pPr>
            <w:r>
              <w:rPr>
                <w:rFonts w:ascii="Arial" w:cs="Arial" w:eastAsia="Arial" w:hAnsi="Arial"/>
                <w:sz w:val="14"/>
                <w:szCs w:val="14"/>
                <w:color w:val="auto"/>
              </w:rPr>
              <w:t>Value of Cash Severance</w:t>
            </w:r>
            <w:r>
              <w:rPr>
                <w:rFonts w:ascii="Arial" w:cs="Arial" w:eastAsia="Arial" w:hAnsi="Arial"/>
                <w:sz w:val="21"/>
                <w:szCs w:val="21"/>
                <w:color w:val="auto"/>
                <w:vertAlign w:val="superscript"/>
              </w:rPr>
              <w:t>(1)</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3,700,000</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5,550,000</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F2F2F2"/>
          </w:tcPr>
          <w:p>
            <w:pPr>
              <w:spacing w:after="0" w:line="216" w:lineRule="exact"/>
              <w:rPr>
                <w:sz w:val="20"/>
                <w:szCs w:val="20"/>
                <w:color w:val="auto"/>
              </w:rPr>
            </w:pPr>
            <w:r>
              <w:rPr>
                <w:rFonts w:ascii="Arial" w:cs="Arial" w:eastAsia="Arial" w:hAnsi="Arial"/>
                <w:sz w:val="14"/>
                <w:szCs w:val="14"/>
                <w:color w:val="auto"/>
              </w:rPr>
              <w:t>Value of Benefits</w:t>
            </w:r>
            <w:r>
              <w:rPr>
                <w:rFonts w:ascii="Arial" w:cs="Arial" w:eastAsia="Arial" w:hAnsi="Arial"/>
                <w:sz w:val="21"/>
                <w:szCs w:val="21"/>
                <w:color w:val="auto"/>
                <w:vertAlign w:val="superscript"/>
              </w:rPr>
              <w:t>(2)</w:t>
            </w: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29,700</w:t>
            </w:r>
          </w:p>
        </w:tc>
        <w:tc>
          <w:tcPr>
            <w:tcW w:w="102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29,700</w:t>
            </w:r>
          </w:p>
        </w:tc>
        <w:tc>
          <w:tcPr>
            <w:tcW w:w="10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040" w:type="dxa"/>
            <w:vAlign w:val="bottom"/>
            <w:shd w:val="clear" w:color="auto" w:fill="F2F2F2"/>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2F2F2"/>
          </w:tcPr>
          <w:p>
            <w:pPr>
              <w:jc w:val="right"/>
              <w:ind w:right="3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Arial" w:cs="Arial" w:eastAsia="Arial" w:hAnsi="Arial"/>
                <w:sz w:val="14"/>
                <w:szCs w:val="14"/>
                <w:color w:val="auto"/>
              </w:rPr>
              <w:t>Market Value of Accelerated Stock Option Awards</w:t>
            </w:r>
            <w:r>
              <w:rPr>
                <w:rFonts w:ascii="Arial" w:cs="Arial" w:eastAsia="Arial" w:hAnsi="Arial"/>
                <w:sz w:val="21"/>
                <w:szCs w:val="21"/>
                <w:color w:val="auto"/>
                <w:vertAlign w:val="superscript"/>
              </w:rPr>
              <w:t>(3)</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36,714,164</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36,714,164</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36,714,164 </w:t>
            </w:r>
          </w:p>
        </w:tc>
        <w:tc>
          <w:tcPr>
            <w:tcW w:w="0" w:type="dxa"/>
            <w:vAlign w:val="bottom"/>
          </w:tcPr>
          <w:p>
            <w:pPr>
              <w:spacing w:after="0"/>
              <w:rPr>
                <w:sz w:val="1"/>
                <w:szCs w:val="1"/>
                <w:color w:val="auto"/>
              </w:rPr>
            </w:pPr>
          </w:p>
        </w:tc>
      </w:tr>
      <w:tr>
        <w:trPr>
          <w:trHeight w:val="216"/>
        </w:trPr>
        <w:tc>
          <w:tcPr>
            <w:tcW w:w="4000" w:type="dxa"/>
            <w:vAlign w:val="bottom"/>
            <w:shd w:val="clear" w:color="auto" w:fill="F2F2F2"/>
          </w:tcPr>
          <w:p>
            <w:pPr>
              <w:spacing w:after="0" w:line="216" w:lineRule="exact"/>
              <w:rPr>
                <w:sz w:val="20"/>
                <w:szCs w:val="20"/>
                <w:color w:val="auto"/>
              </w:rPr>
            </w:pPr>
            <w:r>
              <w:rPr>
                <w:rFonts w:ascii="Arial" w:cs="Arial" w:eastAsia="Arial" w:hAnsi="Arial"/>
                <w:sz w:val="14"/>
                <w:szCs w:val="14"/>
                <w:color w:val="auto"/>
              </w:rPr>
              <w:t>Market Value of Accelerated RSU Awards</w:t>
            </w:r>
            <w:r>
              <w:rPr>
                <w:rFonts w:ascii="Arial" w:cs="Arial" w:eastAsia="Arial" w:hAnsi="Arial"/>
                <w:sz w:val="21"/>
                <w:szCs w:val="21"/>
                <w:color w:val="auto"/>
                <w:vertAlign w:val="superscript"/>
              </w:rPr>
              <w:t>(4)</w:t>
            </w: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shd w:val="clear" w:color="auto" w:fill="F2F2F2"/>
          </w:tcPr>
          <w:p>
            <w:pPr>
              <w:jc w:val="right"/>
              <w:ind w:right="3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30,279,292</w:t>
            </w:r>
          </w:p>
        </w:tc>
        <w:tc>
          <w:tcPr>
            <w:tcW w:w="10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04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30,279,292</w:t>
            </w:r>
          </w:p>
        </w:tc>
        <w:tc>
          <w:tcPr>
            <w:tcW w:w="104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30,279,292 </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Arial" w:cs="Arial" w:eastAsia="Arial" w:hAnsi="Arial"/>
                <w:sz w:val="14"/>
                <w:szCs w:val="14"/>
                <w:color w:val="auto"/>
              </w:rPr>
              <w:t>Market Value of Accelerated PSU Awards</w:t>
            </w:r>
            <w:r>
              <w:rPr>
                <w:rFonts w:ascii="Arial" w:cs="Arial" w:eastAsia="Arial" w:hAnsi="Arial"/>
                <w:sz w:val="21"/>
                <w:szCs w:val="21"/>
                <w:color w:val="auto"/>
                <w:vertAlign w:val="superscript"/>
              </w:rPr>
              <w:t>(5)</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39,494,923</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39,494,923</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39,494,923 </w:t>
            </w:r>
          </w:p>
        </w:tc>
        <w:tc>
          <w:tcPr>
            <w:tcW w:w="0" w:type="dxa"/>
            <w:vAlign w:val="bottom"/>
          </w:tcPr>
          <w:p>
            <w:pPr>
              <w:spacing w:after="0"/>
              <w:rPr>
                <w:sz w:val="1"/>
                <w:szCs w:val="1"/>
                <w:color w:val="auto"/>
              </w:rPr>
            </w:pPr>
          </w:p>
        </w:tc>
      </w:tr>
      <w:tr>
        <w:trPr>
          <w:trHeight w:val="216"/>
        </w:trPr>
        <w:tc>
          <w:tcPr>
            <w:tcW w:w="4000" w:type="dxa"/>
            <w:vAlign w:val="bottom"/>
            <w:shd w:val="clear" w:color="auto" w:fill="F2F2F2"/>
          </w:tcPr>
          <w:p>
            <w:pPr>
              <w:spacing w:after="0" w:line="216" w:lineRule="exact"/>
              <w:rPr>
                <w:sz w:val="20"/>
                <w:szCs w:val="20"/>
                <w:color w:val="auto"/>
              </w:rPr>
            </w:pPr>
            <w:r>
              <w:rPr>
                <w:rFonts w:ascii="Arial" w:cs="Arial" w:eastAsia="Arial" w:hAnsi="Arial"/>
                <w:sz w:val="14"/>
                <w:szCs w:val="14"/>
                <w:color w:val="auto"/>
              </w:rPr>
              <w:t>Market Value of Accelerated MSU Awards</w:t>
            </w:r>
            <w:r>
              <w:rPr>
                <w:rFonts w:ascii="Arial" w:cs="Arial" w:eastAsia="Arial" w:hAnsi="Arial"/>
                <w:sz w:val="21"/>
                <w:szCs w:val="21"/>
                <w:color w:val="auto"/>
                <w:vertAlign w:val="superscript"/>
              </w:rPr>
              <w:t>(6)</w:t>
            </w: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shd w:val="clear" w:color="auto" w:fill="F2F2F2"/>
          </w:tcPr>
          <w:p>
            <w:pPr>
              <w:jc w:val="right"/>
              <w:ind w:right="3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50,712,911</w:t>
            </w:r>
          </w:p>
        </w:tc>
        <w:tc>
          <w:tcPr>
            <w:tcW w:w="10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04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50,712,911</w:t>
            </w:r>
          </w:p>
        </w:tc>
        <w:tc>
          <w:tcPr>
            <w:tcW w:w="104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50,712,911 </w:t>
            </w:r>
          </w:p>
        </w:tc>
        <w:tc>
          <w:tcPr>
            <w:tcW w:w="0" w:type="dxa"/>
            <w:vAlign w:val="bottom"/>
          </w:tcPr>
          <w:p>
            <w:pPr>
              <w:spacing w:after="0"/>
              <w:rPr>
                <w:sz w:val="1"/>
                <w:szCs w:val="1"/>
                <w:color w:val="auto"/>
              </w:rPr>
            </w:pPr>
          </w:p>
        </w:tc>
      </w:tr>
      <w:tr>
        <w:trPr>
          <w:trHeight w:val="212"/>
        </w:trPr>
        <w:tc>
          <w:tcPr>
            <w:tcW w:w="4000" w:type="dxa"/>
            <w:vAlign w:val="bottom"/>
            <w:tcBorders>
              <w:bottom w:val="single" w:sz="8" w:color="376DB5"/>
            </w:tcBorders>
          </w:tcPr>
          <w:p>
            <w:pPr>
              <w:spacing w:after="0"/>
              <w:rPr>
                <w:sz w:val="20"/>
                <w:szCs w:val="20"/>
                <w:color w:val="auto"/>
              </w:rPr>
            </w:pPr>
            <w:r>
              <w:rPr>
                <w:rFonts w:ascii="Arial" w:cs="Arial" w:eastAsia="Arial" w:hAnsi="Arial"/>
                <w:sz w:val="14"/>
                <w:szCs w:val="14"/>
                <w:color w:val="auto"/>
              </w:rPr>
              <w:t>Total</w:t>
            </w:r>
          </w:p>
        </w:tc>
        <w:tc>
          <w:tcPr>
            <w:tcW w:w="100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376DB5"/>
            </w:tcBorders>
          </w:tcPr>
          <w:p>
            <w:pPr>
              <w:jc w:val="right"/>
              <w:ind w:right="68"/>
              <w:spacing w:after="0"/>
              <w:rPr>
                <w:sz w:val="20"/>
                <w:szCs w:val="20"/>
                <w:color w:val="auto"/>
              </w:rPr>
            </w:pPr>
            <w:r>
              <w:rPr>
                <w:rFonts w:ascii="Arial" w:cs="Arial" w:eastAsia="Arial" w:hAnsi="Arial"/>
                <w:sz w:val="14"/>
                <w:szCs w:val="14"/>
                <w:color w:val="auto"/>
              </w:rPr>
              <w:t>3,729,700</w:t>
            </w:r>
          </w:p>
        </w:tc>
        <w:tc>
          <w:tcPr>
            <w:tcW w:w="1020" w:type="dxa"/>
            <w:vAlign w:val="bottom"/>
            <w:tcBorders>
              <w:bottom w:val="single" w:sz="8" w:color="376DB5"/>
            </w:tcBorders>
          </w:tcPr>
          <w:p>
            <w:pPr>
              <w:jc w:val="right"/>
              <w:ind w:right="28"/>
              <w:spacing w:after="0"/>
              <w:rPr>
                <w:sz w:val="20"/>
                <w:szCs w:val="20"/>
                <w:color w:val="auto"/>
              </w:rPr>
            </w:pPr>
            <w:r>
              <w:rPr>
                <w:rFonts w:ascii="Arial" w:cs="Arial" w:eastAsia="Arial" w:hAnsi="Arial"/>
                <w:sz w:val="14"/>
                <w:szCs w:val="14"/>
                <w:color w:val="auto"/>
              </w:rPr>
              <w:t>162,780,990</w:t>
            </w:r>
          </w:p>
        </w:tc>
        <w:tc>
          <w:tcPr>
            <w:tcW w:w="104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376DB5"/>
            </w:tcBorders>
          </w:tcPr>
          <w:p>
            <w:pPr>
              <w:jc w:val="right"/>
              <w:ind w:right="48"/>
              <w:spacing w:after="0"/>
              <w:rPr>
                <w:sz w:val="20"/>
                <w:szCs w:val="20"/>
                <w:color w:val="auto"/>
              </w:rPr>
            </w:pPr>
            <w:r>
              <w:rPr>
                <w:rFonts w:ascii="Arial" w:cs="Arial" w:eastAsia="Arial" w:hAnsi="Arial"/>
                <w:sz w:val="14"/>
                <w:szCs w:val="14"/>
                <w:color w:val="auto"/>
              </w:rPr>
              <w:t>157,201,290</w:t>
            </w:r>
          </w:p>
        </w:tc>
        <w:tc>
          <w:tcPr>
            <w:tcW w:w="1040" w:type="dxa"/>
            <w:vAlign w:val="bottom"/>
            <w:tcBorders>
              <w:bottom w:val="single" w:sz="8" w:color="376DB5"/>
            </w:tcBorders>
          </w:tcPr>
          <w:p>
            <w:pPr>
              <w:jc w:val="right"/>
              <w:ind w:right="8"/>
              <w:spacing w:after="0"/>
              <w:rPr>
                <w:sz w:val="20"/>
                <w:szCs w:val="20"/>
                <w:color w:val="auto"/>
              </w:rPr>
            </w:pPr>
            <w:r>
              <w:rPr>
                <w:rFonts w:ascii="Arial" w:cs="Arial" w:eastAsia="Arial" w:hAnsi="Arial"/>
                <w:sz w:val="14"/>
                <w:szCs w:val="14"/>
                <w:color w:val="auto"/>
              </w:rPr>
              <w:t>157,201,290 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1226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50" w:lineRule="exact"/>
        <w:rPr>
          <w:sz w:val="20"/>
          <w:szCs w:val="20"/>
          <w:color w:val="auto"/>
        </w:rPr>
      </w:pPr>
    </w:p>
    <w:p>
      <w:pPr>
        <w:jc w:val="both"/>
        <w:ind w:left="540" w:hanging="424"/>
        <w:spacing w:after="0" w:line="221" w:lineRule="auto"/>
        <w:tabs>
          <w:tab w:leader="none" w:pos="54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Pursuant to Mr. Lansing’s Letter Agreement, he is entitled to a lump sum payment equal to two times the sum of his current base salary plus the annual incentive award last paid to him if his employment is terminated by the Company without cause or by him for good reason. Mr. Lansing’s Management Agreement provides for the same payments in the event his employment is terminated by the Company without cause or by Mr. Lansing for good reason within 60 days before or two years following a change in control, except that the lump sum payment is calculated as three times the sum of his base salary plus annual incentive award.</w:t>
      </w:r>
    </w:p>
    <w:p>
      <w:pPr>
        <w:spacing w:after="0" w:line="4" w:lineRule="exact"/>
        <w:rPr>
          <w:rFonts w:ascii="Arial" w:cs="Arial" w:eastAsia="Arial" w:hAnsi="Arial"/>
          <w:sz w:val="27"/>
          <w:szCs w:val="27"/>
          <w:color w:val="auto"/>
          <w:vertAlign w:val="superscript"/>
        </w:rPr>
      </w:pPr>
    </w:p>
    <w:p>
      <w:pPr>
        <w:jc w:val="both"/>
        <w:ind w:left="540" w:right="20" w:hanging="424"/>
        <w:spacing w:after="0" w:line="221" w:lineRule="auto"/>
        <w:tabs>
          <w:tab w:leader="none" w:pos="54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Pursuant to Mr. Lansing’s Letter Agreement, the Company is obligated to provide benefits to Mr. Lansing at existing levels for 18 months post-termination if his employment is terminated by the Company without cause or by Mr. Lansing for good reason. Mr. Lansing’s Management Agreement provides for the same benefits in the event his employment is terminated by the Company without cause or by Mr. Lansing for good reason within 60 days before or two years following a change in control. The amounts shown represent the total cost of COBRA premiums for continuing such benefits over the applicable time period.</w:t>
      </w:r>
    </w:p>
    <w:p>
      <w:pPr>
        <w:spacing w:after="0" w:line="4" w:lineRule="exact"/>
        <w:rPr>
          <w:rFonts w:ascii="Arial" w:cs="Arial" w:eastAsia="Arial" w:hAnsi="Arial"/>
          <w:sz w:val="27"/>
          <w:szCs w:val="27"/>
          <w:color w:val="auto"/>
          <w:vertAlign w:val="superscript"/>
        </w:rPr>
      </w:pPr>
    </w:p>
    <w:p>
      <w:pPr>
        <w:jc w:val="both"/>
        <w:ind w:left="540" w:hanging="424"/>
        <w:spacing w:after="0" w:line="218" w:lineRule="auto"/>
        <w:tabs>
          <w:tab w:leader="none" w:pos="54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The amounts shown represent the in-the-money value of unexercisable stock options that would immediately become exercisable upon the applicable triggering event, based on the Company’s closing stock price on September 30, 2025, of $1,496.53. Mr. Lansing’s Management Agreement provides for such acceleration upon a termination of employment in connection with a change in control, and the terms of the equity awards provide for such acceleration upon death or disability.</w:t>
      </w:r>
    </w:p>
    <w:p>
      <w:pPr>
        <w:spacing w:after="0" w:line="4" w:lineRule="exact"/>
        <w:rPr>
          <w:rFonts w:ascii="Arial" w:cs="Arial" w:eastAsia="Arial" w:hAnsi="Arial"/>
          <w:sz w:val="27"/>
          <w:szCs w:val="27"/>
          <w:color w:val="auto"/>
          <w:vertAlign w:val="superscript"/>
        </w:rPr>
      </w:pPr>
    </w:p>
    <w:p>
      <w:pPr>
        <w:jc w:val="both"/>
        <w:ind w:left="540" w:right="20" w:hanging="424"/>
        <w:spacing w:after="0" w:line="218" w:lineRule="auto"/>
        <w:tabs>
          <w:tab w:leader="none" w:pos="54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The amounts shown represent the RSUs that would immediately vest upon the applicable triggering event, based on the Company’s closing stock price on September 30, 2025, of $1,496.53. Mr. Lansing’s Management Agreement provides for such acceleration upon a termination of employment in connection with a change in control, and the terms of the equity awards provide for such acceleration upon death or disability.</w:t>
      </w:r>
    </w:p>
    <w:p>
      <w:pPr>
        <w:spacing w:after="0" w:line="112"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71</w:t>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jc w:val="both"/>
        <w:ind w:left="540" w:hanging="424"/>
        <w:spacing w:after="0" w:line="218" w:lineRule="auto"/>
        <w:tabs>
          <w:tab w:leader="none" w:pos="54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The amounts shown represent the earned PSUs that would immediately vest upon the applicable triggering event, based on the Company’s closing stock price on September 30, 2025, of $1,496.53. Mr. Lansing’s Management Agreement and the terms of the equity award provide for such acceleration upon a termination of employment in connection with a change in control, and the terms of the equity award provides for such acceleration upon death or disability.</w:t>
      </w:r>
    </w:p>
    <w:p>
      <w:pPr>
        <w:spacing w:after="0" w:line="4" w:lineRule="exact"/>
        <w:rPr>
          <w:rFonts w:ascii="Arial" w:cs="Arial" w:eastAsia="Arial" w:hAnsi="Arial"/>
          <w:sz w:val="27"/>
          <w:szCs w:val="27"/>
          <w:color w:val="auto"/>
          <w:vertAlign w:val="superscript"/>
        </w:rPr>
      </w:pPr>
    </w:p>
    <w:p>
      <w:pPr>
        <w:jc w:val="both"/>
        <w:ind w:left="540" w:hanging="424"/>
        <w:spacing w:after="0" w:line="221" w:lineRule="auto"/>
        <w:tabs>
          <w:tab w:leader="none" w:pos="54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The amounts shown represent the unearned MSUs that would immediately be earned and vest upon the applicable triggering event, based on the Company’s closing stock price on September 30, 2025, of $1,496.53 and a relative total shareholder return performance of 0% in the adjusted performance period. The terms of the equity award provide for such acceleration upon a termination of employment for reasons other than Cause in connection with a change in control, and the terms of the equity award provides for such acceleration upon death or disability.</w:t>
      </w:r>
    </w:p>
    <w:p>
      <w:pPr>
        <w:spacing w:after="0" w:line="4" w:lineRule="exact"/>
        <w:rPr>
          <w:rFonts w:ascii="Arial" w:cs="Arial" w:eastAsia="Arial" w:hAnsi="Arial"/>
          <w:sz w:val="27"/>
          <w:szCs w:val="27"/>
          <w:color w:val="auto"/>
          <w:vertAlign w:val="superscript"/>
        </w:rPr>
      </w:pPr>
    </w:p>
    <w:p>
      <w:pPr>
        <w:jc w:val="both"/>
        <w:ind w:left="540" w:right="20" w:hanging="424"/>
        <w:spacing w:after="0" w:line="213" w:lineRule="auto"/>
        <w:tabs>
          <w:tab w:leader="none" w:pos="54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Because Mr. Lansing is eligible for retirement pursuant to the terms of his equity award agreements, the earning and vesting of his equity awards generally would continue on the same schedule after his qualifying retirement, other than the special performance-based retention and leadership continuity MSU and stock option awards he received in June 2023.</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Steven Weber</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4260" w:type="dxa"/>
            <w:vAlign w:val="bottom"/>
            <w:tcBorders>
              <w:top w:val="single" w:sz="8" w:color="376DB5"/>
            </w:tcBorders>
          </w:tcPr>
          <w:p>
            <w:pPr>
              <w:spacing w:after="0"/>
              <w:rPr>
                <w:sz w:val="15"/>
                <w:szCs w:val="15"/>
                <w:color w:val="auto"/>
              </w:rPr>
            </w:pPr>
          </w:p>
        </w:tc>
        <w:tc>
          <w:tcPr>
            <w:tcW w:w="1020" w:type="dxa"/>
            <w:vAlign w:val="bottom"/>
            <w:tcBorders>
              <w:top w:val="single" w:sz="8" w:color="376DB5"/>
            </w:tcBorders>
          </w:tcPr>
          <w:p>
            <w:pPr>
              <w:spacing w:after="0"/>
              <w:rPr>
                <w:sz w:val="15"/>
                <w:szCs w:val="15"/>
                <w:color w:val="auto"/>
              </w:rPr>
            </w:pPr>
          </w:p>
        </w:tc>
        <w:tc>
          <w:tcPr>
            <w:tcW w:w="940" w:type="dxa"/>
            <w:vAlign w:val="bottom"/>
            <w:tcBorders>
              <w:top w:val="single" w:sz="8" w:color="376DB5"/>
            </w:tcBorders>
          </w:tcPr>
          <w:p>
            <w:pPr>
              <w:spacing w:after="0"/>
              <w:rPr>
                <w:sz w:val="15"/>
                <w:szCs w:val="15"/>
                <w:color w:val="auto"/>
              </w:rPr>
            </w:pPr>
          </w:p>
        </w:tc>
        <w:tc>
          <w:tcPr>
            <w:tcW w:w="960" w:type="dxa"/>
            <w:vAlign w:val="bottom"/>
            <w:tcBorders>
              <w:top w:val="single" w:sz="8" w:color="376DB5"/>
            </w:tcBorders>
          </w:tcPr>
          <w:p>
            <w:pPr>
              <w:spacing w:after="0"/>
              <w:rPr>
                <w:sz w:val="15"/>
                <w:szCs w:val="15"/>
                <w:color w:val="auto"/>
              </w:rPr>
            </w:pPr>
          </w:p>
        </w:tc>
        <w:tc>
          <w:tcPr>
            <w:tcW w:w="980" w:type="dxa"/>
            <w:vAlign w:val="bottom"/>
            <w:tcBorders>
              <w:top w:val="single" w:sz="8" w:color="376DB5"/>
            </w:tcBorders>
          </w:tcPr>
          <w:p>
            <w:pPr>
              <w:jc w:val="center"/>
              <w:spacing w:after="0"/>
              <w:rPr>
                <w:sz w:val="20"/>
                <w:szCs w:val="20"/>
                <w:color w:val="auto"/>
              </w:rPr>
            </w:pPr>
            <w:r>
              <w:rPr>
                <w:rFonts w:ascii="Arial" w:cs="Arial" w:eastAsia="Arial" w:hAnsi="Arial"/>
                <w:sz w:val="14"/>
                <w:szCs w:val="14"/>
                <w:color w:val="376DB5"/>
              </w:rPr>
              <w:t>Termination</w:t>
            </w:r>
          </w:p>
        </w:tc>
        <w:tc>
          <w:tcPr>
            <w:tcW w:w="920" w:type="dxa"/>
            <w:vAlign w:val="bottom"/>
            <w:tcBorders>
              <w:top w:val="single" w:sz="8" w:color="376DB5"/>
            </w:tcBorders>
          </w:tcPr>
          <w:p>
            <w:pPr>
              <w:spacing w:after="0"/>
              <w:rPr>
                <w:sz w:val="15"/>
                <w:szCs w:val="15"/>
                <w:color w:val="auto"/>
              </w:rPr>
            </w:pPr>
          </w:p>
        </w:tc>
        <w:tc>
          <w:tcPr>
            <w:tcW w:w="960" w:type="dxa"/>
            <w:vAlign w:val="bottom"/>
            <w:tcBorders>
              <w:top w:val="single" w:sz="8" w:color="376DB5"/>
            </w:tcBorders>
          </w:tcPr>
          <w:p>
            <w:pPr>
              <w:spacing w:after="0"/>
              <w:rPr>
                <w:sz w:val="15"/>
                <w:szCs w:val="15"/>
                <w:color w:val="auto"/>
              </w:rPr>
            </w:pPr>
          </w:p>
        </w:tc>
        <w:tc>
          <w:tcPr>
            <w:tcW w:w="980" w:type="dxa"/>
            <w:vAlign w:val="bottom"/>
            <w:tcBorders>
              <w:top w:val="single" w:sz="8" w:color="376DB5"/>
            </w:tcBorders>
          </w:tcPr>
          <w:p>
            <w:pPr>
              <w:spacing w:after="0"/>
              <w:rPr>
                <w:sz w:val="15"/>
                <w:szCs w:val="15"/>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376DB5"/>
              </w:rPr>
              <w:t>by Us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376DB5"/>
              </w:rPr>
              <w:t>Without</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376DB5"/>
              </w:rPr>
              <w:t>Cause in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376DB5"/>
              </w:rPr>
              <w:t>Connection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376DB5"/>
              </w:rPr>
              <w:t>with a</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376DB5"/>
              </w:rPr>
              <w:t>Change in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376DB5"/>
              </w:rPr>
              <w:t>Termination</w:t>
            </w:r>
          </w:p>
        </w:tc>
        <w:tc>
          <w:tcPr>
            <w:tcW w:w="980" w:type="dxa"/>
            <w:vAlign w:val="bottom"/>
          </w:tcPr>
          <w:p>
            <w:pPr>
              <w:jc w:val="center"/>
              <w:spacing w:after="0"/>
              <w:rPr>
                <w:sz w:val="20"/>
                <w:szCs w:val="20"/>
                <w:color w:val="auto"/>
              </w:rPr>
            </w:pPr>
            <w:r>
              <w:rPr>
                <w:rFonts w:ascii="Arial" w:cs="Arial" w:eastAsia="Arial" w:hAnsi="Arial"/>
                <w:sz w:val="14"/>
                <w:szCs w:val="14"/>
                <w:color w:val="376DB5"/>
              </w:rPr>
              <w:t>Control or</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376DB5"/>
              </w:rPr>
              <w:t>by Us</w:t>
            </w:r>
          </w:p>
        </w:tc>
        <w:tc>
          <w:tcPr>
            <w:tcW w:w="980" w:type="dxa"/>
            <w:vAlign w:val="bottom"/>
          </w:tcPr>
          <w:p>
            <w:pPr>
              <w:jc w:val="center"/>
              <w:spacing w:after="0"/>
              <w:rPr>
                <w:sz w:val="20"/>
                <w:szCs w:val="20"/>
                <w:color w:val="auto"/>
              </w:rPr>
            </w:pPr>
            <w:r>
              <w:rPr>
                <w:rFonts w:ascii="Arial" w:cs="Arial" w:eastAsia="Arial" w:hAnsi="Arial"/>
                <w:sz w:val="14"/>
                <w:szCs w:val="14"/>
                <w:color w:val="376DB5"/>
              </w:rPr>
              <w:t>by the NEO</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376DB5"/>
              </w:rPr>
              <w:t>Without</w:t>
            </w:r>
          </w:p>
        </w:tc>
        <w:tc>
          <w:tcPr>
            <w:tcW w:w="980" w:type="dxa"/>
            <w:vAlign w:val="bottom"/>
          </w:tcPr>
          <w:p>
            <w:pPr>
              <w:jc w:val="center"/>
              <w:spacing w:after="0"/>
              <w:rPr>
                <w:sz w:val="20"/>
                <w:szCs w:val="20"/>
                <w:color w:val="auto"/>
              </w:rPr>
            </w:pPr>
            <w:r>
              <w:rPr>
                <w:rFonts w:ascii="Arial" w:cs="Arial" w:eastAsia="Arial" w:hAnsi="Arial"/>
                <w:sz w:val="14"/>
                <w:szCs w:val="14"/>
                <w:color w:val="376DB5"/>
              </w:rPr>
              <w:t>with Good</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376DB5"/>
              </w:rPr>
              <w:t>Cause or</w:t>
            </w:r>
          </w:p>
        </w:tc>
        <w:tc>
          <w:tcPr>
            <w:tcW w:w="980" w:type="dxa"/>
            <w:vAlign w:val="bottom"/>
          </w:tcPr>
          <w:p>
            <w:pPr>
              <w:jc w:val="center"/>
              <w:spacing w:after="0"/>
              <w:rPr>
                <w:sz w:val="20"/>
                <w:szCs w:val="20"/>
                <w:color w:val="auto"/>
              </w:rPr>
            </w:pPr>
            <w:r>
              <w:rPr>
                <w:rFonts w:ascii="Arial" w:cs="Arial" w:eastAsia="Arial" w:hAnsi="Arial"/>
                <w:sz w:val="14"/>
                <w:szCs w:val="14"/>
                <w:color w:val="376DB5"/>
              </w:rPr>
              <w:t>Reason in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376DB5"/>
              </w:rPr>
              <w:t>by</w:t>
            </w:r>
          </w:p>
        </w:tc>
        <w:tc>
          <w:tcPr>
            <w:tcW w:w="980" w:type="dxa"/>
            <w:vAlign w:val="bottom"/>
          </w:tcPr>
          <w:p>
            <w:pPr>
              <w:jc w:val="center"/>
              <w:spacing w:after="0"/>
              <w:rPr>
                <w:sz w:val="20"/>
                <w:szCs w:val="20"/>
                <w:color w:val="auto"/>
              </w:rPr>
            </w:pPr>
            <w:r>
              <w:rPr>
                <w:rFonts w:ascii="Arial" w:cs="Arial" w:eastAsia="Arial" w:hAnsi="Arial"/>
                <w:sz w:val="14"/>
                <w:szCs w:val="14"/>
                <w:color w:val="376DB5"/>
              </w:rPr>
              <w:t>Connection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jc w:val="center"/>
              <w:ind w:left="28"/>
              <w:spacing w:after="0"/>
              <w:rPr>
                <w:sz w:val="20"/>
                <w:szCs w:val="20"/>
                <w:color w:val="auto"/>
              </w:rPr>
            </w:pPr>
            <w:r>
              <w:rPr>
                <w:rFonts w:ascii="Arial" w:cs="Arial" w:eastAsia="Arial" w:hAnsi="Arial"/>
                <w:sz w:val="14"/>
                <w:szCs w:val="14"/>
                <w:color w:val="376DB5"/>
              </w:rPr>
              <w:t>Voluntary</w:t>
            </w:r>
          </w:p>
        </w:tc>
        <w:tc>
          <w:tcPr>
            <w:tcW w:w="940" w:type="dxa"/>
            <w:vAlign w:val="bottom"/>
          </w:tcPr>
          <w:p>
            <w:pPr>
              <w:jc w:val="center"/>
              <w:spacing w:after="0"/>
              <w:rPr>
                <w:sz w:val="20"/>
                <w:szCs w:val="20"/>
                <w:color w:val="auto"/>
              </w:rPr>
            </w:pPr>
            <w:r>
              <w:rPr>
                <w:rFonts w:ascii="Arial" w:cs="Arial" w:eastAsia="Arial" w:hAnsi="Arial"/>
                <w:sz w:val="14"/>
                <w:szCs w:val="14"/>
                <w:color w:val="376DB5"/>
              </w:rPr>
              <w:t>Termination</w:t>
            </w:r>
          </w:p>
        </w:tc>
        <w:tc>
          <w:tcPr>
            <w:tcW w:w="960" w:type="dxa"/>
            <w:vAlign w:val="bottom"/>
          </w:tcPr>
          <w:p>
            <w:pPr>
              <w:jc w:val="center"/>
              <w:spacing w:after="0"/>
              <w:rPr>
                <w:sz w:val="20"/>
                <w:szCs w:val="20"/>
                <w:color w:val="auto"/>
              </w:rPr>
            </w:pPr>
            <w:r>
              <w:rPr>
                <w:rFonts w:ascii="Arial" w:cs="Arial" w:eastAsia="Arial" w:hAnsi="Arial"/>
                <w:sz w:val="14"/>
                <w:szCs w:val="14"/>
                <w:color w:val="376DB5"/>
              </w:rPr>
              <w:t>NEO with</w:t>
            </w:r>
          </w:p>
        </w:tc>
        <w:tc>
          <w:tcPr>
            <w:tcW w:w="980" w:type="dxa"/>
            <w:vAlign w:val="bottom"/>
          </w:tcPr>
          <w:p>
            <w:pPr>
              <w:jc w:val="center"/>
              <w:spacing w:after="0"/>
              <w:rPr>
                <w:sz w:val="20"/>
                <w:szCs w:val="20"/>
                <w:color w:val="auto"/>
              </w:rPr>
            </w:pPr>
            <w:r>
              <w:rPr>
                <w:rFonts w:ascii="Arial" w:cs="Arial" w:eastAsia="Arial" w:hAnsi="Arial"/>
                <w:sz w:val="14"/>
                <w:szCs w:val="14"/>
                <w:color w:val="376DB5"/>
              </w:rPr>
              <w:t>with a</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jc w:val="center"/>
              <w:ind w:left="8"/>
              <w:spacing w:after="0"/>
              <w:rPr>
                <w:sz w:val="20"/>
                <w:szCs w:val="20"/>
                <w:color w:val="auto"/>
              </w:rPr>
            </w:pPr>
            <w:r>
              <w:rPr>
                <w:rFonts w:ascii="Arial" w:cs="Arial" w:eastAsia="Arial" w:hAnsi="Arial"/>
                <w:sz w:val="14"/>
                <w:szCs w:val="14"/>
                <w:color w:val="376DB5"/>
              </w:rPr>
              <w:t>Termination</w:t>
            </w:r>
          </w:p>
        </w:tc>
        <w:tc>
          <w:tcPr>
            <w:tcW w:w="940" w:type="dxa"/>
            <w:vAlign w:val="bottom"/>
          </w:tcPr>
          <w:p>
            <w:pPr>
              <w:jc w:val="center"/>
              <w:spacing w:after="0"/>
              <w:rPr>
                <w:sz w:val="20"/>
                <w:szCs w:val="20"/>
                <w:color w:val="auto"/>
              </w:rPr>
            </w:pPr>
            <w:r>
              <w:rPr>
                <w:rFonts w:ascii="Arial" w:cs="Arial" w:eastAsia="Arial" w:hAnsi="Arial"/>
                <w:sz w:val="14"/>
                <w:szCs w:val="14"/>
                <w:color w:val="376DB5"/>
              </w:rPr>
              <w:t>by Us For</w:t>
            </w:r>
          </w:p>
        </w:tc>
        <w:tc>
          <w:tcPr>
            <w:tcW w:w="960" w:type="dxa"/>
            <w:vAlign w:val="bottom"/>
          </w:tcPr>
          <w:p>
            <w:pPr>
              <w:jc w:val="center"/>
              <w:spacing w:after="0"/>
              <w:rPr>
                <w:sz w:val="20"/>
                <w:szCs w:val="20"/>
                <w:color w:val="auto"/>
              </w:rPr>
            </w:pPr>
            <w:r>
              <w:rPr>
                <w:rFonts w:ascii="Arial" w:cs="Arial" w:eastAsia="Arial" w:hAnsi="Arial"/>
                <w:sz w:val="14"/>
                <w:szCs w:val="14"/>
                <w:color w:val="376DB5"/>
              </w:rPr>
              <w:t>Good</w:t>
            </w:r>
          </w:p>
        </w:tc>
        <w:tc>
          <w:tcPr>
            <w:tcW w:w="980" w:type="dxa"/>
            <w:vAlign w:val="bottom"/>
          </w:tcPr>
          <w:p>
            <w:pPr>
              <w:jc w:val="center"/>
              <w:spacing w:after="0"/>
              <w:rPr>
                <w:sz w:val="20"/>
                <w:szCs w:val="20"/>
                <w:color w:val="auto"/>
              </w:rPr>
            </w:pPr>
            <w:r>
              <w:rPr>
                <w:rFonts w:ascii="Arial" w:cs="Arial" w:eastAsia="Arial" w:hAnsi="Arial"/>
                <w:sz w:val="14"/>
                <w:szCs w:val="14"/>
                <w:color w:val="376DB5"/>
              </w:rPr>
              <w:t>Change in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jc w:val="center"/>
              <w:ind w:left="8"/>
              <w:spacing w:after="0"/>
              <w:rPr>
                <w:sz w:val="20"/>
                <w:szCs w:val="20"/>
                <w:color w:val="auto"/>
              </w:rPr>
            </w:pPr>
            <w:r>
              <w:rPr>
                <w:rFonts w:ascii="Arial" w:cs="Arial" w:eastAsia="Arial" w:hAnsi="Arial"/>
                <w:sz w:val="14"/>
                <w:szCs w:val="14"/>
                <w:color w:val="376DB5"/>
              </w:rPr>
              <w:t>by NEO</w:t>
            </w:r>
          </w:p>
        </w:tc>
        <w:tc>
          <w:tcPr>
            <w:tcW w:w="940" w:type="dxa"/>
            <w:vAlign w:val="bottom"/>
          </w:tcPr>
          <w:p>
            <w:pPr>
              <w:jc w:val="center"/>
              <w:spacing w:after="0"/>
              <w:rPr>
                <w:sz w:val="20"/>
                <w:szCs w:val="20"/>
                <w:color w:val="auto"/>
              </w:rPr>
            </w:pPr>
            <w:r>
              <w:rPr>
                <w:rFonts w:ascii="Arial" w:cs="Arial" w:eastAsia="Arial" w:hAnsi="Arial"/>
                <w:sz w:val="14"/>
                <w:szCs w:val="14"/>
                <w:color w:val="376DB5"/>
              </w:rPr>
              <w:t>Cause</w:t>
            </w:r>
          </w:p>
        </w:tc>
        <w:tc>
          <w:tcPr>
            <w:tcW w:w="960" w:type="dxa"/>
            <w:vAlign w:val="bottom"/>
          </w:tcPr>
          <w:p>
            <w:pPr>
              <w:jc w:val="center"/>
              <w:spacing w:after="0"/>
              <w:rPr>
                <w:sz w:val="20"/>
                <w:szCs w:val="20"/>
                <w:color w:val="auto"/>
              </w:rPr>
            </w:pPr>
            <w:r>
              <w:rPr>
                <w:rFonts w:ascii="Arial" w:cs="Arial" w:eastAsia="Arial" w:hAnsi="Arial"/>
                <w:sz w:val="14"/>
                <w:szCs w:val="14"/>
                <w:color w:val="376DB5"/>
                <w:w w:val="99"/>
              </w:rPr>
              <w:t>Reason</w:t>
            </w:r>
          </w:p>
        </w:tc>
        <w:tc>
          <w:tcPr>
            <w:tcW w:w="980" w:type="dxa"/>
            <w:vAlign w:val="bottom"/>
          </w:tcPr>
          <w:p>
            <w:pPr>
              <w:jc w:val="center"/>
              <w:spacing w:after="0"/>
              <w:rPr>
                <w:sz w:val="20"/>
                <w:szCs w:val="20"/>
                <w:color w:val="auto"/>
              </w:rPr>
            </w:pPr>
            <w:r>
              <w:rPr>
                <w:rFonts w:ascii="Arial" w:cs="Arial" w:eastAsia="Arial" w:hAnsi="Arial"/>
                <w:sz w:val="14"/>
                <w:szCs w:val="14"/>
                <w:color w:val="376DB5"/>
              </w:rPr>
              <w:t>Control</w:t>
            </w:r>
          </w:p>
        </w:tc>
        <w:tc>
          <w:tcPr>
            <w:tcW w:w="920" w:type="dxa"/>
            <w:vAlign w:val="bottom"/>
          </w:tcPr>
          <w:p>
            <w:pPr>
              <w:ind w:left="100"/>
              <w:spacing w:after="0"/>
              <w:rPr>
                <w:sz w:val="20"/>
                <w:szCs w:val="20"/>
                <w:color w:val="auto"/>
              </w:rPr>
            </w:pPr>
            <w:r>
              <w:rPr>
                <w:rFonts w:ascii="Arial" w:cs="Arial" w:eastAsia="Arial" w:hAnsi="Arial"/>
                <w:sz w:val="14"/>
                <w:szCs w:val="14"/>
                <w:color w:val="376DB5"/>
              </w:rPr>
              <w:t>Retirement</w:t>
            </w:r>
          </w:p>
        </w:tc>
        <w:tc>
          <w:tcPr>
            <w:tcW w:w="960" w:type="dxa"/>
            <w:vAlign w:val="bottom"/>
          </w:tcPr>
          <w:p>
            <w:pPr>
              <w:jc w:val="right"/>
              <w:ind w:right="148"/>
              <w:spacing w:after="0"/>
              <w:rPr>
                <w:sz w:val="20"/>
                <w:szCs w:val="20"/>
                <w:color w:val="auto"/>
              </w:rPr>
            </w:pPr>
            <w:r>
              <w:rPr>
                <w:rFonts w:ascii="Arial" w:cs="Arial" w:eastAsia="Arial" w:hAnsi="Arial"/>
                <w:sz w:val="14"/>
                <w:szCs w:val="14"/>
                <w:color w:val="376DB5"/>
              </w:rPr>
              <w:t>Disability</w:t>
            </w:r>
          </w:p>
        </w:tc>
        <w:tc>
          <w:tcPr>
            <w:tcW w:w="980" w:type="dxa"/>
            <w:vAlign w:val="bottom"/>
          </w:tcPr>
          <w:p>
            <w:pPr>
              <w:jc w:val="right"/>
              <w:ind w:right="208"/>
              <w:spacing w:after="0"/>
              <w:rPr>
                <w:sz w:val="20"/>
                <w:szCs w:val="20"/>
                <w:color w:val="auto"/>
              </w:rPr>
            </w:pPr>
            <w:r>
              <w:rPr>
                <w:rFonts w:ascii="Arial" w:cs="Arial" w:eastAsia="Arial" w:hAnsi="Arial"/>
                <w:sz w:val="14"/>
                <w:szCs w:val="14"/>
                <w:color w:val="376DB5"/>
              </w:rPr>
              <w:t>Death</w:t>
            </w:r>
          </w:p>
        </w:tc>
      </w:tr>
      <w:tr>
        <w:trPr>
          <w:trHeight w:val="194"/>
        </w:trPr>
        <w:tc>
          <w:tcPr>
            <w:tcW w:w="4260" w:type="dxa"/>
            <w:vAlign w:val="bottom"/>
            <w:tcBorders>
              <w:bottom w:val="single" w:sz="8" w:color="376DB5"/>
            </w:tcBorders>
          </w:tcPr>
          <w:p>
            <w:pPr>
              <w:spacing w:after="0"/>
              <w:rPr>
                <w:sz w:val="20"/>
                <w:szCs w:val="20"/>
                <w:color w:val="auto"/>
              </w:rPr>
            </w:pPr>
            <w:r>
              <w:rPr>
                <w:rFonts w:ascii="Arial" w:cs="Arial" w:eastAsia="Arial" w:hAnsi="Arial"/>
                <w:sz w:val="14"/>
                <w:szCs w:val="14"/>
                <w:color w:val="376DB5"/>
              </w:rPr>
              <w:t>Payment or Benefit</w:t>
            </w:r>
          </w:p>
        </w:tc>
        <w:tc>
          <w:tcPr>
            <w:tcW w:w="1020" w:type="dxa"/>
            <w:vAlign w:val="bottom"/>
            <w:tcBorders>
              <w:bottom w:val="single" w:sz="8" w:color="376DB5"/>
            </w:tcBorders>
          </w:tcPr>
          <w:p>
            <w:pPr>
              <w:jc w:val="center"/>
              <w:ind w:left="8"/>
              <w:spacing w:after="0"/>
              <w:rPr>
                <w:sz w:val="20"/>
                <w:szCs w:val="20"/>
                <w:color w:val="auto"/>
              </w:rPr>
            </w:pPr>
            <w:r>
              <w:rPr>
                <w:rFonts w:ascii="Arial" w:cs="Arial" w:eastAsia="Arial" w:hAnsi="Arial"/>
                <w:sz w:val="14"/>
                <w:szCs w:val="14"/>
                <w:color w:val="376DB5"/>
              </w:rPr>
              <w:t>($)</w:t>
            </w:r>
          </w:p>
        </w:tc>
        <w:tc>
          <w:tcPr>
            <w:tcW w:w="94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376DB5"/>
              </w:rPr>
              <w:t>($)</w:t>
            </w:r>
          </w:p>
        </w:tc>
        <w:tc>
          <w:tcPr>
            <w:tcW w:w="96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376DB5"/>
                <w:w w:val="93"/>
              </w:rPr>
              <w:t>($)</w:t>
            </w:r>
          </w:p>
        </w:tc>
        <w:tc>
          <w:tcPr>
            <w:tcW w:w="980" w:type="dxa"/>
            <w:vAlign w:val="bottom"/>
            <w:tcBorders>
              <w:bottom w:val="single" w:sz="8" w:color="376DB5"/>
            </w:tcBorders>
          </w:tcPr>
          <w:p>
            <w:pPr>
              <w:jc w:val="right"/>
              <w:ind w:right="348"/>
              <w:spacing w:after="0"/>
              <w:rPr>
                <w:sz w:val="20"/>
                <w:szCs w:val="20"/>
                <w:color w:val="auto"/>
              </w:rPr>
            </w:pPr>
            <w:r>
              <w:rPr>
                <w:rFonts w:ascii="Arial" w:cs="Arial" w:eastAsia="Arial" w:hAnsi="Arial"/>
                <w:sz w:val="14"/>
                <w:szCs w:val="14"/>
                <w:color w:val="376DB5"/>
              </w:rPr>
              <w:t>($)</w:t>
            </w:r>
          </w:p>
        </w:tc>
        <w:tc>
          <w:tcPr>
            <w:tcW w:w="92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376DB5"/>
              </w:rPr>
              <w:t>($)</w:t>
            </w:r>
          </w:p>
        </w:tc>
        <w:tc>
          <w:tcPr>
            <w:tcW w:w="960" w:type="dxa"/>
            <w:vAlign w:val="bottom"/>
            <w:tcBorders>
              <w:bottom w:val="single" w:sz="8" w:color="376DB5"/>
            </w:tcBorders>
          </w:tcPr>
          <w:p>
            <w:pPr>
              <w:jc w:val="right"/>
              <w:ind w:right="348"/>
              <w:spacing w:after="0"/>
              <w:rPr>
                <w:sz w:val="20"/>
                <w:szCs w:val="20"/>
                <w:color w:val="auto"/>
              </w:rPr>
            </w:pPr>
            <w:r>
              <w:rPr>
                <w:rFonts w:ascii="Arial" w:cs="Arial" w:eastAsia="Arial" w:hAnsi="Arial"/>
                <w:sz w:val="14"/>
                <w:szCs w:val="14"/>
                <w:color w:val="376DB5"/>
              </w:rPr>
              <w:t>($)</w:t>
            </w:r>
          </w:p>
        </w:tc>
        <w:tc>
          <w:tcPr>
            <w:tcW w:w="980" w:type="dxa"/>
            <w:vAlign w:val="bottom"/>
            <w:tcBorders>
              <w:bottom w:val="single" w:sz="8" w:color="376DB5"/>
            </w:tcBorders>
          </w:tcPr>
          <w:p>
            <w:pPr>
              <w:jc w:val="right"/>
              <w:ind w:right="308"/>
              <w:spacing w:after="0"/>
              <w:rPr>
                <w:sz w:val="20"/>
                <w:szCs w:val="20"/>
                <w:color w:val="auto"/>
              </w:rPr>
            </w:pPr>
            <w:r>
              <w:rPr>
                <w:rFonts w:ascii="Arial" w:cs="Arial" w:eastAsia="Arial" w:hAnsi="Arial"/>
                <w:sz w:val="14"/>
                <w:szCs w:val="14"/>
                <w:color w:val="376DB5"/>
              </w:rPr>
              <w:t>($)</w:t>
            </w:r>
          </w:p>
        </w:tc>
      </w:tr>
      <w:tr>
        <w:trPr>
          <w:trHeight w:val="200"/>
        </w:trPr>
        <w:tc>
          <w:tcPr>
            <w:tcW w:w="4260" w:type="dxa"/>
            <w:vAlign w:val="bottom"/>
          </w:tcPr>
          <w:p>
            <w:pPr>
              <w:spacing w:after="0" w:line="200" w:lineRule="exact"/>
              <w:rPr>
                <w:sz w:val="20"/>
                <w:szCs w:val="20"/>
                <w:color w:val="auto"/>
              </w:rPr>
            </w:pPr>
            <w:r>
              <w:rPr>
                <w:rFonts w:ascii="Arial" w:cs="Arial" w:eastAsia="Arial" w:hAnsi="Arial"/>
                <w:sz w:val="14"/>
                <w:szCs w:val="14"/>
                <w:color w:val="auto"/>
              </w:rPr>
              <w:t>Value of Cash Severance</w:t>
            </w:r>
            <w:r>
              <w:rPr>
                <w:rFonts w:ascii="Arial" w:cs="Arial" w:eastAsia="Arial" w:hAnsi="Arial"/>
                <w:sz w:val="21"/>
                <w:szCs w:val="21"/>
                <w:color w:val="auto"/>
                <w:vertAlign w:val="superscript"/>
              </w:rPr>
              <w:t>(1)</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650,000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650,000</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w:t>
            </w:r>
          </w:p>
        </w:tc>
      </w:tr>
      <w:tr>
        <w:trPr>
          <w:trHeight w:val="216"/>
        </w:trPr>
        <w:tc>
          <w:tcPr>
            <w:tcW w:w="4260" w:type="dxa"/>
            <w:vAlign w:val="bottom"/>
            <w:shd w:val="clear" w:color="auto" w:fill="F2F2F2"/>
          </w:tcPr>
          <w:p>
            <w:pPr>
              <w:spacing w:after="0" w:line="216" w:lineRule="exact"/>
              <w:rPr>
                <w:sz w:val="20"/>
                <w:szCs w:val="20"/>
                <w:color w:val="auto"/>
              </w:rPr>
            </w:pPr>
            <w:r>
              <w:rPr>
                <w:rFonts w:ascii="Arial" w:cs="Arial" w:eastAsia="Arial" w:hAnsi="Arial"/>
                <w:sz w:val="14"/>
                <w:szCs w:val="14"/>
                <w:color w:val="auto"/>
              </w:rPr>
              <w:t>Value of Benefits</w:t>
            </w:r>
            <w:r>
              <w:rPr>
                <w:rFonts w:ascii="Arial" w:cs="Arial" w:eastAsia="Arial" w:hAnsi="Arial"/>
                <w:sz w:val="21"/>
                <w:szCs w:val="21"/>
                <w:color w:val="auto"/>
                <w:vertAlign w:val="superscript"/>
              </w:rPr>
              <w:t>(2)</w:t>
            </w:r>
          </w:p>
        </w:tc>
        <w:tc>
          <w:tcPr>
            <w:tcW w:w="1020" w:type="dxa"/>
            <w:vAlign w:val="bottom"/>
            <w:shd w:val="clear" w:color="auto" w:fill="F2F2F2"/>
          </w:tcPr>
          <w:p>
            <w:pPr>
              <w:jc w:val="center"/>
              <w:ind w:left="8"/>
              <w:spacing w:after="0"/>
              <w:rPr>
                <w:sz w:val="20"/>
                <w:szCs w:val="20"/>
                <w:color w:val="auto"/>
              </w:rPr>
            </w:pPr>
            <w:r>
              <w:rPr>
                <w:rFonts w:ascii="Arial" w:cs="Arial" w:eastAsia="Arial" w:hAnsi="Arial"/>
                <w:sz w:val="14"/>
                <w:szCs w:val="14"/>
                <w:color w:val="auto"/>
                <w:w w:val="99"/>
              </w:rPr>
              <w:t>—</w:t>
            </w:r>
          </w:p>
        </w:tc>
        <w:tc>
          <w:tcPr>
            <w:tcW w:w="9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25,764</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25,764</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F2F2F2"/>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shd w:val="clear" w:color="auto" w:fill="F2F2F2"/>
          </w:tcPr>
          <w:p>
            <w:pPr>
              <w:jc w:val="right"/>
              <w:ind w:right="308"/>
              <w:spacing w:after="0"/>
              <w:rPr>
                <w:sz w:val="20"/>
                <w:szCs w:val="20"/>
                <w:color w:val="auto"/>
              </w:rPr>
            </w:pPr>
            <w:r>
              <w:rPr>
                <w:rFonts w:ascii="Arial" w:cs="Arial" w:eastAsia="Arial" w:hAnsi="Arial"/>
                <w:sz w:val="14"/>
                <w:szCs w:val="14"/>
                <w:color w:val="auto"/>
              </w:rPr>
              <w:t>—</w:t>
            </w:r>
          </w:p>
        </w:tc>
      </w:tr>
      <w:tr>
        <w:trPr>
          <w:trHeight w:val="216"/>
        </w:trPr>
        <w:tc>
          <w:tcPr>
            <w:tcW w:w="4260" w:type="dxa"/>
            <w:vAlign w:val="bottom"/>
          </w:tcPr>
          <w:p>
            <w:pPr>
              <w:spacing w:after="0" w:line="216" w:lineRule="exact"/>
              <w:rPr>
                <w:sz w:val="20"/>
                <w:szCs w:val="20"/>
                <w:color w:val="auto"/>
              </w:rPr>
            </w:pPr>
            <w:r>
              <w:rPr>
                <w:rFonts w:ascii="Arial" w:cs="Arial" w:eastAsia="Arial" w:hAnsi="Arial"/>
                <w:sz w:val="14"/>
                <w:szCs w:val="14"/>
                <w:color w:val="auto"/>
              </w:rPr>
              <w:t>Market Value of Accelerated Stock Option Awards</w:t>
            </w:r>
            <w:r>
              <w:rPr>
                <w:rFonts w:ascii="Arial" w:cs="Arial" w:eastAsia="Arial" w:hAnsi="Arial"/>
                <w:sz w:val="21"/>
                <w:szCs w:val="21"/>
                <w:color w:val="auto"/>
                <w:vertAlign w:val="superscript"/>
              </w:rPr>
              <w:t>(3)</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w:t>
            </w:r>
          </w:p>
        </w:tc>
      </w:tr>
      <w:tr>
        <w:trPr>
          <w:trHeight w:val="216"/>
        </w:trPr>
        <w:tc>
          <w:tcPr>
            <w:tcW w:w="4260" w:type="dxa"/>
            <w:vAlign w:val="bottom"/>
            <w:shd w:val="clear" w:color="auto" w:fill="F2F2F2"/>
          </w:tcPr>
          <w:p>
            <w:pPr>
              <w:spacing w:after="0" w:line="216" w:lineRule="exact"/>
              <w:rPr>
                <w:sz w:val="20"/>
                <w:szCs w:val="20"/>
                <w:color w:val="auto"/>
              </w:rPr>
            </w:pPr>
            <w:r>
              <w:rPr>
                <w:rFonts w:ascii="Arial" w:cs="Arial" w:eastAsia="Arial" w:hAnsi="Arial"/>
                <w:sz w:val="14"/>
                <w:szCs w:val="14"/>
                <w:color w:val="auto"/>
              </w:rPr>
              <w:t>Market Value of Accelerated RSU Awards</w:t>
            </w:r>
            <w:r>
              <w:rPr>
                <w:rFonts w:ascii="Arial" w:cs="Arial" w:eastAsia="Arial" w:hAnsi="Arial"/>
                <w:sz w:val="21"/>
                <w:szCs w:val="21"/>
                <w:color w:val="auto"/>
                <w:vertAlign w:val="superscript"/>
              </w:rPr>
              <w:t>(4)</w:t>
            </w:r>
          </w:p>
        </w:tc>
        <w:tc>
          <w:tcPr>
            <w:tcW w:w="1020" w:type="dxa"/>
            <w:vAlign w:val="bottom"/>
            <w:shd w:val="clear" w:color="auto" w:fill="F2F2F2"/>
          </w:tcPr>
          <w:p>
            <w:pPr>
              <w:jc w:val="center"/>
              <w:ind w:left="8"/>
              <w:spacing w:after="0"/>
              <w:rPr>
                <w:sz w:val="20"/>
                <w:szCs w:val="20"/>
                <w:color w:val="auto"/>
              </w:rPr>
            </w:pPr>
            <w:r>
              <w:rPr>
                <w:rFonts w:ascii="Arial" w:cs="Arial" w:eastAsia="Arial" w:hAnsi="Arial"/>
                <w:sz w:val="14"/>
                <w:szCs w:val="14"/>
                <w:color w:val="auto"/>
                <w:w w:val="99"/>
              </w:rPr>
              <w:t>—</w:t>
            </w:r>
          </w:p>
        </w:tc>
        <w:tc>
          <w:tcPr>
            <w:tcW w:w="9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F2F2F2"/>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8,646,950</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8,646,950</w:t>
            </w:r>
          </w:p>
        </w:tc>
        <w:tc>
          <w:tcPr>
            <w:tcW w:w="9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8,646,950 </w:t>
            </w:r>
          </w:p>
        </w:tc>
      </w:tr>
      <w:tr>
        <w:trPr>
          <w:trHeight w:val="216"/>
        </w:trPr>
        <w:tc>
          <w:tcPr>
            <w:tcW w:w="4260" w:type="dxa"/>
            <w:vAlign w:val="bottom"/>
          </w:tcPr>
          <w:p>
            <w:pPr>
              <w:spacing w:after="0" w:line="216" w:lineRule="exact"/>
              <w:rPr>
                <w:sz w:val="20"/>
                <w:szCs w:val="20"/>
                <w:color w:val="auto"/>
              </w:rPr>
            </w:pPr>
            <w:r>
              <w:rPr>
                <w:rFonts w:ascii="Arial" w:cs="Arial" w:eastAsia="Arial" w:hAnsi="Arial"/>
                <w:sz w:val="14"/>
                <w:szCs w:val="14"/>
                <w:color w:val="auto"/>
              </w:rPr>
              <w:t>Market Value of Accelerated PSU Awards</w:t>
            </w:r>
            <w:r>
              <w:rPr>
                <w:rFonts w:ascii="Arial" w:cs="Arial" w:eastAsia="Arial" w:hAnsi="Arial"/>
                <w:sz w:val="21"/>
                <w:szCs w:val="21"/>
                <w:color w:val="auto"/>
                <w:vertAlign w:val="superscript"/>
              </w:rPr>
              <w:t>(5)</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5,221,394</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5,221,394</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5,221,394 </w:t>
            </w:r>
          </w:p>
        </w:tc>
      </w:tr>
      <w:tr>
        <w:trPr>
          <w:trHeight w:val="216"/>
        </w:trPr>
        <w:tc>
          <w:tcPr>
            <w:tcW w:w="4260" w:type="dxa"/>
            <w:vAlign w:val="bottom"/>
            <w:shd w:val="clear" w:color="auto" w:fill="F2F2F2"/>
          </w:tcPr>
          <w:p>
            <w:pPr>
              <w:spacing w:after="0" w:line="216" w:lineRule="exact"/>
              <w:rPr>
                <w:sz w:val="20"/>
                <w:szCs w:val="20"/>
                <w:color w:val="auto"/>
              </w:rPr>
            </w:pPr>
            <w:r>
              <w:rPr>
                <w:rFonts w:ascii="Arial" w:cs="Arial" w:eastAsia="Arial" w:hAnsi="Arial"/>
                <w:sz w:val="14"/>
                <w:szCs w:val="14"/>
                <w:color w:val="auto"/>
              </w:rPr>
              <w:t>Market Value of Accelerated MSU Awards</w:t>
            </w:r>
            <w:r>
              <w:rPr>
                <w:rFonts w:ascii="Arial" w:cs="Arial" w:eastAsia="Arial" w:hAnsi="Arial"/>
                <w:sz w:val="21"/>
                <w:szCs w:val="21"/>
                <w:color w:val="auto"/>
                <w:vertAlign w:val="superscript"/>
              </w:rPr>
              <w:t>(6)</w:t>
            </w:r>
          </w:p>
        </w:tc>
        <w:tc>
          <w:tcPr>
            <w:tcW w:w="1020" w:type="dxa"/>
            <w:vAlign w:val="bottom"/>
            <w:shd w:val="clear" w:color="auto" w:fill="F2F2F2"/>
          </w:tcPr>
          <w:p>
            <w:pPr>
              <w:jc w:val="center"/>
              <w:ind w:left="8"/>
              <w:spacing w:after="0"/>
              <w:rPr>
                <w:sz w:val="20"/>
                <w:szCs w:val="20"/>
                <w:color w:val="auto"/>
              </w:rPr>
            </w:pPr>
            <w:r>
              <w:rPr>
                <w:rFonts w:ascii="Arial" w:cs="Arial" w:eastAsia="Arial" w:hAnsi="Arial"/>
                <w:sz w:val="14"/>
                <w:szCs w:val="14"/>
                <w:color w:val="auto"/>
                <w:w w:val="99"/>
              </w:rPr>
              <w:t>—</w:t>
            </w:r>
          </w:p>
        </w:tc>
        <w:tc>
          <w:tcPr>
            <w:tcW w:w="9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F2F2F2"/>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2,916,737</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2,916,737</w:t>
            </w:r>
          </w:p>
        </w:tc>
        <w:tc>
          <w:tcPr>
            <w:tcW w:w="9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2,916,737 </w:t>
            </w:r>
          </w:p>
        </w:tc>
      </w:tr>
      <w:tr>
        <w:trPr>
          <w:trHeight w:val="212"/>
        </w:trPr>
        <w:tc>
          <w:tcPr>
            <w:tcW w:w="4260" w:type="dxa"/>
            <w:vAlign w:val="bottom"/>
            <w:tcBorders>
              <w:bottom w:val="single" w:sz="8" w:color="376DB5"/>
            </w:tcBorders>
          </w:tcPr>
          <w:p>
            <w:pPr>
              <w:spacing w:after="0"/>
              <w:rPr>
                <w:sz w:val="20"/>
                <w:szCs w:val="20"/>
                <w:color w:val="auto"/>
              </w:rPr>
            </w:pPr>
            <w:r>
              <w:rPr>
                <w:rFonts w:ascii="Arial" w:cs="Arial" w:eastAsia="Arial" w:hAnsi="Arial"/>
                <w:sz w:val="14"/>
                <w:szCs w:val="14"/>
                <w:color w:val="auto"/>
              </w:rPr>
              <w:t>Total</w:t>
            </w:r>
          </w:p>
        </w:tc>
        <w:tc>
          <w:tcPr>
            <w:tcW w:w="1020" w:type="dxa"/>
            <w:vAlign w:val="bottom"/>
            <w:tcBorders>
              <w:bottom w:val="single" w:sz="8" w:color="376DB5"/>
            </w:tcBorders>
          </w:tcPr>
          <w:p>
            <w:pPr>
              <w:jc w:val="center"/>
              <w:ind w:left="8"/>
              <w:spacing w:after="0"/>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376DB5"/>
            </w:tcBorders>
          </w:tcPr>
          <w:p>
            <w:pPr>
              <w:jc w:val="right"/>
              <w:ind w:right="48"/>
              <w:spacing w:after="0"/>
              <w:rPr>
                <w:sz w:val="20"/>
                <w:szCs w:val="20"/>
                <w:color w:val="auto"/>
              </w:rPr>
            </w:pPr>
            <w:r>
              <w:rPr>
                <w:rFonts w:ascii="Arial" w:cs="Arial" w:eastAsia="Arial" w:hAnsi="Arial"/>
                <w:sz w:val="14"/>
                <w:szCs w:val="14"/>
                <w:color w:val="auto"/>
              </w:rPr>
              <w:t>675,764</w:t>
            </w:r>
          </w:p>
        </w:tc>
        <w:tc>
          <w:tcPr>
            <w:tcW w:w="980" w:type="dxa"/>
            <w:vAlign w:val="bottom"/>
            <w:tcBorders>
              <w:bottom w:val="single" w:sz="8" w:color="376DB5"/>
            </w:tcBorders>
          </w:tcPr>
          <w:p>
            <w:pPr>
              <w:jc w:val="right"/>
              <w:ind w:right="48"/>
              <w:spacing w:after="0"/>
              <w:rPr>
                <w:sz w:val="20"/>
                <w:szCs w:val="20"/>
                <w:color w:val="auto"/>
              </w:rPr>
            </w:pPr>
            <w:r>
              <w:rPr>
                <w:rFonts w:ascii="Arial" w:cs="Arial" w:eastAsia="Arial" w:hAnsi="Arial"/>
                <w:sz w:val="14"/>
                <w:szCs w:val="14"/>
                <w:color w:val="auto"/>
              </w:rPr>
              <w:t>17,460,845</w:t>
            </w:r>
          </w:p>
        </w:tc>
        <w:tc>
          <w:tcPr>
            <w:tcW w:w="92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376DB5"/>
            </w:tcBorders>
          </w:tcPr>
          <w:p>
            <w:pPr>
              <w:jc w:val="right"/>
              <w:ind w:right="48"/>
              <w:spacing w:after="0"/>
              <w:rPr>
                <w:sz w:val="20"/>
                <w:szCs w:val="20"/>
                <w:color w:val="auto"/>
              </w:rPr>
            </w:pPr>
            <w:r>
              <w:rPr>
                <w:rFonts w:ascii="Arial" w:cs="Arial" w:eastAsia="Arial" w:hAnsi="Arial"/>
                <w:sz w:val="14"/>
                <w:szCs w:val="14"/>
                <w:color w:val="auto"/>
              </w:rPr>
              <w:t>16,785,081</w:t>
            </w:r>
          </w:p>
        </w:tc>
        <w:tc>
          <w:tcPr>
            <w:tcW w:w="980" w:type="dxa"/>
            <w:vAlign w:val="bottom"/>
            <w:tcBorders>
              <w:bottom w:val="single" w:sz="8" w:color="376DB5"/>
            </w:tcBorders>
          </w:tcPr>
          <w:p>
            <w:pPr>
              <w:jc w:val="right"/>
              <w:ind w:right="8"/>
              <w:spacing w:after="0"/>
              <w:rPr>
                <w:sz w:val="20"/>
                <w:szCs w:val="20"/>
                <w:color w:val="auto"/>
              </w:rPr>
            </w:pPr>
            <w:r>
              <w:rPr>
                <w:rFonts w:ascii="Arial" w:cs="Arial" w:eastAsia="Arial" w:hAnsi="Arial"/>
                <w:sz w:val="14"/>
                <w:szCs w:val="14"/>
                <w:color w:val="auto"/>
              </w:rPr>
              <w:t>16,785,081 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1226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50" w:lineRule="exact"/>
        <w:rPr>
          <w:sz w:val="20"/>
          <w:szCs w:val="20"/>
          <w:color w:val="auto"/>
        </w:rPr>
      </w:pPr>
    </w:p>
    <w:p>
      <w:pPr>
        <w:jc w:val="both"/>
        <w:ind w:left="540" w:hanging="424"/>
        <w:spacing w:after="0" w:line="221" w:lineRule="auto"/>
        <w:tabs>
          <w:tab w:leader="none" w:pos="54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Pursuant to Mr. Weber’s Letter Agreement, he is entitled to a lump sum payment equal to one times the sum of his current base salary plus the annual incentive award last paid to him if his employment is terminated by the Company without cause or by Mr. Weber for good reason. Mr. Weber’s Management Agreement provides for the same payments in the event his employment is terminated by the Company without cause or by Mr. Weber for good reason within 60 days before or two years following a change in control.</w:t>
      </w:r>
    </w:p>
    <w:p>
      <w:pPr>
        <w:spacing w:after="0" w:line="4" w:lineRule="exact"/>
        <w:rPr>
          <w:rFonts w:ascii="Arial" w:cs="Arial" w:eastAsia="Arial" w:hAnsi="Arial"/>
          <w:sz w:val="27"/>
          <w:szCs w:val="27"/>
          <w:color w:val="auto"/>
          <w:vertAlign w:val="superscript"/>
        </w:rPr>
      </w:pPr>
    </w:p>
    <w:p>
      <w:pPr>
        <w:jc w:val="both"/>
        <w:ind w:left="540" w:hanging="424"/>
        <w:spacing w:after="0" w:line="221" w:lineRule="auto"/>
        <w:tabs>
          <w:tab w:leader="none" w:pos="54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Pursuant to Mr. Weber’s Letter Agreement, the Company is obligated to provide benefits to Mr. Weber at existing levels for 12 months post-termination if his employment is terminated by the Company without cause or by Mr. Weber for good reason. Mr. Weber’s Management Agreement provides for the same benefits in the event his employment is terminated by the Company without cause or by Mr. Weber for good reason within 60 days before or two years following a change in control. The amounts shown represent the total cost of COBRA premiums for continuing such benefits over the applicable time period.</w:t>
      </w:r>
    </w:p>
    <w:p>
      <w:pPr>
        <w:ind w:left="540" w:hanging="424"/>
        <w:spacing w:after="0" w:line="187" w:lineRule="auto"/>
        <w:tabs>
          <w:tab w:leader="none" w:pos="54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Mr. Weber currently does not have any stock options that would accelerate.</w:t>
      </w:r>
    </w:p>
    <w:p>
      <w:pPr>
        <w:spacing w:after="0" w:line="23" w:lineRule="exact"/>
        <w:rPr>
          <w:rFonts w:ascii="Arial" w:cs="Arial" w:eastAsia="Arial" w:hAnsi="Arial"/>
          <w:sz w:val="27"/>
          <w:szCs w:val="27"/>
          <w:color w:val="auto"/>
          <w:vertAlign w:val="superscript"/>
        </w:rPr>
      </w:pPr>
    </w:p>
    <w:p>
      <w:pPr>
        <w:ind w:left="540" w:right="20" w:hanging="424"/>
        <w:spacing w:after="0" w:line="187" w:lineRule="auto"/>
        <w:tabs>
          <w:tab w:leader="none" w:pos="54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The amounts shown represent the RSUs that would immediately vest upon the applicable triggering event, based on the Company’s closing stock price on September 30, 2025, of $1,496.53. Mr. Weber’s Management Agreement</w:t>
      </w:r>
    </w:p>
    <w:p>
      <w:pPr>
        <w:spacing w:after="0" w:line="1" w:lineRule="exact"/>
        <w:rPr>
          <w:rFonts w:ascii="Arial" w:cs="Arial" w:eastAsia="Arial" w:hAnsi="Arial"/>
          <w:sz w:val="27"/>
          <w:szCs w:val="27"/>
          <w:color w:val="auto"/>
          <w:vertAlign w:val="superscript"/>
        </w:rPr>
      </w:pPr>
    </w:p>
    <w:p>
      <w:pPr>
        <w:ind w:left="560" w:right="20"/>
        <w:spacing w:after="0" w:line="247" w:lineRule="auto"/>
        <w:rPr>
          <w:rFonts w:ascii="Arial" w:cs="Arial" w:eastAsia="Arial" w:hAnsi="Arial"/>
          <w:sz w:val="27"/>
          <w:szCs w:val="27"/>
          <w:color w:val="auto"/>
          <w:vertAlign w:val="superscript"/>
        </w:rPr>
      </w:pPr>
      <w:r>
        <w:rPr>
          <w:rFonts w:ascii="Arial" w:cs="Arial" w:eastAsia="Arial" w:hAnsi="Arial"/>
          <w:sz w:val="18"/>
          <w:szCs w:val="18"/>
          <w:color w:val="auto"/>
        </w:rPr>
        <w:t>provides for such acceleration upon a termination of employment in connection with a change in control, and the terms of the equity awards provide for such acceleration upon death or disability.</w:t>
      </w:r>
    </w:p>
    <w:p>
      <w:pPr>
        <w:spacing w:after="0" w:line="1" w:lineRule="exact"/>
        <w:rPr>
          <w:rFonts w:ascii="Arial" w:cs="Arial" w:eastAsia="Arial" w:hAnsi="Arial"/>
          <w:sz w:val="27"/>
          <w:szCs w:val="27"/>
          <w:color w:val="auto"/>
          <w:vertAlign w:val="superscript"/>
        </w:rPr>
      </w:pPr>
    </w:p>
    <w:p>
      <w:pPr>
        <w:ind w:left="540" w:hanging="424"/>
        <w:spacing w:after="0" w:line="204" w:lineRule="auto"/>
        <w:tabs>
          <w:tab w:leader="none" w:pos="54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The amounts shown represent the earned PSUs that would immediately vest upon the applicable triggering event, based on the Company’s closing stock price on September 30, 2025, of $1,496.53. Mr. Weber’s Management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72</w:t>
      </w:r>
    </w:p>
    <w:p>
      <w:pPr>
        <w:sectPr>
          <w:pgSz w:w="11900" w:h="16838" w:orient="portrait"/>
          <w:cols w:equalWidth="0" w:num="1">
            <w:col w:w="11140"/>
          </w:cols>
          <w:pgMar w:left="320" w:top="482"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jc w:val="both"/>
        <w:ind w:left="540" w:right="20"/>
        <w:spacing w:after="0" w:line="258" w:lineRule="auto"/>
        <w:rPr>
          <w:sz w:val="20"/>
          <w:szCs w:val="20"/>
          <w:color w:val="auto"/>
        </w:rPr>
      </w:pPr>
      <w:r>
        <w:rPr>
          <w:rFonts w:ascii="Arial" w:cs="Arial" w:eastAsia="Arial" w:hAnsi="Arial"/>
          <w:sz w:val="18"/>
          <w:szCs w:val="18"/>
          <w:color w:val="auto"/>
        </w:rPr>
        <w:t>Agreement and the terms of the equity award provide for such acceleration upon a termination of employment in connection with a change in control, and the terms of the equity award provides for such acceleration upon death or disability.</w:t>
      </w:r>
    </w:p>
    <w:p>
      <w:pPr>
        <w:jc w:val="both"/>
        <w:ind w:left="540" w:hanging="424"/>
        <w:spacing w:after="0" w:line="221" w:lineRule="auto"/>
        <w:tabs>
          <w:tab w:leader="none" w:pos="54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The amounts shown represent the unearned MSUs that would immediately be earned and vest upon the applicable triggering event, based on the Company’s closing stock price on September 30, 2025, of $1,496.53 and a relative total shareholder return performance of 0% in the adjusted performance period. The terms of the equity award provide for such acceleration upon a termination of employment for reasons other than Cause in connection with a change in control, and the terms of the equity award provides for such acceleration upon death or disability.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Nikhil Behl</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4260" w:type="dxa"/>
            <w:vAlign w:val="bottom"/>
            <w:tcBorders>
              <w:top w:val="single" w:sz="8" w:color="376DB5"/>
            </w:tcBorders>
          </w:tcPr>
          <w:p>
            <w:pPr>
              <w:spacing w:after="0"/>
              <w:rPr>
                <w:sz w:val="15"/>
                <w:szCs w:val="15"/>
                <w:color w:val="auto"/>
              </w:rPr>
            </w:pPr>
          </w:p>
        </w:tc>
        <w:tc>
          <w:tcPr>
            <w:tcW w:w="1020" w:type="dxa"/>
            <w:vAlign w:val="bottom"/>
            <w:tcBorders>
              <w:top w:val="single" w:sz="8" w:color="376DB5"/>
            </w:tcBorders>
          </w:tcPr>
          <w:p>
            <w:pPr>
              <w:spacing w:after="0"/>
              <w:rPr>
                <w:sz w:val="15"/>
                <w:szCs w:val="15"/>
                <w:color w:val="auto"/>
              </w:rPr>
            </w:pPr>
          </w:p>
        </w:tc>
        <w:tc>
          <w:tcPr>
            <w:tcW w:w="940" w:type="dxa"/>
            <w:vAlign w:val="bottom"/>
            <w:tcBorders>
              <w:top w:val="single" w:sz="8" w:color="376DB5"/>
            </w:tcBorders>
          </w:tcPr>
          <w:p>
            <w:pPr>
              <w:spacing w:after="0"/>
              <w:rPr>
                <w:sz w:val="15"/>
                <w:szCs w:val="15"/>
                <w:color w:val="auto"/>
              </w:rPr>
            </w:pPr>
          </w:p>
        </w:tc>
        <w:tc>
          <w:tcPr>
            <w:tcW w:w="960" w:type="dxa"/>
            <w:vAlign w:val="bottom"/>
            <w:tcBorders>
              <w:top w:val="single" w:sz="8" w:color="376DB5"/>
            </w:tcBorders>
          </w:tcPr>
          <w:p>
            <w:pPr>
              <w:spacing w:after="0"/>
              <w:rPr>
                <w:sz w:val="15"/>
                <w:szCs w:val="15"/>
                <w:color w:val="auto"/>
              </w:rPr>
            </w:pPr>
          </w:p>
        </w:tc>
        <w:tc>
          <w:tcPr>
            <w:tcW w:w="980" w:type="dxa"/>
            <w:vAlign w:val="bottom"/>
            <w:tcBorders>
              <w:top w:val="single" w:sz="8" w:color="376DB5"/>
            </w:tcBorders>
          </w:tcPr>
          <w:p>
            <w:pPr>
              <w:jc w:val="center"/>
              <w:spacing w:after="0"/>
              <w:rPr>
                <w:sz w:val="20"/>
                <w:szCs w:val="20"/>
                <w:color w:val="auto"/>
              </w:rPr>
            </w:pPr>
            <w:r>
              <w:rPr>
                <w:rFonts w:ascii="Arial" w:cs="Arial" w:eastAsia="Arial" w:hAnsi="Arial"/>
                <w:sz w:val="14"/>
                <w:szCs w:val="14"/>
                <w:color w:val="376DB5"/>
              </w:rPr>
              <w:t>Termination</w:t>
            </w:r>
          </w:p>
        </w:tc>
        <w:tc>
          <w:tcPr>
            <w:tcW w:w="920" w:type="dxa"/>
            <w:vAlign w:val="bottom"/>
            <w:tcBorders>
              <w:top w:val="single" w:sz="8" w:color="376DB5"/>
            </w:tcBorders>
          </w:tcPr>
          <w:p>
            <w:pPr>
              <w:spacing w:after="0"/>
              <w:rPr>
                <w:sz w:val="15"/>
                <w:szCs w:val="15"/>
                <w:color w:val="auto"/>
              </w:rPr>
            </w:pPr>
          </w:p>
        </w:tc>
        <w:tc>
          <w:tcPr>
            <w:tcW w:w="960" w:type="dxa"/>
            <w:vAlign w:val="bottom"/>
            <w:tcBorders>
              <w:top w:val="single" w:sz="8" w:color="376DB5"/>
            </w:tcBorders>
          </w:tcPr>
          <w:p>
            <w:pPr>
              <w:spacing w:after="0"/>
              <w:rPr>
                <w:sz w:val="15"/>
                <w:szCs w:val="15"/>
                <w:color w:val="auto"/>
              </w:rPr>
            </w:pPr>
          </w:p>
        </w:tc>
        <w:tc>
          <w:tcPr>
            <w:tcW w:w="980" w:type="dxa"/>
            <w:vAlign w:val="bottom"/>
            <w:tcBorders>
              <w:top w:val="single" w:sz="8" w:color="376DB5"/>
            </w:tcBorders>
          </w:tcPr>
          <w:p>
            <w:pPr>
              <w:spacing w:after="0"/>
              <w:rPr>
                <w:sz w:val="15"/>
                <w:szCs w:val="15"/>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376DB5"/>
              </w:rPr>
              <w:t>by Us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376DB5"/>
              </w:rPr>
              <w:t>Without</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376DB5"/>
              </w:rPr>
              <w:t>Cause in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376DB5"/>
              </w:rPr>
              <w:t>Connection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376DB5"/>
              </w:rPr>
              <w:t>with a</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376DB5"/>
              </w:rPr>
              <w:t>Change in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376DB5"/>
              </w:rPr>
              <w:t>Termination</w:t>
            </w:r>
          </w:p>
        </w:tc>
        <w:tc>
          <w:tcPr>
            <w:tcW w:w="980" w:type="dxa"/>
            <w:vAlign w:val="bottom"/>
          </w:tcPr>
          <w:p>
            <w:pPr>
              <w:jc w:val="center"/>
              <w:spacing w:after="0"/>
              <w:rPr>
                <w:sz w:val="20"/>
                <w:szCs w:val="20"/>
                <w:color w:val="auto"/>
              </w:rPr>
            </w:pPr>
            <w:r>
              <w:rPr>
                <w:rFonts w:ascii="Arial" w:cs="Arial" w:eastAsia="Arial" w:hAnsi="Arial"/>
                <w:sz w:val="14"/>
                <w:szCs w:val="14"/>
                <w:color w:val="376DB5"/>
              </w:rPr>
              <w:t>Control or</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376DB5"/>
              </w:rPr>
              <w:t>by Us</w:t>
            </w:r>
          </w:p>
        </w:tc>
        <w:tc>
          <w:tcPr>
            <w:tcW w:w="980" w:type="dxa"/>
            <w:vAlign w:val="bottom"/>
          </w:tcPr>
          <w:p>
            <w:pPr>
              <w:jc w:val="center"/>
              <w:spacing w:after="0"/>
              <w:rPr>
                <w:sz w:val="20"/>
                <w:szCs w:val="20"/>
                <w:color w:val="auto"/>
              </w:rPr>
            </w:pPr>
            <w:r>
              <w:rPr>
                <w:rFonts w:ascii="Arial" w:cs="Arial" w:eastAsia="Arial" w:hAnsi="Arial"/>
                <w:sz w:val="14"/>
                <w:szCs w:val="14"/>
                <w:color w:val="376DB5"/>
              </w:rPr>
              <w:t>by the NEO</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376DB5"/>
              </w:rPr>
              <w:t>Without</w:t>
            </w:r>
          </w:p>
        </w:tc>
        <w:tc>
          <w:tcPr>
            <w:tcW w:w="980" w:type="dxa"/>
            <w:vAlign w:val="bottom"/>
          </w:tcPr>
          <w:p>
            <w:pPr>
              <w:jc w:val="center"/>
              <w:spacing w:after="0"/>
              <w:rPr>
                <w:sz w:val="20"/>
                <w:szCs w:val="20"/>
                <w:color w:val="auto"/>
              </w:rPr>
            </w:pPr>
            <w:r>
              <w:rPr>
                <w:rFonts w:ascii="Arial" w:cs="Arial" w:eastAsia="Arial" w:hAnsi="Arial"/>
                <w:sz w:val="14"/>
                <w:szCs w:val="14"/>
                <w:color w:val="376DB5"/>
              </w:rPr>
              <w:t>with Good</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376DB5"/>
              </w:rPr>
              <w:t>Cause or</w:t>
            </w:r>
          </w:p>
        </w:tc>
        <w:tc>
          <w:tcPr>
            <w:tcW w:w="980" w:type="dxa"/>
            <w:vAlign w:val="bottom"/>
          </w:tcPr>
          <w:p>
            <w:pPr>
              <w:jc w:val="center"/>
              <w:spacing w:after="0"/>
              <w:rPr>
                <w:sz w:val="20"/>
                <w:szCs w:val="20"/>
                <w:color w:val="auto"/>
              </w:rPr>
            </w:pPr>
            <w:r>
              <w:rPr>
                <w:rFonts w:ascii="Arial" w:cs="Arial" w:eastAsia="Arial" w:hAnsi="Arial"/>
                <w:sz w:val="14"/>
                <w:szCs w:val="14"/>
                <w:color w:val="376DB5"/>
              </w:rPr>
              <w:t>Reason in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376DB5"/>
              </w:rPr>
              <w:t>by</w:t>
            </w:r>
          </w:p>
        </w:tc>
        <w:tc>
          <w:tcPr>
            <w:tcW w:w="980" w:type="dxa"/>
            <w:vAlign w:val="bottom"/>
          </w:tcPr>
          <w:p>
            <w:pPr>
              <w:jc w:val="center"/>
              <w:spacing w:after="0"/>
              <w:rPr>
                <w:sz w:val="20"/>
                <w:szCs w:val="20"/>
                <w:color w:val="auto"/>
              </w:rPr>
            </w:pPr>
            <w:r>
              <w:rPr>
                <w:rFonts w:ascii="Arial" w:cs="Arial" w:eastAsia="Arial" w:hAnsi="Arial"/>
                <w:sz w:val="14"/>
                <w:szCs w:val="14"/>
                <w:color w:val="376DB5"/>
              </w:rPr>
              <w:t>Connection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jc w:val="center"/>
              <w:ind w:left="28"/>
              <w:spacing w:after="0"/>
              <w:rPr>
                <w:sz w:val="20"/>
                <w:szCs w:val="20"/>
                <w:color w:val="auto"/>
              </w:rPr>
            </w:pPr>
            <w:r>
              <w:rPr>
                <w:rFonts w:ascii="Arial" w:cs="Arial" w:eastAsia="Arial" w:hAnsi="Arial"/>
                <w:sz w:val="14"/>
                <w:szCs w:val="14"/>
                <w:color w:val="376DB5"/>
              </w:rPr>
              <w:t>Voluntary</w:t>
            </w:r>
          </w:p>
        </w:tc>
        <w:tc>
          <w:tcPr>
            <w:tcW w:w="940" w:type="dxa"/>
            <w:vAlign w:val="bottom"/>
          </w:tcPr>
          <w:p>
            <w:pPr>
              <w:jc w:val="center"/>
              <w:spacing w:after="0"/>
              <w:rPr>
                <w:sz w:val="20"/>
                <w:szCs w:val="20"/>
                <w:color w:val="auto"/>
              </w:rPr>
            </w:pPr>
            <w:r>
              <w:rPr>
                <w:rFonts w:ascii="Arial" w:cs="Arial" w:eastAsia="Arial" w:hAnsi="Arial"/>
                <w:sz w:val="14"/>
                <w:szCs w:val="14"/>
                <w:color w:val="376DB5"/>
              </w:rPr>
              <w:t>Termination</w:t>
            </w:r>
          </w:p>
        </w:tc>
        <w:tc>
          <w:tcPr>
            <w:tcW w:w="960" w:type="dxa"/>
            <w:vAlign w:val="bottom"/>
          </w:tcPr>
          <w:p>
            <w:pPr>
              <w:jc w:val="center"/>
              <w:spacing w:after="0"/>
              <w:rPr>
                <w:sz w:val="20"/>
                <w:szCs w:val="20"/>
                <w:color w:val="auto"/>
              </w:rPr>
            </w:pPr>
            <w:r>
              <w:rPr>
                <w:rFonts w:ascii="Arial" w:cs="Arial" w:eastAsia="Arial" w:hAnsi="Arial"/>
                <w:sz w:val="14"/>
                <w:szCs w:val="14"/>
                <w:color w:val="376DB5"/>
              </w:rPr>
              <w:t>the NEO</w:t>
            </w:r>
          </w:p>
        </w:tc>
        <w:tc>
          <w:tcPr>
            <w:tcW w:w="980" w:type="dxa"/>
            <w:vAlign w:val="bottom"/>
          </w:tcPr>
          <w:p>
            <w:pPr>
              <w:jc w:val="center"/>
              <w:spacing w:after="0"/>
              <w:rPr>
                <w:sz w:val="20"/>
                <w:szCs w:val="20"/>
                <w:color w:val="auto"/>
              </w:rPr>
            </w:pPr>
            <w:r>
              <w:rPr>
                <w:rFonts w:ascii="Arial" w:cs="Arial" w:eastAsia="Arial" w:hAnsi="Arial"/>
                <w:sz w:val="14"/>
                <w:szCs w:val="14"/>
                <w:color w:val="376DB5"/>
              </w:rPr>
              <w:t>with a</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jc w:val="center"/>
              <w:ind w:left="8"/>
              <w:spacing w:after="0"/>
              <w:rPr>
                <w:sz w:val="20"/>
                <w:szCs w:val="20"/>
                <w:color w:val="auto"/>
              </w:rPr>
            </w:pPr>
            <w:r>
              <w:rPr>
                <w:rFonts w:ascii="Arial" w:cs="Arial" w:eastAsia="Arial" w:hAnsi="Arial"/>
                <w:sz w:val="14"/>
                <w:szCs w:val="14"/>
                <w:color w:val="376DB5"/>
              </w:rPr>
              <w:t>Termination</w:t>
            </w:r>
          </w:p>
        </w:tc>
        <w:tc>
          <w:tcPr>
            <w:tcW w:w="940" w:type="dxa"/>
            <w:vAlign w:val="bottom"/>
          </w:tcPr>
          <w:p>
            <w:pPr>
              <w:jc w:val="center"/>
              <w:spacing w:after="0"/>
              <w:rPr>
                <w:sz w:val="20"/>
                <w:szCs w:val="20"/>
                <w:color w:val="auto"/>
              </w:rPr>
            </w:pPr>
            <w:r>
              <w:rPr>
                <w:rFonts w:ascii="Arial" w:cs="Arial" w:eastAsia="Arial" w:hAnsi="Arial"/>
                <w:sz w:val="14"/>
                <w:szCs w:val="14"/>
                <w:color w:val="376DB5"/>
              </w:rPr>
              <w:t>by Us For</w:t>
            </w:r>
          </w:p>
        </w:tc>
        <w:tc>
          <w:tcPr>
            <w:tcW w:w="960" w:type="dxa"/>
            <w:vAlign w:val="bottom"/>
          </w:tcPr>
          <w:p>
            <w:pPr>
              <w:jc w:val="center"/>
              <w:spacing w:after="0"/>
              <w:rPr>
                <w:sz w:val="20"/>
                <w:szCs w:val="20"/>
                <w:color w:val="auto"/>
              </w:rPr>
            </w:pPr>
            <w:r>
              <w:rPr>
                <w:rFonts w:ascii="Arial" w:cs="Arial" w:eastAsia="Arial" w:hAnsi="Arial"/>
                <w:sz w:val="14"/>
                <w:szCs w:val="14"/>
                <w:color w:val="376DB5"/>
              </w:rPr>
              <w:t>with Good</w:t>
            </w:r>
          </w:p>
        </w:tc>
        <w:tc>
          <w:tcPr>
            <w:tcW w:w="980" w:type="dxa"/>
            <w:vAlign w:val="bottom"/>
          </w:tcPr>
          <w:p>
            <w:pPr>
              <w:jc w:val="center"/>
              <w:spacing w:after="0"/>
              <w:rPr>
                <w:sz w:val="20"/>
                <w:szCs w:val="20"/>
                <w:color w:val="auto"/>
              </w:rPr>
            </w:pPr>
            <w:r>
              <w:rPr>
                <w:rFonts w:ascii="Arial" w:cs="Arial" w:eastAsia="Arial" w:hAnsi="Arial"/>
                <w:sz w:val="14"/>
                <w:szCs w:val="14"/>
                <w:color w:val="376DB5"/>
              </w:rPr>
              <w:t>Change in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jc w:val="center"/>
              <w:ind w:left="8"/>
              <w:spacing w:after="0"/>
              <w:rPr>
                <w:sz w:val="20"/>
                <w:szCs w:val="20"/>
                <w:color w:val="auto"/>
              </w:rPr>
            </w:pPr>
            <w:r>
              <w:rPr>
                <w:rFonts w:ascii="Arial" w:cs="Arial" w:eastAsia="Arial" w:hAnsi="Arial"/>
                <w:sz w:val="14"/>
                <w:szCs w:val="14"/>
                <w:color w:val="376DB5"/>
              </w:rPr>
              <w:t>by NEO</w:t>
            </w:r>
          </w:p>
        </w:tc>
        <w:tc>
          <w:tcPr>
            <w:tcW w:w="940" w:type="dxa"/>
            <w:vAlign w:val="bottom"/>
          </w:tcPr>
          <w:p>
            <w:pPr>
              <w:jc w:val="center"/>
              <w:spacing w:after="0"/>
              <w:rPr>
                <w:sz w:val="20"/>
                <w:szCs w:val="20"/>
                <w:color w:val="auto"/>
              </w:rPr>
            </w:pPr>
            <w:r>
              <w:rPr>
                <w:rFonts w:ascii="Arial" w:cs="Arial" w:eastAsia="Arial" w:hAnsi="Arial"/>
                <w:sz w:val="14"/>
                <w:szCs w:val="14"/>
                <w:color w:val="376DB5"/>
              </w:rPr>
              <w:t>Cause</w:t>
            </w:r>
          </w:p>
        </w:tc>
        <w:tc>
          <w:tcPr>
            <w:tcW w:w="960" w:type="dxa"/>
            <w:vAlign w:val="bottom"/>
          </w:tcPr>
          <w:p>
            <w:pPr>
              <w:jc w:val="center"/>
              <w:spacing w:after="0"/>
              <w:rPr>
                <w:sz w:val="20"/>
                <w:szCs w:val="20"/>
                <w:color w:val="auto"/>
              </w:rPr>
            </w:pPr>
            <w:r>
              <w:rPr>
                <w:rFonts w:ascii="Arial" w:cs="Arial" w:eastAsia="Arial" w:hAnsi="Arial"/>
                <w:sz w:val="14"/>
                <w:szCs w:val="14"/>
                <w:color w:val="376DB5"/>
                <w:w w:val="99"/>
              </w:rPr>
              <w:t>Reason</w:t>
            </w:r>
          </w:p>
        </w:tc>
        <w:tc>
          <w:tcPr>
            <w:tcW w:w="980" w:type="dxa"/>
            <w:vAlign w:val="bottom"/>
          </w:tcPr>
          <w:p>
            <w:pPr>
              <w:jc w:val="center"/>
              <w:spacing w:after="0"/>
              <w:rPr>
                <w:sz w:val="20"/>
                <w:szCs w:val="20"/>
                <w:color w:val="auto"/>
              </w:rPr>
            </w:pPr>
            <w:r>
              <w:rPr>
                <w:rFonts w:ascii="Arial" w:cs="Arial" w:eastAsia="Arial" w:hAnsi="Arial"/>
                <w:sz w:val="14"/>
                <w:szCs w:val="14"/>
                <w:color w:val="376DB5"/>
              </w:rPr>
              <w:t>Control</w:t>
            </w:r>
          </w:p>
        </w:tc>
        <w:tc>
          <w:tcPr>
            <w:tcW w:w="920" w:type="dxa"/>
            <w:vAlign w:val="bottom"/>
          </w:tcPr>
          <w:p>
            <w:pPr>
              <w:ind w:left="100"/>
              <w:spacing w:after="0"/>
              <w:rPr>
                <w:sz w:val="20"/>
                <w:szCs w:val="20"/>
                <w:color w:val="auto"/>
              </w:rPr>
            </w:pPr>
            <w:r>
              <w:rPr>
                <w:rFonts w:ascii="Arial" w:cs="Arial" w:eastAsia="Arial" w:hAnsi="Arial"/>
                <w:sz w:val="14"/>
                <w:szCs w:val="14"/>
                <w:color w:val="376DB5"/>
              </w:rPr>
              <w:t>Retirement</w:t>
            </w:r>
          </w:p>
        </w:tc>
        <w:tc>
          <w:tcPr>
            <w:tcW w:w="960" w:type="dxa"/>
            <w:vAlign w:val="bottom"/>
          </w:tcPr>
          <w:p>
            <w:pPr>
              <w:jc w:val="right"/>
              <w:ind w:right="148"/>
              <w:spacing w:after="0"/>
              <w:rPr>
                <w:sz w:val="20"/>
                <w:szCs w:val="20"/>
                <w:color w:val="auto"/>
              </w:rPr>
            </w:pPr>
            <w:r>
              <w:rPr>
                <w:rFonts w:ascii="Arial" w:cs="Arial" w:eastAsia="Arial" w:hAnsi="Arial"/>
                <w:sz w:val="14"/>
                <w:szCs w:val="14"/>
                <w:color w:val="376DB5"/>
              </w:rPr>
              <w:t>Disability</w:t>
            </w:r>
          </w:p>
        </w:tc>
        <w:tc>
          <w:tcPr>
            <w:tcW w:w="980" w:type="dxa"/>
            <w:vAlign w:val="bottom"/>
          </w:tcPr>
          <w:p>
            <w:pPr>
              <w:jc w:val="right"/>
              <w:ind w:right="208"/>
              <w:spacing w:after="0"/>
              <w:rPr>
                <w:sz w:val="20"/>
                <w:szCs w:val="20"/>
                <w:color w:val="auto"/>
              </w:rPr>
            </w:pPr>
            <w:r>
              <w:rPr>
                <w:rFonts w:ascii="Arial" w:cs="Arial" w:eastAsia="Arial" w:hAnsi="Arial"/>
                <w:sz w:val="14"/>
                <w:szCs w:val="14"/>
                <w:color w:val="376DB5"/>
              </w:rPr>
              <w:t>Death</w:t>
            </w:r>
          </w:p>
        </w:tc>
      </w:tr>
      <w:tr>
        <w:trPr>
          <w:trHeight w:val="194"/>
        </w:trPr>
        <w:tc>
          <w:tcPr>
            <w:tcW w:w="4260" w:type="dxa"/>
            <w:vAlign w:val="bottom"/>
            <w:tcBorders>
              <w:bottom w:val="single" w:sz="8" w:color="376DB5"/>
            </w:tcBorders>
          </w:tcPr>
          <w:p>
            <w:pPr>
              <w:spacing w:after="0"/>
              <w:rPr>
                <w:sz w:val="20"/>
                <w:szCs w:val="20"/>
                <w:color w:val="auto"/>
              </w:rPr>
            </w:pPr>
            <w:r>
              <w:rPr>
                <w:rFonts w:ascii="Arial" w:cs="Arial" w:eastAsia="Arial" w:hAnsi="Arial"/>
                <w:sz w:val="14"/>
                <w:szCs w:val="14"/>
                <w:color w:val="376DB5"/>
              </w:rPr>
              <w:t>Payment or Benefit</w:t>
            </w:r>
          </w:p>
        </w:tc>
        <w:tc>
          <w:tcPr>
            <w:tcW w:w="1020" w:type="dxa"/>
            <w:vAlign w:val="bottom"/>
            <w:tcBorders>
              <w:bottom w:val="single" w:sz="8" w:color="376DB5"/>
            </w:tcBorders>
          </w:tcPr>
          <w:p>
            <w:pPr>
              <w:jc w:val="center"/>
              <w:ind w:left="8"/>
              <w:spacing w:after="0"/>
              <w:rPr>
                <w:sz w:val="20"/>
                <w:szCs w:val="20"/>
                <w:color w:val="auto"/>
              </w:rPr>
            </w:pPr>
            <w:r>
              <w:rPr>
                <w:rFonts w:ascii="Arial" w:cs="Arial" w:eastAsia="Arial" w:hAnsi="Arial"/>
                <w:sz w:val="14"/>
                <w:szCs w:val="14"/>
                <w:color w:val="376DB5"/>
              </w:rPr>
              <w:t>($)</w:t>
            </w:r>
          </w:p>
        </w:tc>
        <w:tc>
          <w:tcPr>
            <w:tcW w:w="94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376DB5"/>
              </w:rPr>
              <w:t>($)</w:t>
            </w:r>
          </w:p>
        </w:tc>
        <w:tc>
          <w:tcPr>
            <w:tcW w:w="96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376DB5"/>
                <w:w w:val="93"/>
              </w:rPr>
              <w:t>($)</w:t>
            </w:r>
          </w:p>
        </w:tc>
        <w:tc>
          <w:tcPr>
            <w:tcW w:w="980" w:type="dxa"/>
            <w:vAlign w:val="bottom"/>
            <w:tcBorders>
              <w:bottom w:val="single" w:sz="8" w:color="376DB5"/>
            </w:tcBorders>
          </w:tcPr>
          <w:p>
            <w:pPr>
              <w:jc w:val="right"/>
              <w:ind w:right="348"/>
              <w:spacing w:after="0"/>
              <w:rPr>
                <w:sz w:val="20"/>
                <w:szCs w:val="20"/>
                <w:color w:val="auto"/>
              </w:rPr>
            </w:pPr>
            <w:r>
              <w:rPr>
                <w:rFonts w:ascii="Arial" w:cs="Arial" w:eastAsia="Arial" w:hAnsi="Arial"/>
                <w:sz w:val="14"/>
                <w:szCs w:val="14"/>
                <w:color w:val="376DB5"/>
              </w:rPr>
              <w:t>($)</w:t>
            </w:r>
          </w:p>
        </w:tc>
        <w:tc>
          <w:tcPr>
            <w:tcW w:w="92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376DB5"/>
              </w:rPr>
              <w:t>($)</w:t>
            </w:r>
          </w:p>
        </w:tc>
        <w:tc>
          <w:tcPr>
            <w:tcW w:w="960" w:type="dxa"/>
            <w:vAlign w:val="bottom"/>
            <w:tcBorders>
              <w:bottom w:val="single" w:sz="8" w:color="376DB5"/>
            </w:tcBorders>
          </w:tcPr>
          <w:p>
            <w:pPr>
              <w:jc w:val="right"/>
              <w:ind w:right="348"/>
              <w:spacing w:after="0"/>
              <w:rPr>
                <w:sz w:val="20"/>
                <w:szCs w:val="20"/>
                <w:color w:val="auto"/>
              </w:rPr>
            </w:pPr>
            <w:r>
              <w:rPr>
                <w:rFonts w:ascii="Arial" w:cs="Arial" w:eastAsia="Arial" w:hAnsi="Arial"/>
                <w:sz w:val="14"/>
                <w:szCs w:val="14"/>
                <w:color w:val="376DB5"/>
              </w:rPr>
              <w:t>($)</w:t>
            </w:r>
          </w:p>
        </w:tc>
        <w:tc>
          <w:tcPr>
            <w:tcW w:w="980" w:type="dxa"/>
            <w:vAlign w:val="bottom"/>
            <w:tcBorders>
              <w:bottom w:val="single" w:sz="8" w:color="376DB5"/>
            </w:tcBorders>
          </w:tcPr>
          <w:p>
            <w:pPr>
              <w:jc w:val="right"/>
              <w:ind w:right="308"/>
              <w:spacing w:after="0"/>
              <w:rPr>
                <w:sz w:val="20"/>
                <w:szCs w:val="20"/>
                <w:color w:val="auto"/>
              </w:rPr>
            </w:pPr>
            <w:r>
              <w:rPr>
                <w:rFonts w:ascii="Arial" w:cs="Arial" w:eastAsia="Arial" w:hAnsi="Arial"/>
                <w:sz w:val="14"/>
                <w:szCs w:val="14"/>
                <w:color w:val="376DB5"/>
              </w:rPr>
              <w:t>($)</w:t>
            </w:r>
          </w:p>
        </w:tc>
      </w:tr>
      <w:tr>
        <w:trPr>
          <w:trHeight w:val="200"/>
        </w:trPr>
        <w:tc>
          <w:tcPr>
            <w:tcW w:w="4260" w:type="dxa"/>
            <w:vAlign w:val="bottom"/>
          </w:tcPr>
          <w:p>
            <w:pPr>
              <w:spacing w:after="0" w:line="200" w:lineRule="exact"/>
              <w:rPr>
                <w:sz w:val="20"/>
                <w:szCs w:val="20"/>
                <w:color w:val="auto"/>
              </w:rPr>
            </w:pPr>
            <w:r>
              <w:rPr>
                <w:rFonts w:ascii="Arial" w:cs="Arial" w:eastAsia="Arial" w:hAnsi="Arial"/>
                <w:sz w:val="14"/>
                <w:szCs w:val="14"/>
                <w:color w:val="auto"/>
              </w:rPr>
              <w:t>Value of Cash Severance</w:t>
            </w:r>
            <w:r>
              <w:rPr>
                <w:rFonts w:ascii="Arial" w:cs="Arial" w:eastAsia="Arial" w:hAnsi="Arial"/>
                <w:sz w:val="21"/>
                <w:szCs w:val="21"/>
                <w:color w:val="auto"/>
                <w:vertAlign w:val="superscript"/>
              </w:rPr>
              <w:t>(1)</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850,000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850,000</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w:t>
            </w:r>
          </w:p>
        </w:tc>
      </w:tr>
      <w:tr>
        <w:trPr>
          <w:trHeight w:val="216"/>
        </w:trPr>
        <w:tc>
          <w:tcPr>
            <w:tcW w:w="4260" w:type="dxa"/>
            <w:vAlign w:val="bottom"/>
            <w:shd w:val="clear" w:color="auto" w:fill="F2F2F2"/>
          </w:tcPr>
          <w:p>
            <w:pPr>
              <w:spacing w:after="0" w:line="216" w:lineRule="exact"/>
              <w:rPr>
                <w:sz w:val="20"/>
                <w:szCs w:val="20"/>
                <w:color w:val="auto"/>
              </w:rPr>
            </w:pPr>
            <w:r>
              <w:rPr>
                <w:rFonts w:ascii="Arial" w:cs="Arial" w:eastAsia="Arial" w:hAnsi="Arial"/>
                <w:sz w:val="14"/>
                <w:szCs w:val="14"/>
                <w:color w:val="auto"/>
              </w:rPr>
              <w:t>Value of Benefits</w:t>
            </w:r>
            <w:r>
              <w:rPr>
                <w:rFonts w:ascii="Arial" w:cs="Arial" w:eastAsia="Arial" w:hAnsi="Arial"/>
                <w:sz w:val="21"/>
                <w:szCs w:val="21"/>
                <w:color w:val="auto"/>
                <w:vertAlign w:val="superscript"/>
              </w:rPr>
              <w:t>(2)</w:t>
            </w:r>
          </w:p>
        </w:tc>
        <w:tc>
          <w:tcPr>
            <w:tcW w:w="1020" w:type="dxa"/>
            <w:vAlign w:val="bottom"/>
            <w:shd w:val="clear" w:color="auto" w:fill="F2F2F2"/>
          </w:tcPr>
          <w:p>
            <w:pPr>
              <w:jc w:val="center"/>
              <w:ind w:left="8"/>
              <w:spacing w:after="0"/>
              <w:rPr>
                <w:sz w:val="20"/>
                <w:szCs w:val="20"/>
                <w:color w:val="auto"/>
              </w:rPr>
            </w:pPr>
            <w:r>
              <w:rPr>
                <w:rFonts w:ascii="Arial" w:cs="Arial" w:eastAsia="Arial" w:hAnsi="Arial"/>
                <w:sz w:val="14"/>
                <w:szCs w:val="14"/>
                <w:color w:val="auto"/>
                <w:w w:val="99"/>
              </w:rPr>
              <w:t>—</w:t>
            </w:r>
          </w:p>
        </w:tc>
        <w:tc>
          <w:tcPr>
            <w:tcW w:w="9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35,208</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35,208</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F2F2F2"/>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shd w:val="clear" w:color="auto" w:fill="F2F2F2"/>
          </w:tcPr>
          <w:p>
            <w:pPr>
              <w:jc w:val="right"/>
              <w:ind w:right="308"/>
              <w:spacing w:after="0"/>
              <w:rPr>
                <w:sz w:val="20"/>
                <w:szCs w:val="20"/>
                <w:color w:val="auto"/>
              </w:rPr>
            </w:pPr>
            <w:r>
              <w:rPr>
                <w:rFonts w:ascii="Arial" w:cs="Arial" w:eastAsia="Arial" w:hAnsi="Arial"/>
                <w:sz w:val="14"/>
                <w:szCs w:val="14"/>
                <w:color w:val="auto"/>
              </w:rPr>
              <w:t>—</w:t>
            </w:r>
          </w:p>
        </w:tc>
      </w:tr>
      <w:tr>
        <w:trPr>
          <w:trHeight w:val="216"/>
        </w:trPr>
        <w:tc>
          <w:tcPr>
            <w:tcW w:w="4260" w:type="dxa"/>
            <w:vAlign w:val="bottom"/>
          </w:tcPr>
          <w:p>
            <w:pPr>
              <w:spacing w:after="0" w:line="216" w:lineRule="exact"/>
              <w:rPr>
                <w:sz w:val="20"/>
                <w:szCs w:val="20"/>
                <w:color w:val="auto"/>
              </w:rPr>
            </w:pPr>
            <w:r>
              <w:rPr>
                <w:rFonts w:ascii="Arial" w:cs="Arial" w:eastAsia="Arial" w:hAnsi="Arial"/>
                <w:sz w:val="14"/>
                <w:szCs w:val="14"/>
                <w:color w:val="auto"/>
              </w:rPr>
              <w:t>Market Value of Accelerated Stock Option Awards</w:t>
            </w:r>
            <w:r>
              <w:rPr>
                <w:rFonts w:ascii="Arial" w:cs="Arial" w:eastAsia="Arial" w:hAnsi="Arial"/>
                <w:sz w:val="21"/>
                <w:szCs w:val="21"/>
                <w:color w:val="auto"/>
                <w:vertAlign w:val="superscript"/>
              </w:rPr>
              <w:t>(3)</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w:t>
            </w:r>
          </w:p>
        </w:tc>
      </w:tr>
      <w:tr>
        <w:trPr>
          <w:trHeight w:val="216"/>
        </w:trPr>
        <w:tc>
          <w:tcPr>
            <w:tcW w:w="4260" w:type="dxa"/>
            <w:vAlign w:val="bottom"/>
            <w:shd w:val="clear" w:color="auto" w:fill="F2F2F2"/>
          </w:tcPr>
          <w:p>
            <w:pPr>
              <w:spacing w:after="0" w:line="216" w:lineRule="exact"/>
              <w:rPr>
                <w:sz w:val="20"/>
                <w:szCs w:val="20"/>
                <w:color w:val="auto"/>
              </w:rPr>
            </w:pPr>
            <w:r>
              <w:rPr>
                <w:rFonts w:ascii="Arial" w:cs="Arial" w:eastAsia="Arial" w:hAnsi="Arial"/>
                <w:sz w:val="14"/>
                <w:szCs w:val="14"/>
                <w:color w:val="auto"/>
              </w:rPr>
              <w:t>Market Value of Accelerated RSU Awards</w:t>
            </w:r>
            <w:r>
              <w:rPr>
                <w:rFonts w:ascii="Arial" w:cs="Arial" w:eastAsia="Arial" w:hAnsi="Arial"/>
                <w:sz w:val="21"/>
                <w:szCs w:val="21"/>
                <w:color w:val="auto"/>
                <w:vertAlign w:val="superscript"/>
              </w:rPr>
              <w:t>(4)</w:t>
            </w:r>
          </w:p>
        </w:tc>
        <w:tc>
          <w:tcPr>
            <w:tcW w:w="1020" w:type="dxa"/>
            <w:vAlign w:val="bottom"/>
            <w:shd w:val="clear" w:color="auto" w:fill="F2F2F2"/>
          </w:tcPr>
          <w:p>
            <w:pPr>
              <w:jc w:val="center"/>
              <w:ind w:left="8"/>
              <w:spacing w:after="0"/>
              <w:rPr>
                <w:sz w:val="20"/>
                <w:szCs w:val="20"/>
                <w:color w:val="auto"/>
              </w:rPr>
            </w:pPr>
            <w:r>
              <w:rPr>
                <w:rFonts w:ascii="Arial" w:cs="Arial" w:eastAsia="Arial" w:hAnsi="Arial"/>
                <w:sz w:val="14"/>
                <w:szCs w:val="14"/>
                <w:color w:val="auto"/>
                <w:w w:val="99"/>
              </w:rPr>
              <w:t>—</w:t>
            </w:r>
          </w:p>
        </w:tc>
        <w:tc>
          <w:tcPr>
            <w:tcW w:w="9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F2F2F2"/>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8,717,288</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8,717,288</w:t>
            </w:r>
          </w:p>
        </w:tc>
        <w:tc>
          <w:tcPr>
            <w:tcW w:w="9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8,717,288 </w:t>
            </w:r>
          </w:p>
        </w:tc>
      </w:tr>
      <w:tr>
        <w:trPr>
          <w:trHeight w:val="216"/>
        </w:trPr>
        <w:tc>
          <w:tcPr>
            <w:tcW w:w="4260" w:type="dxa"/>
            <w:vAlign w:val="bottom"/>
          </w:tcPr>
          <w:p>
            <w:pPr>
              <w:spacing w:after="0" w:line="216" w:lineRule="exact"/>
              <w:rPr>
                <w:sz w:val="20"/>
                <w:szCs w:val="20"/>
                <w:color w:val="auto"/>
              </w:rPr>
            </w:pPr>
            <w:r>
              <w:rPr>
                <w:rFonts w:ascii="Arial" w:cs="Arial" w:eastAsia="Arial" w:hAnsi="Arial"/>
                <w:sz w:val="14"/>
                <w:szCs w:val="14"/>
                <w:color w:val="auto"/>
              </w:rPr>
              <w:t>Market Value of Accelerated PSU Awards</w:t>
            </w:r>
            <w:r>
              <w:rPr>
                <w:rFonts w:ascii="Arial" w:cs="Arial" w:eastAsia="Arial" w:hAnsi="Arial"/>
                <w:sz w:val="21"/>
                <w:szCs w:val="21"/>
                <w:color w:val="auto"/>
                <w:vertAlign w:val="superscript"/>
              </w:rPr>
              <w:t>(5)</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4,375,853</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4,375,853</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4,375,853 </w:t>
            </w:r>
          </w:p>
        </w:tc>
      </w:tr>
      <w:tr>
        <w:trPr>
          <w:trHeight w:val="216"/>
        </w:trPr>
        <w:tc>
          <w:tcPr>
            <w:tcW w:w="4260" w:type="dxa"/>
            <w:vAlign w:val="bottom"/>
            <w:shd w:val="clear" w:color="auto" w:fill="F2F2F2"/>
          </w:tcPr>
          <w:p>
            <w:pPr>
              <w:spacing w:after="0" w:line="216" w:lineRule="exact"/>
              <w:rPr>
                <w:sz w:val="20"/>
                <w:szCs w:val="20"/>
                <w:color w:val="auto"/>
              </w:rPr>
            </w:pPr>
            <w:r>
              <w:rPr>
                <w:rFonts w:ascii="Arial" w:cs="Arial" w:eastAsia="Arial" w:hAnsi="Arial"/>
                <w:sz w:val="14"/>
                <w:szCs w:val="14"/>
                <w:color w:val="auto"/>
              </w:rPr>
              <w:t>Market Value of Accelerated MSU Awards</w:t>
            </w:r>
            <w:r>
              <w:rPr>
                <w:rFonts w:ascii="Arial" w:cs="Arial" w:eastAsia="Arial" w:hAnsi="Arial"/>
                <w:sz w:val="21"/>
                <w:szCs w:val="21"/>
                <w:color w:val="auto"/>
                <w:vertAlign w:val="superscript"/>
              </w:rPr>
              <w:t>(6)</w:t>
            </w:r>
          </w:p>
        </w:tc>
        <w:tc>
          <w:tcPr>
            <w:tcW w:w="1020" w:type="dxa"/>
            <w:vAlign w:val="bottom"/>
            <w:shd w:val="clear" w:color="auto" w:fill="F2F2F2"/>
          </w:tcPr>
          <w:p>
            <w:pPr>
              <w:jc w:val="center"/>
              <w:ind w:left="8"/>
              <w:spacing w:after="0"/>
              <w:rPr>
                <w:sz w:val="20"/>
                <w:szCs w:val="20"/>
                <w:color w:val="auto"/>
              </w:rPr>
            </w:pPr>
            <w:r>
              <w:rPr>
                <w:rFonts w:ascii="Arial" w:cs="Arial" w:eastAsia="Arial" w:hAnsi="Arial"/>
                <w:sz w:val="14"/>
                <w:szCs w:val="14"/>
                <w:color w:val="auto"/>
                <w:w w:val="99"/>
              </w:rPr>
              <w:t>—</w:t>
            </w:r>
          </w:p>
        </w:tc>
        <w:tc>
          <w:tcPr>
            <w:tcW w:w="9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F2F2F2"/>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2,521,653</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2,521,653</w:t>
            </w:r>
          </w:p>
        </w:tc>
        <w:tc>
          <w:tcPr>
            <w:tcW w:w="9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2,521,653 </w:t>
            </w:r>
          </w:p>
        </w:tc>
      </w:tr>
      <w:tr>
        <w:trPr>
          <w:trHeight w:val="212"/>
        </w:trPr>
        <w:tc>
          <w:tcPr>
            <w:tcW w:w="4260" w:type="dxa"/>
            <w:vAlign w:val="bottom"/>
            <w:tcBorders>
              <w:bottom w:val="single" w:sz="8" w:color="376DB5"/>
            </w:tcBorders>
          </w:tcPr>
          <w:p>
            <w:pPr>
              <w:spacing w:after="0"/>
              <w:rPr>
                <w:sz w:val="20"/>
                <w:szCs w:val="20"/>
                <w:color w:val="auto"/>
              </w:rPr>
            </w:pPr>
            <w:r>
              <w:rPr>
                <w:rFonts w:ascii="Arial" w:cs="Arial" w:eastAsia="Arial" w:hAnsi="Arial"/>
                <w:sz w:val="14"/>
                <w:szCs w:val="14"/>
                <w:color w:val="auto"/>
              </w:rPr>
              <w:t>Total</w:t>
            </w:r>
          </w:p>
        </w:tc>
        <w:tc>
          <w:tcPr>
            <w:tcW w:w="1020" w:type="dxa"/>
            <w:vAlign w:val="bottom"/>
            <w:tcBorders>
              <w:bottom w:val="single" w:sz="8" w:color="376DB5"/>
            </w:tcBorders>
          </w:tcPr>
          <w:p>
            <w:pPr>
              <w:jc w:val="center"/>
              <w:ind w:left="8"/>
              <w:spacing w:after="0"/>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376DB5"/>
            </w:tcBorders>
          </w:tcPr>
          <w:p>
            <w:pPr>
              <w:jc w:val="right"/>
              <w:ind w:right="48"/>
              <w:spacing w:after="0"/>
              <w:rPr>
                <w:sz w:val="20"/>
                <w:szCs w:val="20"/>
                <w:color w:val="auto"/>
              </w:rPr>
            </w:pPr>
            <w:r>
              <w:rPr>
                <w:rFonts w:ascii="Arial" w:cs="Arial" w:eastAsia="Arial" w:hAnsi="Arial"/>
                <w:sz w:val="14"/>
                <w:szCs w:val="14"/>
                <w:color w:val="auto"/>
              </w:rPr>
              <w:t>885,208</w:t>
            </w:r>
          </w:p>
        </w:tc>
        <w:tc>
          <w:tcPr>
            <w:tcW w:w="980" w:type="dxa"/>
            <w:vAlign w:val="bottom"/>
            <w:tcBorders>
              <w:bottom w:val="single" w:sz="8" w:color="376DB5"/>
            </w:tcBorders>
          </w:tcPr>
          <w:p>
            <w:pPr>
              <w:jc w:val="right"/>
              <w:ind w:right="48"/>
              <w:spacing w:after="0"/>
              <w:rPr>
                <w:sz w:val="20"/>
                <w:szCs w:val="20"/>
                <w:color w:val="auto"/>
              </w:rPr>
            </w:pPr>
            <w:r>
              <w:rPr>
                <w:rFonts w:ascii="Arial" w:cs="Arial" w:eastAsia="Arial" w:hAnsi="Arial"/>
                <w:sz w:val="14"/>
                <w:szCs w:val="14"/>
                <w:color w:val="auto"/>
              </w:rPr>
              <w:t>16,500,002</w:t>
            </w:r>
          </w:p>
        </w:tc>
        <w:tc>
          <w:tcPr>
            <w:tcW w:w="92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376DB5"/>
            </w:tcBorders>
          </w:tcPr>
          <w:p>
            <w:pPr>
              <w:jc w:val="right"/>
              <w:ind w:right="48"/>
              <w:spacing w:after="0"/>
              <w:rPr>
                <w:sz w:val="20"/>
                <w:szCs w:val="20"/>
                <w:color w:val="auto"/>
              </w:rPr>
            </w:pPr>
            <w:r>
              <w:rPr>
                <w:rFonts w:ascii="Arial" w:cs="Arial" w:eastAsia="Arial" w:hAnsi="Arial"/>
                <w:sz w:val="14"/>
                <w:szCs w:val="14"/>
                <w:color w:val="auto"/>
              </w:rPr>
              <w:t>15,614,794</w:t>
            </w:r>
          </w:p>
        </w:tc>
        <w:tc>
          <w:tcPr>
            <w:tcW w:w="980" w:type="dxa"/>
            <w:vAlign w:val="bottom"/>
            <w:tcBorders>
              <w:bottom w:val="single" w:sz="8" w:color="376DB5"/>
            </w:tcBorders>
          </w:tcPr>
          <w:p>
            <w:pPr>
              <w:jc w:val="right"/>
              <w:ind w:right="8"/>
              <w:spacing w:after="0"/>
              <w:rPr>
                <w:sz w:val="20"/>
                <w:szCs w:val="20"/>
                <w:color w:val="auto"/>
              </w:rPr>
            </w:pPr>
            <w:r>
              <w:rPr>
                <w:rFonts w:ascii="Arial" w:cs="Arial" w:eastAsia="Arial" w:hAnsi="Arial"/>
                <w:sz w:val="14"/>
                <w:szCs w:val="14"/>
                <w:color w:val="auto"/>
              </w:rPr>
              <w:t>15,614,794 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1226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50" w:lineRule="exact"/>
        <w:rPr>
          <w:sz w:val="20"/>
          <w:szCs w:val="20"/>
          <w:color w:val="auto"/>
        </w:rPr>
      </w:pPr>
    </w:p>
    <w:p>
      <w:pPr>
        <w:jc w:val="both"/>
        <w:ind w:left="540" w:right="20" w:hanging="424"/>
        <w:spacing w:after="0" w:line="218" w:lineRule="auto"/>
        <w:tabs>
          <w:tab w:leader="none" w:pos="540" w:val="left"/>
        </w:tabs>
        <w:numPr>
          <w:ilvl w:val="0"/>
          <w:numId w:val="63"/>
        </w:numPr>
        <w:rPr>
          <w:rFonts w:ascii="Arial" w:cs="Arial" w:eastAsia="Arial" w:hAnsi="Arial"/>
          <w:sz w:val="27"/>
          <w:szCs w:val="27"/>
          <w:color w:val="auto"/>
          <w:vertAlign w:val="superscript"/>
        </w:rPr>
      </w:pPr>
      <w:r>
        <w:rPr>
          <w:rFonts w:ascii="Arial" w:cs="Arial" w:eastAsia="Arial" w:hAnsi="Arial"/>
          <w:sz w:val="18"/>
          <w:szCs w:val="18"/>
          <w:color w:val="auto"/>
        </w:rPr>
        <w:t>Pursuant to Mr. Behl’s Letter Agreement, he is entitled to a lump sum payment equal to one times the sum of his current base salary plus the annual incentive award last paid to him if his employment is terminated by the Company without cause or by Mr. Behl for good reason. Mr. Behl’s Management Agreement provides for the same payments in the event his employment is terminated by the Company without cause or by Mr. Behl for good reason within 60 days before or two years following a change in control.</w:t>
      </w:r>
    </w:p>
    <w:p>
      <w:pPr>
        <w:spacing w:after="0" w:line="4" w:lineRule="exact"/>
        <w:rPr>
          <w:rFonts w:ascii="Arial" w:cs="Arial" w:eastAsia="Arial" w:hAnsi="Arial"/>
          <w:sz w:val="27"/>
          <w:szCs w:val="27"/>
          <w:color w:val="auto"/>
          <w:vertAlign w:val="superscript"/>
        </w:rPr>
      </w:pPr>
    </w:p>
    <w:p>
      <w:pPr>
        <w:jc w:val="both"/>
        <w:ind w:left="540" w:right="20" w:hanging="424"/>
        <w:spacing w:after="0" w:line="221" w:lineRule="auto"/>
        <w:tabs>
          <w:tab w:leader="none" w:pos="540" w:val="left"/>
        </w:tabs>
        <w:numPr>
          <w:ilvl w:val="0"/>
          <w:numId w:val="63"/>
        </w:numPr>
        <w:rPr>
          <w:rFonts w:ascii="Arial" w:cs="Arial" w:eastAsia="Arial" w:hAnsi="Arial"/>
          <w:sz w:val="27"/>
          <w:szCs w:val="27"/>
          <w:color w:val="auto"/>
          <w:vertAlign w:val="superscript"/>
        </w:rPr>
      </w:pPr>
      <w:r>
        <w:rPr>
          <w:rFonts w:ascii="Arial" w:cs="Arial" w:eastAsia="Arial" w:hAnsi="Arial"/>
          <w:sz w:val="18"/>
          <w:szCs w:val="18"/>
          <w:color w:val="auto"/>
        </w:rPr>
        <w:t>Pursuant to Mr. Behl’s Letter Agreement, the Company is obligated to provide benefits to Mr. Behl at existing levels for 12 months post-termination if his employment is terminated by the Company without cause or by Mr. Behl for good reason. Mr. Behl’s Management Agreement provides for the same benefits in the event his employment is terminated by the Company without cause or by Mr. Behl for good reason within 60 days before or two years following a change in control. The amounts shown represent the total cost of COBRA premiums for continuing such benefits over the applicable time period.</w:t>
      </w:r>
    </w:p>
    <w:p>
      <w:pPr>
        <w:ind w:left="540" w:hanging="424"/>
        <w:spacing w:after="0" w:line="187" w:lineRule="auto"/>
        <w:tabs>
          <w:tab w:leader="none" w:pos="540" w:val="left"/>
        </w:tabs>
        <w:numPr>
          <w:ilvl w:val="0"/>
          <w:numId w:val="63"/>
        </w:numPr>
        <w:rPr>
          <w:rFonts w:ascii="Arial" w:cs="Arial" w:eastAsia="Arial" w:hAnsi="Arial"/>
          <w:sz w:val="27"/>
          <w:szCs w:val="27"/>
          <w:color w:val="auto"/>
          <w:vertAlign w:val="superscript"/>
        </w:rPr>
      </w:pPr>
      <w:r>
        <w:rPr>
          <w:rFonts w:ascii="Arial" w:cs="Arial" w:eastAsia="Arial" w:hAnsi="Arial"/>
          <w:sz w:val="18"/>
          <w:szCs w:val="18"/>
          <w:color w:val="auto"/>
        </w:rPr>
        <w:t>Mr. Behl currently does not have any stock options that would accelerate.</w:t>
      </w:r>
    </w:p>
    <w:p>
      <w:pPr>
        <w:spacing w:after="0" w:line="23" w:lineRule="exact"/>
        <w:rPr>
          <w:rFonts w:ascii="Arial" w:cs="Arial" w:eastAsia="Arial" w:hAnsi="Arial"/>
          <w:sz w:val="27"/>
          <w:szCs w:val="27"/>
          <w:color w:val="auto"/>
          <w:vertAlign w:val="superscript"/>
        </w:rPr>
      </w:pPr>
    </w:p>
    <w:p>
      <w:pPr>
        <w:jc w:val="both"/>
        <w:ind w:left="540" w:hanging="424"/>
        <w:spacing w:after="0" w:line="213" w:lineRule="auto"/>
        <w:tabs>
          <w:tab w:leader="none" w:pos="540" w:val="left"/>
        </w:tabs>
        <w:numPr>
          <w:ilvl w:val="0"/>
          <w:numId w:val="63"/>
        </w:numPr>
        <w:rPr>
          <w:rFonts w:ascii="Arial" w:cs="Arial" w:eastAsia="Arial" w:hAnsi="Arial"/>
          <w:sz w:val="27"/>
          <w:szCs w:val="27"/>
          <w:color w:val="auto"/>
          <w:vertAlign w:val="superscript"/>
        </w:rPr>
      </w:pPr>
      <w:r>
        <w:rPr>
          <w:rFonts w:ascii="Arial" w:cs="Arial" w:eastAsia="Arial" w:hAnsi="Arial"/>
          <w:sz w:val="18"/>
          <w:szCs w:val="18"/>
          <w:color w:val="auto"/>
        </w:rPr>
        <w:t>The amounts shown represent the RSUs that would immediately vest upon the applicable triggering event, based on the Company’s closing stock price on September 30, 2025, of $1,496.53. Mr. Behl’s Management Agreement provides for such acceleration upon a termination of employment in connection with a change in control, and the terms of the equity awards provide for such acceleration upon death or disability.</w:t>
      </w:r>
    </w:p>
    <w:p>
      <w:pPr>
        <w:spacing w:after="0" w:line="5" w:lineRule="exact"/>
        <w:rPr>
          <w:rFonts w:ascii="Arial" w:cs="Arial" w:eastAsia="Arial" w:hAnsi="Arial"/>
          <w:sz w:val="27"/>
          <w:szCs w:val="27"/>
          <w:color w:val="auto"/>
          <w:vertAlign w:val="superscript"/>
        </w:rPr>
      </w:pPr>
    </w:p>
    <w:p>
      <w:pPr>
        <w:jc w:val="both"/>
        <w:ind w:left="540" w:hanging="424"/>
        <w:spacing w:after="0" w:line="218" w:lineRule="auto"/>
        <w:tabs>
          <w:tab w:leader="none" w:pos="540" w:val="left"/>
        </w:tabs>
        <w:numPr>
          <w:ilvl w:val="0"/>
          <w:numId w:val="63"/>
        </w:numPr>
        <w:rPr>
          <w:rFonts w:ascii="Arial" w:cs="Arial" w:eastAsia="Arial" w:hAnsi="Arial"/>
          <w:sz w:val="27"/>
          <w:szCs w:val="27"/>
          <w:color w:val="auto"/>
          <w:vertAlign w:val="superscript"/>
        </w:rPr>
      </w:pPr>
      <w:r>
        <w:rPr>
          <w:rFonts w:ascii="Arial" w:cs="Arial" w:eastAsia="Arial" w:hAnsi="Arial"/>
          <w:sz w:val="18"/>
          <w:szCs w:val="18"/>
          <w:color w:val="auto"/>
        </w:rPr>
        <w:t>The amounts shown represent the earned PSUs that would immediately vest upon the applicable triggering event, based on the Company’s closing stock price on September 30, 2025, of $1,496.53. Mr. Behl’s Management Agreement and the terms of the equity award provide for such acceleration upon a termination of employment in connection with a change in control, and the terms of the equity award provides for such acceleration upon death or disability.</w:t>
      </w:r>
    </w:p>
    <w:p>
      <w:pPr>
        <w:spacing w:after="0" w:line="4" w:lineRule="exact"/>
        <w:rPr>
          <w:rFonts w:ascii="Arial" w:cs="Arial" w:eastAsia="Arial" w:hAnsi="Arial"/>
          <w:sz w:val="27"/>
          <w:szCs w:val="27"/>
          <w:color w:val="auto"/>
          <w:vertAlign w:val="superscript"/>
        </w:rPr>
      </w:pPr>
    </w:p>
    <w:p>
      <w:pPr>
        <w:ind w:left="540" w:hanging="424"/>
        <w:spacing w:after="0" w:line="204" w:lineRule="auto"/>
        <w:tabs>
          <w:tab w:leader="none" w:pos="540" w:val="left"/>
        </w:tabs>
        <w:numPr>
          <w:ilvl w:val="0"/>
          <w:numId w:val="63"/>
        </w:numPr>
        <w:rPr>
          <w:rFonts w:ascii="Arial" w:cs="Arial" w:eastAsia="Arial" w:hAnsi="Arial"/>
          <w:sz w:val="27"/>
          <w:szCs w:val="27"/>
          <w:color w:val="auto"/>
          <w:vertAlign w:val="superscript"/>
        </w:rPr>
      </w:pPr>
      <w:r>
        <w:rPr>
          <w:rFonts w:ascii="Arial" w:cs="Arial" w:eastAsia="Arial" w:hAnsi="Arial"/>
          <w:sz w:val="18"/>
          <w:szCs w:val="18"/>
          <w:color w:val="auto"/>
        </w:rPr>
        <w:t>The amounts shown represent the unearned MSUs that would immediately be earned and vest upon the applicable triggering event, based on the Company’s closing stock price on September 30, 2025, of $1,496.53 and a relative</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73</w:t>
      </w:r>
    </w:p>
    <w:p>
      <w:pPr>
        <w:sectPr>
          <w:pgSz w:w="11900" w:h="16838" w:orient="portrait"/>
          <w:cols w:equalWidth="0" w:num="1">
            <w:col w:w="11140"/>
          </w:cols>
          <w:pgMar w:left="320" w:top="482"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jc w:val="both"/>
        <w:ind w:left="540" w:right="20"/>
        <w:spacing w:after="0" w:line="253" w:lineRule="auto"/>
        <w:rPr>
          <w:sz w:val="20"/>
          <w:szCs w:val="20"/>
          <w:color w:val="auto"/>
        </w:rPr>
      </w:pPr>
      <w:r>
        <w:rPr>
          <w:rFonts w:ascii="Arial" w:cs="Arial" w:eastAsia="Arial" w:hAnsi="Arial"/>
          <w:sz w:val="18"/>
          <w:szCs w:val="18"/>
          <w:color w:val="auto"/>
        </w:rPr>
        <w:t>total shareholder return performance of 0% in the adjusted performance period. The terms of the equity award provide for such acceleration upon a termination of employment for reasons other than Cause in connection with a change in control, and the terms of the equity award provides for such acceleration upon death or disability.</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Richard Deal</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4260" w:type="dxa"/>
            <w:vAlign w:val="bottom"/>
            <w:tcBorders>
              <w:top w:val="single" w:sz="8" w:color="376DB5"/>
            </w:tcBorders>
          </w:tcPr>
          <w:p>
            <w:pPr>
              <w:spacing w:after="0"/>
              <w:rPr>
                <w:sz w:val="15"/>
                <w:szCs w:val="15"/>
                <w:color w:val="auto"/>
              </w:rPr>
            </w:pPr>
          </w:p>
        </w:tc>
        <w:tc>
          <w:tcPr>
            <w:tcW w:w="1020" w:type="dxa"/>
            <w:vAlign w:val="bottom"/>
            <w:tcBorders>
              <w:top w:val="single" w:sz="8" w:color="376DB5"/>
            </w:tcBorders>
          </w:tcPr>
          <w:p>
            <w:pPr>
              <w:spacing w:after="0"/>
              <w:rPr>
                <w:sz w:val="15"/>
                <w:szCs w:val="15"/>
                <w:color w:val="auto"/>
              </w:rPr>
            </w:pPr>
          </w:p>
        </w:tc>
        <w:tc>
          <w:tcPr>
            <w:tcW w:w="940" w:type="dxa"/>
            <w:vAlign w:val="bottom"/>
            <w:tcBorders>
              <w:top w:val="single" w:sz="8" w:color="376DB5"/>
            </w:tcBorders>
          </w:tcPr>
          <w:p>
            <w:pPr>
              <w:spacing w:after="0"/>
              <w:rPr>
                <w:sz w:val="15"/>
                <w:szCs w:val="15"/>
                <w:color w:val="auto"/>
              </w:rPr>
            </w:pPr>
          </w:p>
        </w:tc>
        <w:tc>
          <w:tcPr>
            <w:tcW w:w="960" w:type="dxa"/>
            <w:vAlign w:val="bottom"/>
            <w:tcBorders>
              <w:top w:val="single" w:sz="8" w:color="376DB5"/>
            </w:tcBorders>
          </w:tcPr>
          <w:p>
            <w:pPr>
              <w:spacing w:after="0"/>
              <w:rPr>
                <w:sz w:val="15"/>
                <w:szCs w:val="15"/>
                <w:color w:val="auto"/>
              </w:rPr>
            </w:pPr>
          </w:p>
        </w:tc>
        <w:tc>
          <w:tcPr>
            <w:tcW w:w="980" w:type="dxa"/>
            <w:vAlign w:val="bottom"/>
            <w:tcBorders>
              <w:top w:val="single" w:sz="8" w:color="376DB5"/>
            </w:tcBorders>
          </w:tcPr>
          <w:p>
            <w:pPr>
              <w:jc w:val="center"/>
              <w:spacing w:after="0"/>
              <w:rPr>
                <w:sz w:val="20"/>
                <w:szCs w:val="20"/>
                <w:color w:val="auto"/>
              </w:rPr>
            </w:pPr>
            <w:r>
              <w:rPr>
                <w:rFonts w:ascii="Arial" w:cs="Arial" w:eastAsia="Arial" w:hAnsi="Arial"/>
                <w:sz w:val="14"/>
                <w:szCs w:val="14"/>
                <w:color w:val="376DB5"/>
              </w:rPr>
              <w:t>Termination</w:t>
            </w:r>
          </w:p>
        </w:tc>
        <w:tc>
          <w:tcPr>
            <w:tcW w:w="920" w:type="dxa"/>
            <w:vAlign w:val="bottom"/>
            <w:tcBorders>
              <w:top w:val="single" w:sz="8" w:color="376DB5"/>
            </w:tcBorders>
          </w:tcPr>
          <w:p>
            <w:pPr>
              <w:spacing w:after="0"/>
              <w:rPr>
                <w:sz w:val="15"/>
                <w:szCs w:val="15"/>
                <w:color w:val="auto"/>
              </w:rPr>
            </w:pPr>
          </w:p>
        </w:tc>
        <w:tc>
          <w:tcPr>
            <w:tcW w:w="960" w:type="dxa"/>
            <w:vAlign w:val="bottom"/>
            <w:tcBorders>
              <w:top w:val="single" w:sz="8" w:color="376DB5"/>
            </w:tcBorders>
          </w:tcPr>
          <w:p>
            <w:pPr>
              <w:spacing w:after="0"/>
              <w:rPr>
                <w:sz w:val="15"/>
                <w:szCs w:val="15"/>
                <w:color w:val="auto"/>
              </w:rPr>
            </w:pPr>
          </w:p>
        </w:tc>
        <w:tc>
          <w:tcPr>
            <w:tcW w:w="980" w:type="dxa"/>
            <w:vAlign w:val="bottom"/>
            <w:tcBorders>
              <w:top w:val="single" w:sz="8" w:color="376DB5"/>
            </w:tcBorders>
          </w:tcPr>
          <w:p>
            <w:pPr>
              <w:spacing w:after="0"/>
              <w:rPr>
                <w:sz w:val="15"/>
                <w:szCs w:val="15"/>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376DB5"/>
              </w:rPr>
              <w:t>by Us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376DB5"/>
              </w:rPr>
              <w:t>Without</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376DB5"/>
              </w:rPr>
              <w:t>Cause in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376DB5"/>
              </w:rPr>
              <w:t>Connection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376DB5"/>
              </w:rPr>
              <w:t>with a</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376DB5"/>
              </w:rPr>
              <w:t>Change in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376DB5"/>
              </w:rPr>
              <w:t>Termination</w:t>
            </w:r>
          </w:p>
        </w:tc>
        <w:tc>
          <w:tcPr>
            <w:tcW w:w="980" w:type="dxa"/>
            <w:vAlign w:val="bottom"/>
          </w:tcPr>
          <w:p>
            <w:pPr>
              <w:jc w:val="center"/>
              <w:spacing w:after="0"/>
              <w:rPr>
                <w:sz w:val="20"/>
                <w:szCs w:val="20"/>
                <w:color w:val="auto"/>
              </w:rPr>
            </w:pPr>
            <w:r>
              <w:rPr>
                <w:rFonts w:ascii="Arial" w:cs="Arial" w:eastAsia="Arial" w:hAnsi="Arial"/>
                <w:sz w:val="14"/>
                <w:szCs w:val="14"/>
                <w:color w:val="376DB5"/>
              </w:rPr>
              <w:t>Control or</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376DB5"/>
              </w:rPr>
              <w:t>by Us</w:t>
            </w:r>
          </w:p>
        </w:tc>
        <w:tc>
          <w:tcPr>
            <w:tcW w:w="980" w:type="dxa"/>
            <w:vAlign w:val="bottom"/>
          </w:tcPr>
          <w:p>
            <w:pPr>
              <w:jc w:val="center"/>
              <w:spacing w:after="0"/>
              <w:rPr>
                <w:sz w:val="20"/>
                <w:szCs w:val="20"/>
                <w:color w:val="auto"/>
              </w:rPr>
            </w:pPr>
            <w:r>
              <w:rPr>
                <w:rFonts w:ascii="Arial" w:cs="Arial" w:eastAsia="Arial" w:hAnsi="Arial"/>
                <w:sz w:val="14"/>
                <w:szCs w:val="14"/>
                <w:color w:val="376DB5"/>
              </w:rPr>
              <w:t>by the NEO</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376DB5"/>
              </w:rPr>
              <w:t>Without</w:t>
            </w:r>
          </w:p>
        </w:tc>
        <w:tc>
          <w:tcPr>
            <w:tcW w:w="980" w:type="dxa"/>
            <w:vAlign w:val="bottom"/>
          </w:tcPr>
          <w:p>
            <w:pPr>
              <w:jc w:val="center"/>
              <w:spacing w:after="0"/>
              <w:rPr>
                <w:sz w:val="20"/>
                <w:szCs w:val="20"/>
                <w:color w:val="auto"/>
              </w:rPr>
            </w:pPr>
            <w:r>
              <w:rPr>
                <w:rFonts w:ascii="Arial" w:cs="Arial" w:eastAsia="Arial" w:hAnsi="Arial"/>
                <w:sz w:val="14"/>
                <w:szCs w:val="14"/>
                <w:color w:val="376DB5"/>
              </w:rPr>
              <w:t>with Good</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376DB5"/>
              </w:rPr>
              <w:t>Cause or</w:t>
            </w:r>
          </w:p>
        </w:tc>
        <w:tc>
          <w:tcPr>
            <w:tcW w:w="980" w:type="dxa"/>
            <w:vAlign w:val="bottom"/>
          </w:tcPr>
          <w:p>
            <w:pPr>
              <w:jc w:val="center"/>
              <w:spacing w:after="0"/>
              <w:rPr>
                <w:sz w:val="20"/>
                <w:szCs w:val="20"/>
                <w:color w:val="auto"/>
              </w:rPr>
            </w:pPr>
            <w:r>
              <w:rPr>
                <w:rFonts w:ascii="Arial" w:cs="Arial" w:eastAsia="Arial" w:hAnsi="Arial"/>
                <w:sz w:val="14"/>
                <w:szCs w:val="14"/>
                <w:color w:val="376DB5"/>
              </w:rPr>
              <w:t>Reason in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376DB5"/>
              </w:rPr>
              <w:t>by</w:t>
            </w:r>
          </w:p>
        </w:tc>
        <w:tc>
          <w:tcPr>
            <w:tcW w:w="980" w:type="dxa"/>
            <w:vAlign w:val="bottom"/>
          </w:tcPr>
          <w:p>
            <w:pPr>
              <w:jc w:val="center"/>
              <w:spacing w:after="0"/>
              <w:rPr>
                <w:sz w:val="20"/>
                <w:szCs w:val="20"/>
                <w:color w:val="auto"/>
              </w:rPr>
            </w:pPr>
            <w:r>
              <w:rPr>
                <w:rFonts w:ascii="Arial" w:cs="Arial" w:eastAsia="Arial" w:hAnsi="Arial"/>
                <w:sz w:val="14"/>
                <w:szCs w:val="14"/>
                <w:color w:val="376DB5"/>
              </w:rPr>
              <w:t>Connection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jc w:val="center"/>
              <w:ind w:left="28"/>
              <w:spacing w:after="0"/>
              <w:rPr>
                <w:sz w:val="20"/>
                <w:szCs w:val="20"/>
                <w:color w:val="auto"/>
              </w:rPr>
            </w:pPr>
            <w:r>
              <w:rPr>
                <w:rFonts w:ascii="Arial" w:cs="Arial" w:eastAsia="Arial" w:hAnsi="Arial"/>
                <w:sz w:val="14"/>
                <w:szCs w:val="14"/>
                <w:color w:val="376DB5"/>
              </w:rPr>
              <w:t>Voluntary</w:t>
            </w:r>
          </w:p>
        </w:tc>
        <w:tc>
          <w:tcPr>
            <w:tcW w:w="940" w:type="dxa"/>
            <w:vAlign w:val="bottom"/>
          </w:tcPr>
          <w:p>
            <w:pPr>
              <w:jc w:val="center"/>
              <w:spacing w:after="0"/>
              <w:rPr>
                <w:sz w:val="20"/>
                <w:szCs w:val="20"/>
                <w:color w:val="auto"/>
              </w:rPr>
            </w:pPr>
            <w:r>
              <w:rPr>
                <w:rFonts w:ascii="Arial" w:cs="Arial" w:eastAsia="Arial" w:hAnsi="Arial"/>
                <w:sz w:val="14"/>
                <w:szCs w:val="14"/>
                <w:color w:val="376DB5"/>
              </w:rPr>
              <w:t>Termination</w:t>
            </w:r>
          </w:p>
        </w:tc>
        <w:tc>
          <w:tcPr>
            <w:tcW w:w="960" w:type="dxa"/>
            <w:vAlign w:val="bottom"/>
          </w:tcPr>
          <w:p>
            <w:pPr>
              <w:jc w:val="center"/>
              <w:spacing w:after="0"/>
              <w:rPr>
                <w:sz w:val="20"/>
                <w:szCs w:val="20"/>
                <w:color w:val="auto"/>
              </w:rPr>
            </w:pPr>
            <w:r>
              <w:rPr>
                <w:rFonts w:ascii="Arial" w:cs="Arial" w:eastAsia="Arial" w:hAnsi="Arial"/>
                <w:sz w:val="14"/>
                <w:szCs w:val="14"/>
                <w:color w:val="376DB5"/>
              </w:rPr>
              <w:t>NEO with</w:t>
            </w:r>
          </w:p>
        </w:tc>
        <w:tc>
          <w:tcPr>
            <w:tcW w:w="980" w:type="dxa"/>
            <w:vAlign w:val="bottom"/>
          </w:tcPr>
          <w:p>
            <w:pPr>
              <w:jc w:val="center"/>
              <w:spacing w:after="0"/>
              <w:rPr>
                <w:sz w:val="20"/>
                <w:szCs w:val="20"/>
                <w:color w:val="auto"/>
              </w:rPr>
            </w:pPr>
            <w:r>
              <w:rPr>
                <w:rFonts w:ascii="Arial" w:cs="Arial" w:eastAsia="Arial" w:hAnsi="Arial"/>
                <w:sz w:val="14"/>
                <w:szCs w:val="14"/>
                <w:color w:val="376DB5"/>
              </w:rPr>
              <w:t>with a</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jc w:val="center"/>
              <w:ind w:left="8"/>
              <w:spacing w:after="0"/>
              <w:rPr>
                <w:sz w:val="20"/>
                <w:szCs w:val="20"/>
                <w:color w:val="auto"/>
              </w:rPr>
            </w:pPr>
            <w:r>
              <w:rPr>
                <w:rFonts w:ascii="Arial" w:cs="Arial" w:eastAsia="Arial" w:hAnsi="Arial"/>
                <w:sz w:val="14"/>
                <w:szCs w:val="14"/>
                <w:color w:val="376DB5"/>
              </w:rPr>
              <w:t>Termination</w:t>
            </w:r>
          </w:p>
        </w:tc>
        <w:tc>
          <w:tcPr>
            <w:tcW w:w="940" w:type="dxa"/>
            <w:vAlign w:val="bottom"/>
          </w:tcPr>
          <w:p>
            <w:pPr>
              <w:jc w:val="center"/>
              <w:spacing w:after="0"/>
              <w:rPr>
                <w:sz w:val="20"/>
                <w:szCs w:val="20"/>
                <w:color w:val="auto"/>
              </w:rPr>
            </w:pPr>
            <w:r>
              <w:rPr>
                <w:rFonts w:ascii="Arial" w:cs="Arial" w:eastAsia="Arial" w:hAnsi="Arial"/>
                <w:sz w:val="14"/>
                <w:szCs w:val="14"/>
                <w:color w:val="376DB5"/>
              </w:rPr>
              <w:t>by Us For</w:t>
            </w:r>
          </w:p>
        </w:tc>
        <w:tc>
          <w:tcPr>
            <w:tcW w:w="960" w:type="dxa"/>
            <w:vAlign w:val="bottom"/>
          </w:tcPr>
          <w:p>
            <w:pPr>
              <w:jc w:val="center"/>
              <w:spacing w:after="0"/>
              <w:rPr>
                <w:sz w:val="20"/>
                <w:szCs w:val="20"/>
                <w:color w:val="auto"/>
              </w:rPr>
            </w:pPr>
            <w:r>
              <w:rPr>
                <w:rFonts w:ascii="Arial" w:cs="Arial" w:eastAsia="Arial" w:hAnsi="Arial"/>
                <w:sz w:val="14"/>
                <w:szCs w:val="14"/>
                <w:color w:val="376DB5"/>
              </w:rPr>
              <w:t>Good</w:t>
            </w:r>
          </w:p>
        </w:tc>
        <w:tc>
          <w:tcPr>
            <w:tcW w:w="980" w:type="dxa"/>
            <w:vAlign w:val="bottom"/>
          </w:tcPr>
          <w:p>
            <w:pPr>
              <w:jc w:val="center"/>
              <w:spacing w:after="0"/>
              <w:rPr>
                <w:sz w:val="20"/>
                <w:szCs w:val="20"/>
                <w:color w:val="auto"/>
              </w:rPr>
            </w:pPr>
            <w:r>
              <w:rPr>
                <w:rFonts w:ascii="Arial" w:cs="Arial" w:eastAsia="Arial" w:hAnsi="Arial"/>
                <w:sz w:val="14"/>
                <w:szCs w:val="14"/>
                <w:color w:val="376DB5"/>
              </w:rPr>
              <w:t>Change in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20" w:type="dxa"/>
            <w:vAlign w:val="bottom"/>
          </w:tcPr>
          <w:p>
            <w:pPr>
              <w:jc w:val="center"/>
              <w:ind w:left="8"/>
              <w:spacing w:after="0"/>
              <w:rPr>
                <w:sz w:val="20"/>
                <w:szCs w:val="20"/>
                <w:color w:val="auto"/>
              </w:rPr>
            </w:pPr>
            <w:r>
              <w:rPr>
                <w:rFonts w:ascii="Arial" w:cs="Arial" w:eastAsia="Arial" w:hAnsi="Arial"/>
                <w:sz w:val="14"/>
                <w:szCs w:val="14"/>
                <w:color w:val="376DB5"/>
              </w:rPr>
              <w:t>by NEO</w:t>
            </w:r>
          </w:p>
        </w:tc>
        <w:tc>
          <w:tcPr>
            <w:tcW w:w="940" w:type="dxa"/>
            <w:vAlign w:val="bottom"/>
          </w:tcPr>
          <w:p>
            <w:pPr>
              <w:jc w:val="center"/>
              <w:spacing w:after="0"/>
              <w:rPr>
                <w:sz w:val="20"/>
                <w:szCs w:val="20"/>
                <w:color w:val="auto"/>
              </w:rPr>
            </w:pPr>
            <w:r>
              <w:rPr>
                <w:rFonts w:ascii="Arial" w:cs="Arial" w:eastAsia="Arial" w:hAnsi="Arial"/>
                <w:sz w:val="14"/>
                <w:szCs w:val="14"/>
                <w:color w:val="376DB5"/>
              </w:rPr>
              <w:t>Cause</w:t>
            </w:r>
          </w:p>
        </w:tc>
        <w:tc>
          <w:tcPr>
            <w:tcW w:w="960" w:type="dxa"/>
            <w:vAlign w:val="bottom"/>
          </w:tcPr>
          <w:p>
            <w:pPr>
              <w:jc w:val="center"/>
              <w:spacing w:after="0"/>
              <w:rPr>
                <w:sz w:val="20"/>
                <w:szCs w:val="20"/>
                <w:color w:val="auto"/>
              </w:rPr>
            </w:pPr>
            <w:r>
              <w:rPr>
                <w:rFonts w:ascii="Arial" w:cs="Arial" w:eastAsia="Arial" w:hAnsi="Arial"/>
                <w:sz w:val="14"/>
                <w:szCs w:val="14"/>
                <w:color w:val="376DB5"/>
                <w:w w:val="99"/>
              </w:rPr>
              <w:t>Reason</w:t>
            </w:r>
          </w:p>
        </w:tc>
        <w:tc>
          <w:tcPr>
            <w:tcW w:w="980" w:type="dxa"/>
            <w:vAlign w:val="bottom"/>
          </w:tcPr>
          <w:p>
            <w:pPr>
              <w:jc w:val="center"/>
              <w:spacing w:after="0"/>
              <w:rPr>
                <w:sz w:val="20"/>
                <w:szCs w:val="20"/>
                <w:color w:val="auto"/>
              </w:rPr>
            </w:pPr>
            <w:r>
              <w:rPr>
                <w:rFonts w:ascii="Arial" w:cs="Arial" w:eastAsia="Arial" w:hAnsi="Arial"/>
                <w:sz w:val="14"/>
                <w:szCs w:val="14"/>
                <w:color w:val="376DB5"/>
              </w:rPr>
              <w:t>Control</w:t>
            </w:r>
          </w:p>
        </w:tc>
        <w:tc>
          <w:tcPr>
            <w:tcW w:w="920" w:type="dxa"/>
            <w:vAlign w:val="bottom"/>
          </w:tcPr>
          <w:p>
            <w:pPr>
              <w:ind w:left="100"/>
              <w:spacing w:after="0"/>
              <w:rPr>
                <w:sz w:val="20"/>
                <w:szCs w:val="20"/>
                <w:color w:val="auto"/>
              </w:rPr>
            </w:pPr>
            <w:r>
              <w:rPr>
                <w:rFonts w:ascii="Arial" w:cs="Arial" w:eastAsia="Arial" w:hAnsi="Arial"/>
                <w:sz w:val="14"/>
                <w:szCs w:val="14"/>
                <w:color w:val="376DB5"/>
              </w:rPr>
              <w:t>Retirement</w:t>
            </w:r>
          </w:p>
        </w:tc>
        <w:tc>
          <w:tcPr>
            <w:tcW w:w="960" w:type="dxa"/>
            <w:vAlign w:val="bottom"/>
          </w:tcPr>
          <w:p>
            <w:pPr>
              <w:jc w:val="right"/>
              <w:ind w:right="148"/>
              <w:spacing w:after="0"/>
              <w:rPr>
                <w:sz w:val="20"/>
                <w:szCs w:val="20"/>
                <w:color w:val="auto"/>
              </w:rPr>
            </w:pPr>
            <w:r>
              <w:rPr>
                <w:rFonts w:ascii="Arial" w:cs="Arial" w:eastAsia="Arial" w:hAnsi="Arial"/>
                <w:sz w:val="14"/>
                <w:szCs w:val="14"/>
                <w:color w:val="376DB5"/>
              </w:rPr>
              <w:t>Disability</w:t>
            </w:r>
          </w:p>
        </w:tc>
        <w:tc>
          <w:tcPr>
            <w:tcW w:w="980" w:type="dxa"/>
            <w:vAlign w:val="bottom"/>
          </w:tcPr>
          <w:p>
            <w:pPr>
              <w:jc w:val="right"/>
              <w:ind w:right="208"/>
              <w:spacing w:after="0"/>
              <w:rPr>
                <w:sz w:val="20"/>
                <w:szCs w:val="20"/>
                <w:color w:val="auto"/>
              </w:rPr>
            </w:pPr>
            <w:r>
              <w:rPr>
                <w:rFonts w:ascii="Arial" w:cs="Arial" w:eastAsia="Arial" w:hAnsi="Arial"/>
                <w:sz w:val="14"/>
                <w:szCs w:val="14"/>
                <w:color w:val="376DB5"/>
              </w:rPr>
              <w:t>Death</w:t>
            </w:r>
          </w:p>
        </w:tc>
      </w:tr>
      <w:tr>
        <w:trPr>
          <w:trHeight w:val="194"/>
        </w:trPr>
        <w:tc>
          <w:tcPr>
            <w:tcW w:w="4260" w:type="dxa"/>
            <w:vAlign w:val="bottom"/>
            <w:tcBorders>
              <w:bottom w:val="single" w:sz="8" w:color="376DB5"/>
            </w:tcBorders>
          </w:tcPr>
          <w:p>
            <w:pPr>
              <w:spacing w:after="0"/>
              <w:rPr>
                <w:sz w:val="20"/>
                <w:szCs w:val="20"/>
                <w:color w:val="auto"/>
              </w:rPr>
            </w:pPr>
            <w:r>
              <w:rPr>
                <w:rFonts w:ascii="Arial" w:cs="Arial" w:eastAsia="Arial" w:hAnsi="Arial"/>
                <w:sz w:val="14"/>
                <w:szCs w:val="14"/>
                <w:color w:val="376DB5"/>
              </w:rPr>
              <w:t>Payment or Benefit</w:t>
            </w:r>
          </w:p>
        </w:tc>
        <w:tc>
          <w:tcPr>
            <w:tcW w:w="1020" w:type="dxa"/>
            <w:vAlign w:val="bottom"/>
            <w:tcBorders>
              <w:bottom w:val="single" w:sz="8" w:color="376DB5"/>
            </w:tcBorders>
          </w:tcPr>
          <w:p>
            <w:pPr>
              <w:jc w:val="center"/>
              <w:ind w:left="8"/>
              <w:spacing w:after="0"/>
              <w:rPr>
                <w:sz w:val="20"/>
                <w:szCs w:val="20"/>
                <w:color w:val="auto"/>
              </w:rPr>
            </w:pPr>
            <w:r>
              <w:rPr>
                <w:rFonts w:ascii="Arial" w:cs="Arial" w:eastAsia="Arial" w:hAnsi="Arial"/>
                <w:sz w:val="14"/>
                <w:szCs w:val="14"/>
                <w:color w:val="376DB5"/>
              </w:rPr>
              <w:t>($)</w:t>
            </w:r>
          </w:p>
        </w:tc>
        <w:tc>
          <w:tcPr>
            <w:tcW w:w="94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376DB5"/>
              </w:rPr>
              <w:t>($)</w:t>
            </w:r>
          </w:p>
        </w:tc>
        <w:tc>
          <w:tcPr>
            <w:tcW w:w="96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376DB5"/>
                <w:w w:val="93"/>
              </w:rPr>
              <w:t>($)</w:t>
            </w:r>
          </w:p>
        </w:tc>
        <w:tc>
          <w:tcPr>
            <w:tcW w:w="980" w:type="dxa"/>
            <w:vAlign w:val="bottom"/>
            <w:tcBorders>
              <w:bottom w:val="single" w:sz="8" w:color="376DB5"/>
            </w:tcBorders>
          </w:tcPr>
          <w:p>
            <w:pPr>
              <w:jc w:val="right"/>
              <w:ind w:right="348"/>
              <w:spacing w:after="0"/>
              <w:rPr>
                <w:sz w:val="20"/>
                <w:szCs w:val="20"/>
                <w:color w:val="auto"/>
              </w:rPr>
            </w:pPr>
            <w:r>
              <w:rPr>
                <w:rFonts w:ascii="Arial" w:cs="Arial" w:eastAsia="Arial" w:hAnsi="Arial"/>
                <w:sz w:val="14"/>
                <w:szCs w:val="14"/>
                <w:color w:val="376DB5"/>
              </w:rPr>
              <w:t>($)</w:t>
            </w:r>
          </w:p>
        </w:tc>
        <w:tc>
          <w:tcPr>
            <w:tcW w:w="92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376DB5"/>
              </w:rPr>
              <w:t>($)</w:t>
            </w:r>
          </w:p>
        </w:tc>
        <w:tc>
          <w:tcPr>
            <w:tcW w:w="960" w:type="dxa"/>
            <w:vAlign w:val="bottom"/>
            <w:tcBorders>
              <w:bottom w:val="single" w:sz="8" w:color="376DB5"/>
            </w:tcBorders>
          </w:tcPr>
          <w:p>
            <w:pPr>
              <w:jc w:val="right"/>
              <w:ind w:right="348"/>
              <w:spacing w:after="0"/>
              <w:rPr>
                <w:sz w:val="20"/>
                <w:szCs w:val="20"/>
                <w:color w:val="auto"/>
              </w:rPr>
            </w:pPr>
            <w:r>
              <w:rPr>
                <w:rFonts w:ascii="Arial" w:cs="Arial" w:eastAsia="Arial" w:hAnsi="Arial"/>
                <w:sz w:val="14"/>
                <w:szCs w:val="14"/>
                <w:color w:val="376DB5"/>
              </w:rPr>
              <w:t>($)</w:t>
            </w:r>
          </w:p>
        </w:tc>
        <w:tc>
          <w:tcPr>
            <w:tcW w:w="980" w:type="dxa"/>
            <w:vAlign w:val="bottom"/>
            <w:tcBorders>
              <w:bottom w:val="single" w:sz="8" w:color="376DB5"/>
            </w:tcBorders>
          </w:tcPr>
          <w:p>
            <w:pPr>
              <w:jc w:val="right"/>
              <w:ind w:right="308"/>
              <w:spacing w:after="0"/>
              <w:rPr>
                <w:sz w:val="20"/>
                <w:szCs w:val="20"/>
                <w:color w:val="auto"/>
              </w:rPr>
            </w:pPr>
            <w:r>
              <w:rPr>
                <w:rFonts w:ascii="Arial" w:cs="Arial" w:eastAsia="Arial" w:hAnsi="Arial"/>
                <w:sz w:val="14"/>
                <w:szCs w:val="14"/>
                <w:color w:val="376DB5"/>
              </w:rPr>
              <w:t>($)</w:t>
            </w:r>
          </w:p>
        </w:tc>
      </w:tr>
      <w:tr>
        <w:trPr>
          <w:trHeight w:val="200"/>
        </w:trPr>
        <w:tc>
          <w:tcPr>
            <w:tcW w:w="4260" w:type="dxa"/>
            <w:vAlign w:val="bottom"/>
          </w:tcPr>
          <w:p>
            <w:pPr>
              <w:spacing w:after="0" w:line="200" w:lineRule="exact"/>
              <w:rPr>
                <w:sz w:val="20"/>
                <w:szCs w:val="20"/>
                <w:color w:val="auto"/>
              </w:rPr>
            </w:pPr>
            <w:r>
              <w:rPr>
                <w:rFonts w:ascii="Arial" w:cs="Arial" w:eastAsia="Arial" w:hAnsi="Arial"/>
                <w:sz w:val="14"/>
                <w:szCs w:val="14"/>
                <w:color w:val="auto"/>
              </w:rPr>
              <w:t>Value of Cash Severance</w:t>
            </w:r>
            <w:r>
              <w:rPr>
                <w:rFonts w:ascii="Arial" w:cs="Arial" w:eastAsia="Arial" w:hAnsi="Arial"/>
                <w:sz w:val="21"/>
                <w:szCs w:val="21"/>
                <w:color w:val="auto"/>
                <w:vertAlign w:val="superscript"/>
              </w:rPr>
              <w:t>(1)</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650,000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650,000</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w:t>
            </w:r>
          </w:p>
        </w:tc>
      </w:tr>
      <w:tr>
        <w:trPr>
          <w:trHeight w:val="216"/>
        </w:trPr>
        <w:tc>
          <w:tcPr>
            <w:tcW w:w="4260" w:type="dxa"/>
            <w:vAlign w:val="bottom"/>
            <w:shd w:val="clear" w:color="auto" w:fill="F2F2F2"/>
          </w:tcPr>
          <w:p>
            <w:pPr>
              <w:spacing w:after="0" w:line="216" w:lineRule="exact"/>
              <w:rPr>
                <w:sz w:val="20"/>
                <w:szCs w:val="20"/>
                <w:color w:val="auto"/>
              </w:rPr>
            </w:pPr>
            <w:r>
              <w:rPr>
                <w:rFonts w:ascii="Arial" w:cs="Arial" w:eastAsia="Arial" w:hAnsi="Arial"/>
                <w:sz w:val="14"/>
                <w:szCs w:val="14"/>
                <w:color w:val="auto"/>
              </w:rPr>
              <w:t>Value of Benefits</w:t>
            </w:r>
            <w:r>
              <w:rPr>
                <w:rFonts w:ascii="Arial" w:cs="Arial" w:eastAsia="Arial" w:hAnsi="Arial"/>
                <w:sz w:val="21"/>
                <w:szCs w:val="21"/>
                <w:color w:val="auto"/>
                <w:vertAlign w:val="superscript"/>
              </w:rPr>
              <w:t>(2)</w:t>
            </w:r>
          </w:p>
        </w:tc>
        <w:tc>
          <w:tcPr>
            <w:tcW w:w="1020" w:type="dxa"/>
            <w:vAlign w:val="bottom"/>
            <w:shd w:val="clear" w:color="auto" w:fill="F2F2F2"/>
          </w:tcPr>
          <w:p>
            <w:pPr>
              <w:jc w:val="center"/>
              <w:ind w:left="8"/>
              <w:spacing w:after="0"/>
              <w:rPr>
                <w:sz w:val="20"/>
                <w:szCs w:val="20"/>
                <w:color w:val="auto"/>
              </w:rPr>
            </w:pPr>
            <w:r>
              <w:rPr>
                <w:rFonts w:ascii="Arial" w:cs="Arial" w:eastAsia="Arial" w:hAnsi="Arial"/>
                <w:sz w:val="14"/>
                <w:szCs w:val="14"/>
                <w:color w:val="auto"/>
                <w:w w:val="99"/>
              </w:rPr>
              <w:t>—</w:t>
            </w:r>
          </w:p>
        </w:tc>
        <w:tc>
          <w:tcPr>
            <w:tcW w:w="9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25,764</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25,764</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F2F2F2"/>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shd w:val="clear" w:color="auto" w:fill="F2F2F2"/>
          </w:tcPr>
          <w:p>
            <w:pPr>
              <w:jc w:val="right"/>
              <w:ind w:right="308"/>
              <w:spacing w:after="0"/>
              <w:rPr>
                <w:sz w:val="20"/>
                <w:szCs w:val="20"/>
                <w:color w:val="auto"/>
              </w:rPr>
            </w:pPr>
            <w:r>
              <w:rPr>
                <w:rFonts w:ascii="Arial" w:cs="Arial" w:eastAsia="Arial" w:hAnsi="Arial"/>
                <w:sz w:val="14"/>
                <w:szCs w:val="14"/>
                <w:color w:val="auto"/>
              </w:rPr>
              <w:t>—</w:t>
            </w:r>
          </w:p>
        </w:tc>
      </w:tr>
      <w:tr>
        <w:trPr>
          <w:trHeight w:val="216"/>
        </w:trPr>
        <w:tc>
          <w:tcPr>
            <w:tcW w:w="4260" w:type="dxa"/>
            <w:vAlign w:val="bottom"/>
          </w:tcPr>
          <w:p>
            <w:pPr>
              <w:spacing w:after="0" w:line="216" w:lineRule="exact"/>
              <w:rPr>
                <w:sz w:val="20"/>
                <w:szCs w:val="20"/>
                <w:color w:val="auto"/>
              </w:rPr>
            </w:pPr>
            <w:r>
              <w:rPr>
                <w:rFonts w:ascii="Arial" w:cs="Arial" w:eastAsia="Arial" w:hAnsi="Arial"/>
                <w:sz w:val="14"/>
                <w:szCs w:val="14"/>
                <w:color w:val="auto"/>
              </w:rPr>
              <w:t>Market Value of Accelerated Stock Option Awards</w:t>
            </w:r>
            <w:r>
              <w:rPr>
                <w:rFonts w:ascii="Arial" w:cs="Arial" w:eastAsia="Arial" w:hAnsi="Arial"/>
                <w:sz w:val="21"/>
                <w:szCs w:val="21"/>
                <w:color w:val="auto"/>
                <w:vertAlign w:val="superscript"/>
              </w:rPr>
              <w:t>(3)</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w:t>
            </w:r>
          </w:p>
        </w:tc>
      </w:tr>
      <w:tr>
        <w:trPr>
          <w:trHeight w:val="216"/>
        </w:trPr>
        <w:tc>
          <w:tcPr>
            <w:tcW w:w="4260" w:type="dxa"/>
            <w:vAlign w:val="bottom"/>
            <w:shd w:val="clear" w:color="auto" w:fill="F2F2F2"/>
          </w:tcPr>
          <w:p>
            <w:pPr>
              <w:spacing w:after="0" w:line="216" w:lineRule="exact"/>
              <w:rPr>
                <w:sz w:val="20"/>
                <w:szCs w:val="20"/>
                <w:color w:val="auto"/>
              </w:rPr>
            </w:pPr>
            <w:r>
              <w:rPr>
                <w:rFonts w:ascii="Arial" w:cs="Arial" w:eastAsia="Arial" w:hAnsi="Arial"/>
                <w:sz w:val="14"/>
                <w:szCs w:val="14"/>
                <w:color w:val="auto"/>
              </w:rPr>
              <w:t>Market Value of Accelerated RSU Awards</w:t>
            </w:r>
            <w:r>
              <w:rPr>
                <w:rFonts w:ascii="Arial" w:cs="Arial" w:eastAsia="Arial" w:hAnsi="Arial"/>
                <w:sz w:val="21"/>
                <w:szCs w:val="21"/>
                <w:color w:val="auto"/>
                <w:vertAlign w:val="superscript"/>
              </w:rPr>
              <w:t>(4)</w:t>
            </w:r>
          </w:p>
        </w:tc>
        <w:tc>
          <w:tcPr>
            <w:tcW w:w="1020" w:type="dxa"/>
            <w:vAlign w:val="bottom"/>
            <w:shd w:val="clear" w:color="auto" w:fill="F2F2F2"/>
          </w:tcPr>
          <w:p>
            <w:pPr>
              <w:jc w:val="center"/>
              <w:ind w:left="8"/>
              <w:spacing w:after="0"/>
              <w:rPr>
                <w:sz w:val="20"/>
                <w:szCs w:val="20"/>
                <w:color w:val="auto"/>
              </w:rPr>
            </w:pPr>
            <w:r>
              <w:rPr>
                <w:rFonts w:ascii="Arial" w:cs="Arial" w:eastAsia="Arial" w:hAnsi="Arial"/>
                <w:sz w:val="14"/>
                <w:szCs w:val="14"/>
                <w:color w:val="auto"/>
                <w:w w:val="99"/>
              </w:rPr>
              <w:t>—</w:t>
            </w:r>
          </w:p>
        </w:tc>
        <w:tc>
          <w:tcPr>
            <w:tcW w:w="9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F2F2F2"/>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6,325,832</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6,325,832</w:t>
            </w:r>
          </w:p>
        </w:tc>
        <w:tc>
          <w:tcPr>
            <w:tcW w:w="9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6,325,832 </w:t>
            </w:r>
          </w:p>
        </w:tc>
      </w:tr>
      <w:tr>
        <w:trPr>
          <w:trHeight w:val="216"/>
        </w:trPr>
        <w:tc>
          <w:tcPr>
            <w:tcW w:w="4260" w:type="dxa"/>
            <w:vAlign w:val="bottom"/>
          </w:tcPr>
          <w:p>
            <w:pPr>
              <w:spacing w:after="0" w:line="216" w:lineRule="exact"/>
              <w:rPr>
                <w:sz w:val="20"/>
                <w:szCs w:val="20"/>
                <w:color w:val="auto"/>
              </w:rPr>
            </w:pPr>
            <w:r>
              <w:rPr>
                <w:rFonts w:ascii="Arial" w:cs="Arial" w:eastAsia="Arial" w:hAnsi="Arial"/>
                <w:sz w:val="14"/>
                <w:szCs w:val="14"/>
                <w:color w:val="auto"/>
              </w:rPr>
              <w:t>Market Value of Accelerated PSU Awards</w:t>
            </w:r>
            <w:r>
              <w:rPr>
                <w:rFonts w:ascii="Arial" w:cs="Arial" w:eastAsia="Arial" w:hAnsi="Arial"/>
                <w:sz w:val="21"/>
                <w:szCs w:val="21"/>
                <w:color w:val="auto"/>
                <w:vertAlign w:val="superscript"/>
              </w:rPr>
              <w:t>(5)</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7,708,627</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7,708,627</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7,708,627 </w:t>
            </w:r>
          </w:p>
        </w:tc>
      </w:tr>
      <w:tr>
        <w:trPr>
          <w:trHeight w:val="216"/>
        </w:trPr>
        <w:tc>
          <w:tcPr>
            <w:tcW w:w="4260" w:type="dxa"/>
            <w:vAlign w:val="bottom"/>
            <w:shd w:val="clear" w:color="auto" w:fill="F2F2F2"/>
          </w:tcPr>
          <w:p>
            <w:pPr>
              <w:spacing w:after="0" w:line="216" w:lineRule="exact"/>
              <w:rPr>
                <w:sz w:val="20"/>
                <w:szCs w:val="20"/>
                <w:color w:val="auto"/>
              </w:rPr>
            </w:pPr>
            <w:r>
              <w:rPr>
                <w:rFonts w:ascii="Arial" w:cs="Arial" w:eastAsia="Arial" w:hAnsi="Arial"/>
                <w:sz w:val="14"/>
                <w:szCs w:val="14"/>
                <w:color w:val="auto"/>
              </w:rPr>
              <w:t>Market Value of Accelerated MSU Awards</w:t>
            </w:r>
            <w:r>
              <w:rPr>
                <w:rFonts w:ascii="Arial" w:cs="Arial" w:eastAsia="Arial" w:hAnsi="Arial"/>
                <w:sz w:val="21"/>
                <w:szCs w:val="21"/>
                <w:color w:val="auto"/>
                <w:vertAlign w:val="superscript"/>
              </w:rPr>
              <w:t>(6)</w:t>
            </w:r>
          </w:p>
        </w:tc>
        <w:tc>
          <w:tcPr>
            <w:tcW w:w="1020" w:type="dxa"/>
            <w:vAlign w:val="bottom"/>
            <w:shd w:val="clear" w:color="auto" w:fill="F2F2F2"/>
          </w:tcPr>
          <w:p>
            <w:pPr>
              <w:jc w:val="center"/>
              <w:ind w:left="8"/>
              <w:spacing w:after="0"/>
              <w:rPr>
                <w:sz w:val="20"/>
                <w:szCs w:val="20"/>
                <w:color w:val="auto"/>
              </w:rPr>
            </w:pPr>
            <w:r>
              <w:rPr>
                <w:rFonts w:ascii="Arial" w:cs="Arial" w:eastAsia="Arial" w:hAnsi="Arial"/>
                <w:sz w:val="14"/>
                <w:szCs w:val="14"/>
                <w:color w:val="auto"/>
                <w:w w:val="99"/>
              </w:rPr>
              <w:t>—</w:t>
            </w:r>
          </w:p>
        </w:tc>
        <w:tc>
          <w:tcPr>
            <w:tcW w:w="9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F2F2F2"/>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4,160,353</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4,160,353</w:t>
            </w:r>
          </w:p>
        </w:tc>
        <w:tc>
          <w:tcPr>
            <w:tcW w:w="9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4,160,353 </w:t>
            </w:r>
          </w:p>
        </w:tc>
      </w:tr>
      <w:tr>
        <w:trPr>
          <w:trHeight w:val="212"/>
        </w:trPr>
        <w:tc>
          <w:tcPr>
            <w:tcW w:w="4260" w:type="dxa"/>
            <w:vAlign w:val="bottom"/>
            <w:tcBorders>
              <w:bottom w:val="single" w:sz="8" w:color="376DB5"/>
            </w:tcBorders>
          </w:tcPr>
          <w:p>
            <w:pPr>
              <w:spacing w:after="0"/>
              <w:rPr>
                <w:sz w:val="20"/>
                <w:szCs w:val="20"/>
                <w:color w:val="auto"/>
              </w:rPr>
            </w:pPr>
            <w:r>
              <w:rPr>
                <w:rFonts w:ascii="Arial" w:cs="Arial" w:eastAsia="Arial" w:hAnsi="Arial"/>
                <w:sz w:val="14"/>
                <w:szCs w:val="14"/>
                <w:color w:val="auto"/>
              </w:rPr>
              <w:t>Total</w:t>
            </w:r>
          </w:p>
        </w:tc>
        <w:tc>
          <w:tcPr>
            <w:tcW w:w="1020" w:type="dxa"/>
            <w:vAlign w:val="bottom"/>
            <w:tcBorders>
              <w:bottom w:val="single" w:sz="8" w:color="376DB5"/>
            </w:tcBorders>
          </w:tcPr>
          <w:p>
            <w:pPr>
              <w:jc w:val="center"/>
              <w:ind w:left="8"/>
              <w:spacing w:after="0"/>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376DB5"/>
            </w:tcBorders>
          </w:tcPr>
          <w:p>
            <w:pPr>
              <w:jc w:val="right"/>
              <w:ind w:right="48"/>
              <w:spacing w:after="0"/>
              <w:rPr>
                <w:sz w:val="20"/>
                <w:szCs w:val="20"/>
                <w:color w:val="auto"/>
              </w:rPr>
            </w:pPr>
            <w:r>
              <w:rPr>
                <w:rFonts w:ascii="Arial" w:cs="Arial" w:eastAsia="Arial" w:hAnsi="Arial"/>
                <w:sz w:val="14"/>
                <w:szCs w:val="14"/>
                <w:color w:val="auto"/>
              </w:rPr>
              <w:t>675,764</w:t>
            </w:r>
          </w:p>
        </w:tc>
        <w:tc>
          <w:tcPr>
            <w:tcW w:w="980" w:type="dxa"/>
            <w:vAlign w:val="bottom"/>
            <w:tcBorders>
              <w:bottom w:val="single" w:sz="8" w:color="376DB5"/>
            </w:tcBorders>
          </w:tcPr>
          <w:p>
            <w:pPr>
              <w:jc w:val="right"/>
              <w:ind w:right="48"/>
              <w:spacing w:after="0"/>
              <w:rPr>
                <w:sz w:val="20"/>
                <w:szCs w:val="20"/>
                <w:color w:val="auto"/>
              </w:rPr>
            </w:pPr>
            <w:r>
              <w:rPr>
                <w:rFonts w:ascii="Arial" w:cs="Arial" w:eastAsia="Arial" w:hAnsi="Arial"/>
                <w:sz w:val="14"/>
                <w:szCs w:val="14"/>
                <w:color w:val="auto"/>
              </w:rPr>
              <w:t>18,870,576</w:t>
            </w:r>
          </w:p>
        </w:tc>
        <w:tc>
          <w:tcPr>
            <w:tcW w:w="92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376DB5"/>
            </w:tcBorders>
          </w:tcPr>
          <w:p>
            <w:pPr>
              <w:jc w:val="right"/>
              <w:ind w:right="48"/>
              <w:spacing w:after="0"/>
              <w:rPr>
                <w:sz w:val="20"/>
                <w:szCs w:val="20"/>
                <w:color w:val="auto"/>
              </w:rPr>
            </w:pPr>
            <w:r>
              <w:rPr>
                <w:rFonts w:ascii="Arial" w:cs="Arial" w:eastAsia="Arial" w:hAnsi="Arial"/>
                <w:sz w:val="14"/>
                <w:szCs w:val="14"/>
                <w:color w:val="auto"/>
              </w:rPr>
              <w:t>18,194,812</w:t>
            </w:r>
          </w:p>
        </w:tc>
        <w:tc>
          <w:tcPr>
            <w:tcW w:w="980" w:type="dxa"/>
            <w:vAlign w:val="bottom"/>
            <w:tcBorders>
              <w:bottom w:val="single" w:sz="8" w:color="376DB5"/>
            </w:tcBorders>
          </w:tcPr>
          <w:p>
            <w:pPr>
              <w:jc w:val="right"/>
              <w:ind w:right="8"/>
              <w:spacing w:after="0"/>
              <w:rPr>
                <w:sz w:val="20"/>
                <w:szCs w:val="20"/>
                <w:color w:val="auto"/>
              </w:rPr>
            </w:pPr>
            <w:r>
              <w:rPr>
                <w:rFonts w:ascii="Arial" w:cs="Arial" w:eastAsia="Arial" w:hAnsi="Arial"/>
                <w:sz w:val="14"/>
                <w:szCs w:val="14"/>
                <w:color w:val="auto"/>
              </w:rPr>
              <w:t>18,194,812 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1226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50" w:lineRule="exact"/>
        <w:rPr>
          <w:sz w:val="20"/>
          <w:szCs w:val="20"/>
          <w:color w:val="auto"/>
        </w:rPr>
      </w:pPr>
    </w:p>
    <w:p>
      <w:pPr>
        <w:jc w:val="both"/>
        <w:ind w:left="540" w:hanging="424"/>
        <w:spacing w:after="0" w:line="218" w:lineRule="auto"/>
        <w:tabs>
          <w:tab w:leader="none" w:pos="540" w:val="left"/>
        </w:tabs>
        <w:numPr>
          <w:ilvl w:val="0"/>
          <w:numId w:val="64"/>
        </w:numPr>
        <w:rPr>
          <w:rFonts w:ascii="Arial" w:cs="Arial" w:eastAsia="Arial" w:hAnsi="Arial"/>
          <w:sz w:val="27"/>
          <w:szCs w:val="27"/>
          <w:color w:val="auto"/>
          <w:vertAlign w:val="superscript"/>
        </w:rPr>
      </w:pPr>
      <w:r>
        <w:rPr>
          <w:rFonts w:ascii="Arial" w:cs="Arial" w:eastAsia="Arial" w:hAnsi="Arial"/>
          <w:sz w:val="18"/>
          <w:szCs w:val="18"/>
          <w:color w:val="auto"/>
        </w:rPr>
        <w:t>Pursuant to Mr. Deal’s Letter Agreement, he is entitled to a lump sum payment equal to one times the sum of his current base salary plus the annual incentive award last paid to him if his employment is terminated by the Company without cause or by Mr. Deal for good reason. Mr. Deal’s Management Agreement provides for the same payments in the event his employment is terminated by the Company without cause or by Mr. Deal for good reason within 60 days before or two years following a change in control.</w:t>
      </w:r>
    </w:p>
    <w:p>
      <w:pPr>
        <w:spacing w:after="0" w:line="4" w:lineRule="exact"/>
        <w:rPr>
          <w:rFonts w:ascii="Arial" w:cs="Arial" w:eastAsia="Arial" w:hAnsi="Arial"/>
          <w:sz w:val="27"/>
          <w:szCs w:val="27"/>
          <w:color w:val="auto"/>
          <w:vertAlign w:val="superscript"/>
        </w:rPr>
      </w:pPr>
    </w:p>
    <w:p>
      <w:pPr>
        <w:jc w:val="both"/>
        <w:ind w:left="540" w:hanging="424"/>
        <w:spacing w:after="0" w:line="221" w:lineRule="auto"/>
        <w:tabs>
          <w:tab w:leader="none" w:pos="540" w:val="left"/>
        </w:tabs>
        <w:numPr>
          <w:ilvl w:val="0"/>
          <w:numId w:val="64"/>
        </w:numPr>
        <w:rPr>
          <w:rFonts w:ascii="Arial" w:cs="Arial" w:eastAsia="Arial" w:hAnsi="Arial"/>
          <w:sz w:val="27"/>
          <w:szCs w:val="27"/>
          <w:color w:val="auto"/>
          <w:vertAlign w:val="superscript"/>
        </w:rPr>
      </w:pPr>
      <w:r>
        <w:rPr>
          <w:rFonts w:ascii="Arial" w:cs="Arial" w:eastAsia="Arial" w:hAnsi="Arial"/>
          <w:sz w:val="18"/>
          <w:szCs w:val="18"/>
          <w:color w:val="auto"/>
        </w:rPr>
        <w:t>Pursuant to Mr. Deal’s Letter Agreement, the Company is obligated to provide benefits to Mr. Deal at existing levels for 12 months post-termination if his employment is terminated by the Company without cause or by Mr. Deal for good reason. Mr. Deal’s Management Agreement provides for the same benefits in the event his employment is terminated by the Company without cause or by Mr. Deal for good reason within 60 days before or two years following a change in control. The amounts shown represent the total cost of COBRA premiums for continuing such benefits over the applicable time period.</w:t>
      </w:r>
    </w:p>
    <w:p>
      <w:pPr>
        <w:ind w:left="540" w:hanging="424"/>
        <w:spacing w:after="0" w:line="187" w:lineRule="auto"/>
        <w:tabs>
          <w:tab w:leader="none" w:pos="540" w:val="left"/>
        </w:tabs>
        <w:numPr>
          <w:ilvl w:val="0"/>
          <w:numId w:val="64"/>
        </w:numPr>
        <w:rPr>
          <w:rFonts w:ascii="Arial" w:cs="Arial" w:eastAsia="Arial" w:hAnsi="Arial"/>
          <w:sz w:val="27"/>
          <w:szCs w:val="27"/>
          <w:color w:val="auto"/>
          <w:vertAlign w:val="superscript"/>
        </w:rPr>
      </w:pPr>
      <w:r>
        <w:rPr>
          <w:rFonts w:ascii="Arial" w:cs="Arial" w:eastAsia="Arial" w:hAnsi="Arial"/>
          <w:sz w:val="18"/>
          <w:szCs w:val="18"/>
          <w:color w:val="auto"/>
        </w:rPr>
        <w:t>Mr. Deal currently does not have any stock options that would accelerate.</w:t>
      </w:r>
    </w:p>
    <w:p>
      <w:pPr>
        <w:spacing w:after="0" w:line="23" w:lineRule="exact"/>
        <w:rPr>
          <w:rFonts w:ascii="Arial" w:cs="Arial" w:eastAsia="Arial" w:hAnsi="Arial"/>
          <w:sz w:val="27"/>
          <w:szCs w:val="27"/>
          <w:color w:val="auto"/>
          <w:vertAlign w:val="superscript"/>
        </w:rPr>
      </w:pPr>
    </w:p>
    <w:p>
      <w:pPr>
        <w:jc w:val="both"/>
        <w:ind w:left="540" w:hanging="424"/>
        <w:spacing w:after="0" w:line="213" w:lineRule="auto"/>
        <w:tabs>
          <w:tab w:leader="none" w:pos="540" w:val="left"/>
        </w:tabs>
        <w:numPr>
          <w:ilvl w:val="0"/>
          <w:numId w:val="64"/>
        </w:numPr>
        <w:rPr>
          <w:rFonts w:ascii="Arial" w:cs="Arial" w:eastAsia="Arial" w:hAnsi="Arial"/>
          <w:sz w:val="27"/>
          <w:szCs w:val="27"/>
          <w:color w:val="auto"/>
          <w:vertAlign w:val="superscript"/>
        </w:rPr>
      </w:pPr>
      <w:r>
        <w:rPr>
          <w:rFonts w:ascii="Arial" w:cs="Arial" w:eastAsia="Arial" w:hAnsi="Arial"/>
          <w:sz w:val="18"/>
          <w:szCs w:val="18"/>
          <w:color w:val="auto"/>
        </w:rPr>
        <w:t>The amounts shown represent the RSUs that would immediately vest upon the applicable triggering event, based on the Company’s closing stock price on September 30, 2025, of $1,496.53. Mr. Deal’s Management Agreement provides for such acceleration upon a termination of employment in connection with a change in control, and the terms of the equity awards provide for such acceleration upon death or disability.</w:t>
      </w:r>
    </w:p>
    <w:p>
      <w:pPr>
        <w:spacing w:after="0" w:line="5" w:lineRule="exact"/>
        <w:rPr>
          <w:rFonts w:ascii="Arial" w:cs="Arial" w:eastAsia="Arial" w:hAnsi="Arial"/>
          <w:sz w:val="27"/>
          <w:szCs w:val="27"/>
          <w:color w:val="auto"/>
          <w:vertAlign w:val="superscript"/>
        </w:rPr>
      </w:pPr>
    </w:p>
    <w:p>
      <w:pPr>
        <w:jc w:val="both"/>
        <w:ind w:left="540" w:hanging="424"/>
        <w:spacing w:after="0" w:line="218" w:lineRule="auto"/>
        <w:tabs>
          <w:tab w:leader="none" w:pos="540" w:val="left"/>
        </w:tabs>
        <w:numPr>
          <w:ilvl w:val="0"/>
          <w:numId w:val="64"/>
        </w:numPr>
        <w:rPr>
          <w:rFonts w:ascii="Arial" w:cs="Arial" w:eastAsia="Arial" w:hAnsi="Arial"/>
          <w:sz w:val="27"/>
          <w:szCs w:val="27"/>
          <w:color w:val="auto"/>
          <w:vertAlign w:val="superscript"/>
        </w:rPr>
      </w:pPr>
      <w:r>
        <w:rPr>
          <w:rFonts w:ascii="Arial" w:cs="Arial" w:eastAsia="Arial" w:hAnsi="Arial"/>
          <w:sz w:val="18"/>
          <w:szCs w:val="18"/>
          <w:color w:val="auto"/>
        </w:rPr>
        <w:t>The amounts shown represent the earned PSUs that would immediately vest upon the applicable triggering event, based on the Company’s closing stock price on September 30, 2025, of $1,496.53. Mr. Deal’s Management Agreement and the terms of the equity award provide for such acceleration upon a termination of employment in connection with a change in control, and the terms of the equity award provides for such acceleration upon death or disability.</w:t>
      </w:r>
    </w:p>
    <w:p>
      <w:pPr>
        <w:spacing w:after="0" w:line="4" w:lineRule="exact"/>
        <w:rPr>
          <w:rFonts w:ascii="Arial" w:cs="Arial" w:eastAsia="Arial" w:hAnsi="Arial"/>
          <w:sz w:val="27"/>
          <w:szCs w:val="27"/>
          <w:color w:val="auto"/>
          <w:vertAlign w:val="superscript"/>
        </w:rPr>
      </w:pPr>
    </w:p>
    <w:p>
      <w:pPr>
        <w:jc w:val="both"/>
        <w:ind w:left="540" w:hanging="424"/>
        <w:spacing w:after="0" w:line="221" w:lineRule="auto"/>
        <w:tabs>
          <w:tab w:leader="none" w:pos="540" w:val="left"/>
        </w:tabs>
        <w:numPr>
          <w:ilvl w:val="0"/>
          <w:numId w:val="64"/>
        </w:numPr>
        <w:rPr>
          <w:rFonts w:ascii="Arial" w:cs="Arial" w:eastAsia="Arial" w:hAnsi="Arial"/>
          <w:sz w:val="27"/>
          <w:szCs w:val="27"/>
          <w:color w:val="auto"/>
          <w:vertAlign w:val="superscript"/>
        </w:rPr>
      </w:pPr>
      <w:r>
        <w:rPr>
          <w:rFonts w:ascii="Arial" w:cs="Arial" w:eastAsia="Arial" w:hAnsi="Arial"/>
          <w:sz w:val="18"/>
          <w:szCs w:val="18"/>
          <w:color w:val="auto"/>
        </w:rPr>
        <w:t>The amounts shown represent the unearned MSUs that would immediately be earned and vest upon the applicable triggering event, based on the Company’s closing stock price on September 30, 2025, of $1,496.53 and a relative total shareholder return performance of 0% in the adjusted performance period. The terms of the equity award provide for such acceleration upon a termination of employment for reasons other than Cause in connection with a change in control, and the terms of the equity award provides for such acceleration upon death or disability.</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74</w:t>
      </w:r>
    </w:p>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0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820" w:type="dxa"/>
            <w:vAlign w:val="bottom"/>
            <w:gridSpan w:val="2"/>
            <w:shd w:val="clear" w:color="auto" w:fill="F2F2F2"/>
          </w:tcPr>
          <w:p>
            <w:pPr>
              <w:ind w:left="220"/>
              <w:spacing w:after="0"/>
              <w:rPr>
                <w:sz w:val="20"/>
                <w:szCs w:val="20"/>
                <w:color w:val="auto"/>
              </w:rPr>
            </w:pPr>
            <w:r>
              <w:rPr>
                <w:rFonts w:ascii="Arial" w:cs="Arial" w:eastAsia="Arial" w:hAnsi="Arial"/>
                <w:sz w:val="18"/>
                <w:szCs w:val="18"/>
                <w:color w:val="auto"/>
              </w:rPr>
              <w:t>Audit Committee</w:t>
            </w:r>
          </w:p>
        </w:tc>
        <w:tc>
          <w:tcPr>
            <w:tcW w:w="1120" w:type="dxa"/>
            <w:vAlign w:val="bottom"/>
            <w:shd w:val="clear" w:color="auto" w:fill="F2F2F2"/>
          </w:tcPr>
          <w:p>
            <w:pPr>
              <w:jc w:val="right"/>
              <w:ind w:right="427"/>
              <w:spacing w:after="0"/>
              <w:rPr>
                <w:sz w:val="20"/>
                <w:szCs w:val="20"/>
                <w:color w:val="auto"/>
              </w:rPr>
            </w:pPr>
            <w:r>
              <w:rPr>
                <w:rFonts w:ascii="Arial" w:cs="Arial" w:eastAsia="Arial" w:hAnsi="Arial"/>
                <w:sz w:val="18"/>
                <w:szCs w:val="18"/>
                <w:color w:val="auto"/>
                <w:w w:val="99"/>
              </w:rPr>
              <w:t>Charter</w:t>
            </w:r>
          </w:p>
        </w:tc>
        <w:tc>
          <w:tcPr>
            <w:tcW w:w="860" w:type="dxa"/>
            <w:vAlign w:val="bottom"/>
            <w:shd w:val="clear" w:color="auto" w:fill="F2F2F2"/>
          </w:tcPr>
          <w:p>
            <w:pPr>
              <w:ind w:left="300"/>
              <w:spacing w:after="0"/>
              <w:rPr>
                <w:sz w:val="20"/>
                <w:szCs w:val="20"/>
                <w:color w:val="auto"/>
              </w:rPr>
            </w:pPr>
            <w:r>
              <w:rPr>
                <w:rFonts w:ascii="Arial" w:cs="Arial" w:eastAsia="Arial" w:hAnsi="Arial"/>
                <w:sz w:val="18"/>
                <w:szCs w:val="18"/>
                <w:color w:val="auto"/>
              </w:rPr>
              <w:t>Stock</w:t>
            </w:r>
          </w:p>
        </w:tc>
        <w:tc>
          <w:tcPr>
            <w:tcW w:w="340" w:type="dxa"/>
            <w:vAlign w:val="bottom"/>
            <w:shd w:val="clear" w:color="auto" w:fill="F2F2F2"/>
          </w:tcPr>
          <w:p>
            <w:pPr>
              <w:spacing w:after="0"/>
              <w:rPr>
                <w:sz w:val="24"/>
                <w:szCs w:val="24"/>
                <w:color w:val="auto"/>
              </w:rPr>
            </w:pPr>
          </w:p>
        </w:tc>
        <w:tc>
          <w:tcPr>
            <w:tcW w:w="740" w:type="dxa"/>
            <w:vAlign w:val="bottom"/>
            <w:shd w:val="clear" w:color="auto" w:fill="F2F2F2"/>
          </w:tcPr>
          <w:p>
            <w:pPr>
              <w:ind w:left="26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F2F2F2"/>
          </w:tcPr>
          <w:p>
            <w:pPr>
              <w:spacing w:after="0"/>
              <w:rPr>
                <w:sz w:val="24"/>
                <w:szCs w:val="24"/>
                <w:color w:val="auto"/>
              </w:rPr>
            </w:pP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0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940" w:type="dxa"/>
            <w:vAlign w:val="bottom"/>
            <w:shd w:val="clear" w:color="auto" w:fill="F2F2F2"/>
          </w:tcPr>
          <w:p>
            <w:pPr>
              <w:ind w:left="220"/>
              <w:spacing w:after="0" w:line="202" w:lineRule="exact"/>
              <w:rPr>
                <w:sz w:val="20"/>
                <w:szCs w:val="20"/>
                <w:color w:val="auto"/>
              </w:rPr>
            </w:pPr>
            <w:r>
              <w:rPr>
                <w:rFonts w:ascii="Arial" w:cs="Arial" w:eastAsia="Arial" w:hAnsi="Arial"/>
                <w:sz w:val="18"/>
                <w:szCs w:val="18"/>
                <w:color w:val="auto"/>
              </w:rPr>
              <w:t>Matters</w:t>
            </w:r>
          </w:p>
        </w:tc>
        <w:tc>
          <w:tcPr>
            <w:tcW w:w="880" w:type="dxa"/>
            <w:vAlign w:val="bottom"/>
            <w:shd w:val="clear" w:color="auto" w:fill="F2F2F2"/>
          </w:tcPr>
          <w:p>
            <w:pPr>
              <w:spacing w:after="0"/>
              <w:rPr>
                <w:sz w:val="17"/>
                <w:szCs w:val="17"/>
                <w:color w:val="auto"/>
              </w:rPr>
            </w:pPr>
          </w:p>
        </w:tc>
        <w:tc>
          <w:tcPr>
            <w:tcW w:w="1120" w:type="dxa"/>
            <w:vAlign w:val="bottom"/>
            <w:shd w:val="clear" w:color="auto" w:fill="F2F2F2"/>
          </w:tcPr>
          <w:p>
            <w:pPr>
              <w:jc w:val="center"/>
              <w:spacing w:after="0" w:line="202" w:lineRule="exact"/>
              <w:rPr>
                <w:sz w:val="20"/>
                <w:szCs w:val="20"/>
                <w:color w:val="auto"/>
              </w:rPr>
            </w:pPr>
            <w:r>
              <w:rPr>
                <w:rFonts w:ascii="Arial" w:cs="Arial" w:eastAsia="Arial" w:hAnsi="Arial"/>
                <w:sz w:val="18"/>
                <w:szCs w:val="18"/>
                <w:color w:val="auto"/>
                <w:w w:val="99"/>
              </w:rPr>
              <w:t>Amendments</w:t>
            </w:r>
          </w:p>
        </w:tc>
        <w:tc>
          <w:tcPr>
            <w:tcW w:w="1200" w:type="dxa"/>
            <w:vAlign w:val="bottom"/>
            <w:gridSpan w:val="2"/>
            <w:shd w:val="clear" w:color="auto" w:fill="F2F2F2"/>
          </w:tcPr>
          <w:p>
            <w:pPr>
              <w:ind w:left="300"/>
              <w:spacing w:after="0" w:line="202" w:lineRule="exact"/>
              <w:rPr>
                <w:sz w:val="20"/>
                <w:szCs w:val="20"/>
                <w:color w:val="auto"/>
              </w:rPr>
            </w:pPr>
            <w:r>
              <w:rPr>
                <w:rFonts w:ascii="Arial" w:cs="Arial" w:eastAsia="Arial" w:hAnsi="Arial"/>
                <w:sz w:val="18"/>
                <w:szCs w:val="18"/>
                <w:color w:val="auto"/>
              </w:rPr>
              <w:t>Ownership</w:t>
            </w:r>
          </w:p>
        </w:tc>
        <w:tc>
          <w:tcPr>
            <w:tcW w:w="1600" w:type="dxa"/>
            <w:vAlign w:val="bottom"/>
            <w:gridSpan w:val="2"/>
            <w:shd w:val="clear" w:color="auto" w:fill="F2F2F2"/>
          </w:tcPr>
          <w:p>
            <w:pPr>
              <w:ind w:left="260"/>
              <w:spacing w:after="0" w:line="202" w:lineRule="exact"/>
              <w:rPr>
                <w:sz w:val="20"/>
                <w:szCs w:val="20"/>
                <w:color w:val="auto"/>
              </w:rPr>
            </w:pPr>
            <w:r>
              <w:rPr>
                <w:rFonts w:ascii="Arial" w:cs="Arial" w:eastAsia="Arial" w:hAnsi="Arial"/>
                <w:sz w:val="18"/>
                <w:szCs w:val="18"/>
                <w:color w:val="auto"/>
              </w:rPr>
              <w:t>Matters</w:t>
            </w:r>
          </w:p>
        </w:tc>
      </w:tr>
      <w:tr>
        <w:trPr>
          <w:trHeight w:val="228"/>
        </w:trPr>
        <w:tc>
          <w:tcPr>
            <w:tcW w:w="1420" w:type="dxa"/>
            <w:vAlign w:val="bottom"/>
            <w:shd w:val="clear" w:color="auto" w:fill="F2F2F2"/>
          </w:tcPr>
          <w:p>
            <w:pPr>
              <w:spacing w:after="0"/>
              <w:rPr>
                <w:sz w:val="19"/>
                <w:szCs w:val="19"/>
                <w:color w:val="auto"/>
              </w:rPr>
            </w:pPr>
          </w:p>
        </w:tc>
        <w:tc>
          <w:tcPr>
            <w:tcW w:w="1000" w:type="dxa"/>
            <w:vAlign w:val="bottom"/>
            <w:shd w:val="clear" w:color="auto" w:fill="F2F2F2"/>
          </w:tcPr>
          <w:p>
            <w:pPr>
              <w:spacing w:after="0"/>
              <w:rPr>
                <w:sz w:val="19"/>
                <w:szCs w:val="19"/>
                <w:color w:val="auto"/>
              </w:rPr>
            </w:pPr>
          </w:p>
        </w:tc>
        <w:tc>
          <w:tcPr>
            <w:tcW w:w="1460" w:type="dxa"/>
            <w:vAlign w:val="bottom"/>
            <w:shd w:val="clear" w:color="auto" w:fill="F2F2F2"/>
          </w:tcPr>
          <w:p>
            <w:pPr>
              <w:spacing w:after="0"/>
              <w:rPr>
                <w:sz w:val="19"/>
                <w:szCs w:val="19"/>
                <w:color w:val="auto"/>
              </w:rPr>
            </w:pPr>
          </w:p>
        </w:tc>
        <w:tc>
          <w:tcPr>
            <w:tcW w:w="140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940" w:type="dxa"/>
            <w:vAlign w:val="bottom"/>
            <w:shd w:val="clear" w:color="auto" w:fill="F2F2F2"/>
          </w:tcPr>
          <w:p>
            <w:pPr>
              <w:spacing w:after="0"/>
              <w:rPr>
                <w:sz w:val="19"/>
                <w:szCs w:val="19"/>
                <w:color w:val="auto"/>
              </w:rPr>
            </w:pPr>
          </w:p>
        </w:tc>
        <w:tc>
          <w:tcPr>
            <w:tcW w:w="880" w:type="dxa"/>
            <w:vAlign w:val="bottom"/>
            <w:shd w:val="clear" w:color="auto" w:fill="F2F2F2"/>
          </w:tcPr>
          <w:p>
            <w:pPr>
              <w:spacing w:after="0"/>
              <w:rPr>
                <w:sz w:val="19"/>
                <w:szCs w:val="19"/>
                <w:color w:val="auto"/>
              </w:rPr>
            </w:pPr>
          </w:p>
        </w:tc>
        <w:tc>
          <w:tcPr>
            <w:tcW w:w="1120" w:type="dxa"/>
            <w:vAlign w:val="bottom"/>
            <w:shd w:val="clear" w:color="auto" w:fill="F2F2F2"/>
          </w:tcPr>
          <w:p>
            <w:pPr>
              <w:spacing w:after="0"/>
              <w:rPr>
                <w:sz w:val="19"/>
                <w:szCs w:val="19"/>
                <w:color w:val="auto"/>
              </w:rPr>
            </w:pPr>
          </w:p>
        </w:tc>
        <w:tc>
          <w:tcPr>
            <w:tcW w:w="860" w:type="dxa"/>
            <w:vAlign w:val="bottom"/>
            <w:shd w:val="clear" w:color="auto" w:fill="F2F2F2"/>
          </w:tcPr>
          <w:p>
            <w:pPr>
              <w:spacing w:after="0"/>
              <w:rPr>
                <w:sz w:val="19"/>
                <w:szCs w:val="19"/>
                <w:color w:val="auto"/>
              </w:rPr>
            </w:pPr>
          </w:p>
        </w:tc>
        <w:tc>
          <w:tcPr>
            <w:tcW w:w="340" w:type="dxa"/>
            <w:vAlign w:val="bottom"/>
            <w:shd w:val="clear" w:color="auto" w:fill="F2F2F2"/>
          </w:tcPr>
          <w:p>
            <w:pPr>
              <w:spacing w:after="0"/>
              <w:rPr>
                <w:sz w:val="19"/>
                <w:szCs w:val="19"/>
                <w:color w:val="auto"/>
              </w:rPr>
            </w:pPr>
          </w:p>
        </w:tc>
        <w:tc>
          <w:tcPr>
            <w:tcW w:w="740" w:type="dxa"/>
            <w:vAlign w:val="bottom"/>
            <w:shd w:val="clear" w:color="auto" w:fill="F2F2F2"/>
          </w:tcPr>
          <w:p>
            <w:pPr>
              <w:spacing w:after="0"/>
              <w:rPr>
                <w:sz w:val="19"/>
                <w:szCs w:val="19"/>
                <w:color w:val="auto"/>
              </w:rPr>
            </w:pPr>
          </w:p>
        </w:tc>
        <w:tc>
          <w:tcPr>
            <w:tcW w:w="860" w:type="dxa"/>
            <w:vAlign w:val="bottom"/>
            <w:shd w:val="clear" w:color="auto" w:fill="F2F2F2"/>
          </w:tcPr>
          <w:p>
            <w:pPr>
              <w:spacing w:after="0"/>
              <w:rPr>
                <w:sz w:val="19"/>
                <w:szCs w:val="19"/>
                <w:color w:val="auto"/>
              </w:rPr>
            </w:pPr>
          </w:p>
        </w:tc>
      </w:tr>
      <w:tr>
        <w:trPr>
          <w:trHeight w:val="592"/>
        </w:trPr>
        <w:tc>
          <w:tcPr>
            <w:tcW w:w="1420" w:type="dxa"/>
            <w:vAlign w:val="bottom"/>
            <w:tcBorders>
              <w:top w:val="single" w:sz="8" w:color="F2F2F2"/>
            </w:tcBorders>
          </w:tcPr>
          <w:p>
            <w:pPr>
              <w:spacing w:after="0"/>
              <w:rPr>
                <w:sz w:val="20"/>
                <w:szCs w:val="20"/>
                <w:color w:val="auto"/>
              </w:rPr>
            </w:pPr>
            <w:r>
              <w:rPr>
                <w:rFonts w:ascii="Arial" w:cs="Arial" w:eastAsia="Arial" w:hAnsi="Arial"/>
                <w:sz w:val="18"/>
                <w:szCs w:val="18"/>
                <w:b w:val="1"/>
                <w:bCs w:val="1"/>
                <w:color w:val="auto"/>
              </w:rPr>
              <w:t>Mark Scadina</w:t>
            </w:r>
          </w:p>
        </w:tc>
        <w:tc>
          <w:tcPr>
            <w:tcW w:w="1000" w:type="dxa"/>
            <w:vAlign w:val="bottom"/>
            <w:tcBorders>
              <w:top w:val="single" w:sz="8" w:color="F2F2F2"/>
            </w:tcBorders>
          </w:tcPr>
          <w:p>
            <w:pPr>
              <w:spacing w:after="0"/>
              <w:rPr>
                <w:sz w:val="24"/>
                <w:szCs w:val="24"/>
                <w:color w:val="auto"/>
              </w:rPr>
            </w:pPr>
          </w:p>
        </w:tc>
        <w:tc>
          <w:tcPr>
            <w:tcW w:w="1460" w:type="dxa"/>
            <w:vAlign w:val="bottom"/>
            <w:tcBorders>
              <w:top w:val="single" w:sz="8" w:color="F2F2F2"/>
            </w:tcBorders>
          </w:tcPr>
          <w:p>
            <w:pPr>
              <w:spacing w:after="0"/>
              <w:rPr>
                <w:sz w:val="24"/>
                <w:szCs w:val="24"/>
                <w:color w:val="auto"/>
              </w:rPr>
            </w:pPr>
          </w:p>
        </w:tc>
        <w:tc>
          <w:tcPr>
            <w:tcW w:w="820" w:type="dxa"/>
            <w:vAlign w:val="bottom"/>
            <w:tcBorders>
              <w:top w:val="single" w:sz="8" w:color="376DB5"/>
            </w:tcBorders>
          </w:tcPr>
          <w:p>
            <w:pPr>
              <w:spacing w:after="0"/>
              <w:rPr>
                <w:sz w:val="24"/>
                <w:szCs w:val="24"/>
                <w:color w:val="auto"/>
              </w:rPr>
            </w:pPr>
          </w:p>
        </w:tc>
        <w:tc>
          <w:tcPr>
            <w:tcW w:w="580" w:type="dxa"/>
            <w:vAlign w:val="bottom"/>
            <w:tcBorders>
              <w:top w:val="single" w:sz="8" w:color="F2F2F2"/>
            </w:tcBorders>
          </w:tcPr>
          <w:p>
            <w:pPr>
              <w:spacing w:after="0"/>
              <w:rPr>
                <w:sz w:val="24"/>
                <w:szCs w:val="24"/>
                <w:color w:val="auto"/>
              </w:rPr>
            </w:pPr>
          </w:p>
        </w:tc>
        <w:tc>
          <w:tcPr>
            <w:tcW w:w="940" w:type="dxa"/>
            <w:vAlign w:val="bottom"/>
            <w:tcBorders>
              <w:top w:val="single" w:sz="8" w:color="F2F2F2"/>
            </w:tcBorders>
          </w:tcPr>
          <w:p>
            <w:pPr>
              <w:spacing w:after="0"/>
              <w:rPr>
                <w:sz w:val="24"/>
                <w:szCs w:val="24"/>
                <w:color w:val="auto"/>
              </w:rPr>
            </w:pPr>
          </w:p>
        </w:tc>
        <w:tc>
          <w:tcPr>
            <w:tcW w:w="880" w:type="dxa"/>
            <w:vAlign w:val="bottom"/>
            <w:tcBorders>
              <w:top w:val="single" w:sz="8" w:color="F2F2F2"/>
            </w:tcBorders>
          </w:tcPr>
          <w:p>
            <w:pPr>
              <w:spacing w:after="0"/>
              <w:rPr>
                <w:sz w:val="24"/>
                <w:szCs w:val="24"/>
                <w:color w:val="auto"/>
              </w:rPr>
            </w:pPr>
          </w:p>
        </w:tc>
        <w:tc>
          <w:tcPr>
            <w:tcW w:w="1120" w:type="dxa"/>
            <w:vAlign w:val="bottom"/>
            <w:tcBorders>
              <w:top w:val="single" w:sz="8" w:color="F2F2F2"/>
            </w:tcBorders>
          </w:tcPr>
          <w:p>
            <w:pPr>
              <w:spacing w:after="0"/>
              <w:rPr>
                <w:sz w:val="24"/>
                <w:szCs w:val="24"/>
                <w:color w:val="auto"/>
              </w:rPr>
            </w:pPr>
          </w:p>
        </w:tc>
        <w:tc>
          <w:tcPr>
            <w:tcW w:w="860" w:type="dxa"/>
            <w:vAlign w:val="bottom"/>
            <w:tcBorders>
              <w:top w:val="single" w:sz="8" w:color="F2F2F2"/>
            </w:tcBorders>
          </w:tcPr>
          <w:p>
            <w:pPr>
              <w:spacing w:after="0"/>
              <w:rPr>
                <w:sz w:val="24"/>
                <w:szCs w:val="24"/>
                <w:color w:val="auto"/>
              </w:rPr>
            </w:pPr>
          </w:p>
        </w:tc>
        <w:tc>
          <w:tcPr>
            <w:tcW w:w="340" w:type="dxa"/>
            <w:vAlign w:val="bottom"/>
            <w:tcBorders>
              <w:top w:val="single" w:sz="8" w:color="F2F2F2"/>
            </w:tcBorders>
          </w:tcPr>
          <w:p>
            <w:pPr>
              <w:spacing w:after="0"/>
              <w:rPr>
                <w:sz w:val="24"/>
                <w:szCs w:val="24"/>
                <w:color w:val="auto"/>
              </w:rPr>
            </w:pPr>
          </w:p>
        </w:tc>
        <w:tc>
          <w:tcPr>
            <w:tcW w:w="740" w:type="dxa"/>
            <w:vAlign w:val="bottom"/>
            <w:tcBorders>
              <w:top w:val="single" w:sz="8" w:color="F2F2F2"/>
            </w:tcBorders>
          </w:tcPr>
          <w:p>
            <w:pPr>
              <w:spacing w:after="0"/>
              <w:rPr>
                <w:sz w:val="24"/>
                <w:szCs w:val="24"/>
                <w:color w:val="auto"/>
              </w:rPr>
            </w:pPr>
          </w:p>
        </w:tc>
        <w:tc>
          <w:tcPr>
            <w:tcW w:w="860" w:type="dxa"/>
            <w:vAlign w:val="bottom"/>
            <w:tcBorders>
              <w:top w:val="single" w:sz="8" w:color="F2F2F2"/>
            </w:tcBorders>
          </w:tcPr>
          <w:p>
            <w:pPr>
              <w:spacing w:after="0"/>
              <w:rPr>
                <w:sz w:val="24"/>
                <w:szCs w:val="24"/>
                <w:color w:val="auto"/>
              </w:rPr>
            </w:pPr>
          </w:p>
        </w:tc>
      </w:tr>
      <w:tr>
        <w:trPr>
          <w:trHeight w:val="218"/>
        </w:trPr>
        <w:tc>
          <w:tcPr>
            <w:tcW w:w="1420" w:type="dxa"/>
            <w:vAlign w:val="bottom"/>
            <w:tcBorders>
              <w:bottom w:val="single" w:sz="8" w:color="376DB5"/>
            </w:tcBorders>
          </w:tcPr>
          <w:p>
            <w:pPr>
              <w:spacing w:after="0"/>
              <w:rPr>
                <w:sz w:val="18"/>
                <w:szCs w:val="18"/>
                <w:color w:val="auto"/>
              </w:rPr>
            </w:pPr>
          </w:p>
        </w:tc>
        <w:tc>
          <w:tcPr>
            <w:tcW w:w="1000" w:type="dxa"/>
            <w:vAlign w:val="bottom"/>
            <w:tcBorders>
              <w:bottom w:val="single" w:sz="8" w:color="376DB5"/>
            </w:tcBorders>
          </w:tcPr>
          <w:p>
            <w:pPr>
              <w:spacing w:after="0"/>
              <w:rPr>
                <w:sz w:val="18"/>
                <w:szCs w:val="18"/>
                <w:color w:val="auto"/>
              </w:rPr>
            </w:pPr>
          </w:p>
        </w:tc>
        <w:tc>
          <w:tcPr>
            <w:tcW w:w="1460" w:type="dxa"/>
            <w:vAlign w:val="bottom"/>
            <w:tcBorders>
              <w:bottom w:val="single" w:sz="8" w:color="376DB5"/>
            </w:tcBorders>
          </w:tcPr>
          <w:p>
            <w:pPr>
              <w:spacing w:after="0"/>
              <w:rPr>
                <w:sz w:val="18"/>
                <w:szCs w:val="18"/>
                <w:color w:val="auto"/>
              </w:rPr>
            </w:pPr>
          </w:p>
        </w:tc>
        <w:tc>
          <w:tcPr>
            <w:tcW w:w="820" w:type="dxa"/>
            <w:vAlign w:val="bottom"/>
            <w:tcBorders>
              <w:bottom w:val="single" w:sz="8" w:color="376DB5"/>
            </w:tcBorders>
          </w:tcPr>
          <w:p>
            <w:pPr>
              <w:spacing w:after="0"/>
              <w:rPr>
                <w:sz w:val="18"/>
                <w:szCs w:val="18"/>
                <w:color w:val="auto"/>
              </w:rPr>
            </w:pPr>
          </w:p>
        </w:tc>
        <w:tc>
          <w:tcPr>
            <w:tcW w:w="580" w:type="dxa"/>
            <w:vAlign w:val="bottom"/>
            <w:tcBorders>
              <w:bottom w:val="single" w:sz="8" w:color="376DB5"/>
            </w:tcBorders>
          </w:tcPr>
          <w:p>
            <w:pPr>
              <w:spacing w:after="0"/>
              <w:rPr>
                <w:sz w:val="18"/>
                <w:szCs w:val="18"/>
                <w:color w:val="auto"/>
              </w:rPr>
            </w:pPr>
          </w:p>
        </w:tc>
        <w:tc>
          <w:tcPr>
            <w:tcW w:w="940" w:type="dxa"/>
            <w:vAlign w:val="bottom"/>
            <w:tcBorders>
              <w:bottom w:val="single" w:sz="8" w:color="376DB5"/>
            </w:tcBorders>
          </w:tcPr>
          <w:p>
            <w:pPr>
              <w:spacing w:after="0"/>
              <w:rPr>
                <w:sz w:val="18"/>
                <w:szCs w:val="18"/>
                <w:color w:val="auto"/>
              </w:rPr>
            </w:pPr>
          </w:p>
        </w:tc>
        <w:tc>
          <w:tcPr>
            <w:tcW w:w="880" w:type="dxa"/>
            <w:vAlign w:val="bottom"/>
            <w:tcBorders>
              <w:bottom w:val="single" w:sz="8" w:color="376DB5"/>
            </w:tcBorders>
          </w:tcPr>
          <w:p>
            <w:pPr>
              <w:spacing w:after="0"/>
              <w:rPr>
                <w:sz w:val="18"/>
                <w:szCs w:val="18"/>
                <w:color w:val="auto"/>
              </w:rPr>
            </w:pPr>
          </w:p>
        </w:tc>
        <w:tc>
          <w:tcPr>
            <w:tcW w:w="1120" w:type="dxa"/>
            <w:vAlign w:val="bottom"/>
            <w:tcBorders>
              <w:bottom w:val="single" w:sz="8" w:color="376DB5"/>
            </w:tcBorders>
          </w:tcPr>
          <w:p>
            <w:pPr>
              <w:spacing w:after="0"/>
              <w:rPr>
                <w:sz w:val="18"/>
                <w:szCs w:val="18"/>
                <w:color w:val="auto"/>
              </w:rPr>
            </w:pPr>
          </w:p>
        </w:tc>
        <w:tc>
          <w:tcPr>
            <w:tcW w:w="860" w:type="dxa"/>
            <w:vAlign w:val="bottom"/>
            <w:tcBorders>
              <w:bottom w:val="single" w:sz="8" w:color="376DB5"/>
            </w:tcBorders>
          </w:tcPr>
          <w:p>
            <w:pPr>
              <w:spacing w:after="0"/>
              <w:rPr>
                <w:sz w:val="18"/>
                <w:szCs w:val="18"/>
                <w:color w:val="auto"/>
              </w:rPr>
            </w:pPr>
          </w:p>
        </w:tc>
        <w:tc>
          <w:tcPr>
            <w:tcW w:w="340" w:type="dxa"/>
            <w:vAlign w:val="bottom"/>
            <w:tcBorders>
              <w:bottom w:val="single" w:sz="8" w:color="376DB5"/>
            </w:tcBorders>
          </w:tcPr>
          <w:p>
            <w:pPr>
              <w:spacing w:after="0"/>
              <w:rPr>
                <w:sz w:val="18"/>
                <w:szCs w:val="18"/>
                <w:color w:val="auto"/>
              </w:rPr>
            </w:pPr>
          </w:p>
        </w:tc>
        <w:tc>
          <w:tcPr>
            <w:tcW w:w="740" w:type="dxa"/>
            <w:vAlign w:val="bottom"/>
            <w:tcBorders>
              <w:bottom w:val="single" w:sz="8" w:color="376DB5"/>
            </w:tcBorders>
          </w:tcPr>
          <w:p>
            <w:pPr>
              <w:spacing w:after="0"/>
              <w:rPr>
                <w:sz w:val="18"/>
                <w:szCs w:val="18"/>
                <w:color w:val="auto"/>
              </w:rPr>
            </w:pPr>
          </w:p>
        </w:tc>
        <w:tc>
          <w:tcPr>
            <w:tcW w:w="860" w:type="dxa"/>
            <w:vAlign w:val="bottom"/>
            <w:tcBorders>
              <w:bottom w:val="single" w:sz="8" w:color="376DB5"/>
            </w:tcBorders>
          </w:tcPr>
          <w:p>
            <w:pPr>
              <w:spacing w:after="0"/>
              <w:rPr>
                <w:sz w:val="18"/>
                <w:szCs w:val="18"/>
                <w:color w:val="auto"/>
              </w:rPr>
            </w:pPr>
          </w:p>
        </w:tc>
      </w:tr>
      <w:tr>
        <w:trPr>
          <w:trHeight w:val="160"/>
        </w:trPr>
        <w:tc>
          <w:tcPr>
            <w:tcW w:w="1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jc w:val="center"/>
              <w:spacing w:after="0" w:line="160" w:lineRule="exact"/>
              <w:rPr>
                <w:sz w:val="20"/>
                <w:szCs w:val="20"/>
                <w:color w:val="auto"/>
              </w:rPr>
            </w:pPr>
            <w:r>
              <w:rPr>
                <w:rFonts w:ascii="Arial" w:cs="Arial" w:eastAsia="Arial" w:hAnsi="Arial"/>
                <w:sz w:val="14"/>
                <w:szCs w:val="14"/>
                <w:color w:val="376DB5"/>
              </w:rPr>
              <w:t>Termination</w:t>
            </w: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2"/>
        </w:trPr>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376DB5"/>
              </w:rPr>
              <w:t>by Us</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376DB5"/>
              </w:rPr>
              <w:t>Without</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376DB5"/>
              </w:rPr>
              <w:t>Cause in</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376DB5"/>
              </w:rPr>
              <w:t>Connection</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376DB5"/>
              </w:rPr>
              <w:t>with a</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376DB5"/>
              </w:rPr>
              <w:t>Change in</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376DB5"/>
              </w:rPr>
              <w:t>Termination</w:t>
            </w:r>
          </w:p>
        </w:tc>
        <w:tc>
          <w:tcPr>
            <w:tcW w:w="1120" w:type="dxa"/>
            <w:vAlign w:val="bottom"/>
          </w:tcPr>
          <w:p>
            <w:pPr>
              <w:jc w:val="center"/>
              <w:spacing w:after="0"/>
              <w:rPr>
                <w:sz w:val="20"/>
                <w:szCs w:val="20"/>
                <w:color w:val="auto"/>
              </w:rPr>
            </w:pPr>
            <w:r>
              <w:rPr>
                <w:rFonts w:ascii="Arial" w:cs="Arial" w:eastAsia="Arial" w:hAnsi="Arial"/>
                <w:sz w:val="14"/>
                <w:szCs w:val="14"/>
                <w:color w:val="376DB5"/>
              </w:rPr>
              <w:t>Control or</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376DB5"/>
              </w:rPr>
              <w:t>by Us</w:t>
            </w:r>
          </w:p>
        </w:tc>
        <w:tc>
          <w:tcPr>
            <w:tcW w:w="1120" w:type="dxa"/>
            <w:vAlign w:val="bottom"/>
          </w:tcPr>
          <w:p>
            <w:pPr>
              <w:jc w:val="center"/>
              <w:spacing w:after="0"/>
              <w:rPr>
                <w:sz w:val="20"/>
                <w:szCs w:val="20"/>
                <w:color w:val="auto"/>
              </w:rPr>
            </w:pPr>
            <w:r>
              <w:rPr>
                <w:rFonts w:ascii="Arial" w:cs="Arial" w:eastAsia="Arial" w:hAnsi="Arial"/>
                <w:sz w:val="14"/>
                <w:szCs w:val="14"/>
                <w:color w:val="376DB5"/>
              </w:rPr>
              <w:t>by the NEO</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376DB5"/>
              </w:rPr>
              <w:t>Without</w:t>
            </w:r>
          </w:p>
        </w:tc>
        <w:tc>
          <w:tcPr>
            <w:tcW w:w="1120" w:type="dxa"/>
            <w:vAlign w:val="bottom"/>
          </w:tcPr>
          <w:p>
            <w:pPr>
              <w:jc w:val="center"/>
              <w:spacing w:after="0"/>
              <w:rPr>
                <w:sz w:val="20"/>
                <w:szCs w:val="20"/>
                <w:color w:val="auto"/>
              </w:rPr>
            </w:pPr>
            <w:r>
              <w:rPr>
                <w:rFonts w:ascii="Arial" w:cs="Arial" w:eastAsia="Arial" w:hAnsi="Arial"/>
                <w:sz w:val="14"/>
                <w:szCs w:val="14"/>
                <w:color w:val="376DB5"/>
              </w:rPr>
              <w:t>with Good</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376DB5"/>
              </w:rPr>
              <w:t>Cause or</w:t>
            </w:r>
          </w:p>
        </w:tc>
        <w:tc>
          <w:tcPr>
            <w:tcW w:w="1120" w:type="dxa"/>
            <w:vAlign w:val="bottom"/>
          </w:tcPr>
          <w:p>
            <w:pPr>
              <w:jc w:val="center"/>
              <w:spacing w:after="0"/>
              <w:rPr>
                <w:sz w:val="20"/>
                <w:szCs w:val="20"/>
                <w:color w:val="auto"/>
              </w:rPr>
            </w:pPr>
            <w:r>
              <w:rPr>
                <w:rFonts w:ascii="Arial" w:cs="Arial" w:eastAsia="Arial" w:hAnsi="Arial"/>
                <w:sz w:val="14"/>
                <w:szCs w:val="14"/>
                <w:color w:val="376DB5"/>
              </w:rPr>
              <w:t>Reason in</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376DB5"/>
              </w:rPr>
              <w:t>by</w:t>
            </w:r>
          </w:p>
        </w:tc>
        <w:tc>
          <w:tcPr>
            <w:tcW w:w="1120" w:type="dxa"/>
            <w:vAlign w:val="bottom"/>
          </w:tcPr>
          <w:p>
            <w:pPr>
              <w:jc w:val="center"/>
              <w:spacing w:after="0"/>
              <w:rPr>
                <w:sz w:val="20"/>
                <w:szCs w:val="20"/>
                <w:color w:val="auto"/>
              </w:rPr>
            </w:pPr>
            <w:r>
              <w:rPr>
                <w:rFonts w:ascii="Arial" w:cs="Arial" w:eastAsia="Arial" w:hAnsi="Arial"/>
                <w:sz w:val="14"/>
                <w:szCs w:val="14"/>
                <w:color w:val="376DB5"/>
              </w:rPr>
              <w:t>Connection</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gridSpan w:val="2"/>
          </w:tcPr>
          <w:p>
            <w:pPr>
              <w:jc w:val="center"/>
              <w:ind w:left="400"/>
              <w:spacing w:after="0"/>
              <w:rPr>
                <w:sz w:val="20"/>
                <w:szCs w:val="20"/>
                <w:color w:val="auto"/>
              </w:rPr>
            </w:pPr>
            <w:r>
              <w:rPr>
                <w:rFonts w:ascii="Arial" w:cs="Arial" w:eastAsia="Arial" w:hAnsi="Arial"/>
                <w:sz w:val="14"/>
                <w:szCs w:val="14"/>
                <w:color w:val="376DB5"/>
              </w:rPr>
              <w:t>Voluntary</w:t>
            </w:r>
          </w:p>
        </w:tc>
        <w:tc>
          <w:tcPr>
            <w:tcW w:w="940" w:type="dxa"/>
            <w:vAlign w:val="bottom"/>
          </w:tcPr>
          <w:p>
            <w:pPr>
              <w:jc w:val="center"/>
              <w:spacing w:after="0"/>
              <w:rPr>
                <w:sz w:val="20"/>
                <w:szCs w:val="20"/>
                <w:color w:val="auto"/>
              </w:rPr>
            </w:pPr>
            <w:r>
              <w:rPr>
                <w:rFonts w:ascii="Arial" w:cs="Arial" w:eastAsia="Arial" w:hAnsi="Arial"/>
                <w:sz w:val="14"/>
                <w:szCs w:val="14"/>
                <w:color w:val="376DB5"/>
              </w:rPr>
              <w:t>Termination</w:t>
            </w:r>
          </w:p>
        </w:tc>
        <w:tc>
          <w:tcPr>
            <w:tcW w:w="880" w:type="dxa"/>
            <w:vAlign w:val="bottom"/>
          </w:tcPr>
          <w:p>
            <w:pPr>
              <w:jc w:val="center"/>
              <w:spacing w:after="0"/>
              <w:rPr>
                <w:sz w:val="20"/>
                <w:szCs w:val="20"/>
                <w:color w:val="auto"/>
              </w:rPr>
            </w:pPr>
            <w:r>
              <w:rPr>
                <w:rFonts w:ascii="Arial" w:cs="Arial" w:eastAsia="Arial" w:hAnsi="Arial"/>
                <w:sz w:val="14"/>
                <w:szCs w:val="14"/>
                <w:color w:val="376DB5"/>
              </w:rPr>
              <w:t>NEO with</w:t>
            </w:r>
          </w:p>
        </w:tc>
        <w:tc>
          <w:tcPr>
            <w:tcW w:w="1120" w:type="dxa"/>
            <w:vAlign w:val="bottom"/>
          </w:tcPr>
          <w:p>
            <w:pPr>
              <w:jc w:val="center"/>
              <w:spacing w:after="0"/>
              <w:rPr>
                <w:sz w:val="20"/>
                <w:szCs w:val="20"/>
                <w:color w:val="auto"/>
              </w:rPr>
            </w:pPr>
            <w:r>
              <w:rPr>
                <w:rFonts w:ascii="Arial" w:cs="Arial" w:eastAsia="Arial" w:hAnsi="Arial"/>
                <w:sz w:val="14"/>
                <w:szCs w:val="14"/>
                <w:color w:val="376DB5"/>
              </w:rPr>
              <w:t>with a</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gridSpan w:val="2"/>
          </w:tcPr>
          <w:p>
            <w:pPr>
              <w:jc w:val="center"/>
              <w:ind w:left="380"/>
              <w:spacing w:after="0"/>
              <w:rPr>
                <w:sz w:val="20"/>
                <w:szCs w:val="20"/>
                <w:color w:val="auto"/>
              </w:rPr>
            </w:pPr>
            <w:r>
              <w:rPr>
                <w:rFonts w:ascii="Arial" w:cs="Arial" w:eastAsia="Arial" w:hAnsi="Arial"/>
                <w:sz w:val="14"/>
                <w:szCs w:val="14"/>
                <w:color w:val="376DB5"/>
              </w:rPr>
              <w:t>Termination</w:t>
            </w:r>
          </w:p>
        </w:tc>
        <w:tc>
          <w:tcPr>
            <w:tcW w:w="940" w:type="dxa"/>
            <w:vAlign w:val="bottom"/>
          </w:tcPr>
          <w:p>
            <w:pPr>
              <w:jc w:val="center"/>
              <w:spacing w:after="0"/>
              <w:rPr>
                <w:sz w:val="20"/>
                <w:szCs w:val="20"/>
                <w:color w:val="auto"/>
              </w:rPr>
            </w:pPr>
            <w:r>
              <w:rPr>
                <w:rFonts w:ascii="Arial" w:cs="Arial" w:eastAsia="Arial" w:hAnsi="Arial"/>
                <w:sz w:val="14"/>
                <w:szCs w:val="14"/>
                <w:color w:val="376DB5"/>
              </w:rPr>
              <w:t>by Us For</w:t>
            </w:r>
          </w:p>
        </w:tc>
        <w:tc>
          <w:tcPr>
            <w:tcW w:w="880" w:type="dxa"/>
            <w:vAlign w:val="bottom"/>
          </w:tcPr>
          <w:p>
            <w:pPr>
              <w:jc w:val="center"/>
              <w:spacing w:after="0"/>
              <w:rPr>
                <w:sz w:val="20"/>
                <w:szCs w:val="20"/>
                <w:color w:val="auto"/>
              </w:rPr>
            </w:pPr>
            <w:r>
              <w:rPr>
                <w:rFonts w:ascii="Arial" w:cs="Arial" w:eastAsia="Arial" w:hAnsi="Arial"/>
                <w:sz w:val="14"/>
                <w:szCs w:val="14"/>
                <w:color w:val="376DB5"/>
              </w:rPr>
              <w:t>Good</w:t>
            </w:r>
          </w:p>
        </w:tc>
        <w:tc>
          <w:tcPr>
            <w:tcW w:w="1120" w:type="dxa"/>
            <w:vAlign w:val="bottom"/>
          </w:tcPr>
          <w:p>
            <w:pPr>
              <w:jc w:val="center"/>
              <w:spacing w:after="0"/>
              <w:rPr>
                <w:sz w:val="20"/>
                <w:szCs w:val="20"/>
                <w:color w:val="auto"/>
              </w:rPr>
            </w:pPr>
            <w:r>
              <w:rPr>
                <w:rFonts w:ascii="Arial" w:cs="Arial" w:eastAsia="Arial" w:hAnsi="Arial"/>
                <w:sz w:val="14"/>
                <w:szCs w:val="14"/>
                <w:color w:val="376DB5"/>
              </w:rPr>
              <w:t>Change in</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gridSpan w:val="2"/>
          </w:tcPr>
          <w:p>
            <w:pPr>
              <w:jc w:val="center"/>
              <w:ind w:left="380"/>
              <w:spacing w:after="0"/>
              <w:rPr>
                <w:sz w:val="20"/>
                <w:szCs w:val="20"/>
                <w:color w:val="auto"/>
              </w:rPr>
            </w:pPr>
            <w:r>
              <w:rPr>
                <w:rFonts w:ascii="Arial" w:cs="Arial" w:eastAsia="Arial" w:hAnsi="Arial"/>
                <w:sz w:val="14"/>
                <w:szCs w:val="14"/>
                <w:color w:val="376DB5"/>
              </w:rPr>
              <w:t>by NEO</w:t>
            </w:r>
          </w:p>
        </w:tc>
        <w:tc>
          <w:tcPr>
            <w:tcW w:w="940" w:type="dxa"/>
            <w:vAlign w:val="bottom"/>
          </w:tcPr>
          <w:p>
            <w:pPr>
              <w:jc w:val="center"/>
              <w:spacing w:after="0"/>
              <w:rPr>
                <w:sz w:val="20"/>
                <w:szCs w:val="20"/>
                <w:color w:val="auto"/>
              </w:rPr>
            </w:pPr>
            <w:r>
              <w:rPr>
                <w:rFonts w:ascii="Arial" w:cs="Arial" w:eastAsia="Arial" w:hAnsi="Arial"/>
                <w:sz w:val="14"/>
                <w:szCs w:val="14"/>
                <w:color w:val="376DB5"/>
              </w:rPr>
              <w:t>Cause</w:t>
            </w:r>
          </w:p>
        </w:tc>
        <w:tc>
          <w:tcPr>
            <w:tcW w:w="880" w:type="dxa"/>
            <w:vAlign w:val="bottom"/>
          </w:tcPr>
          <w:p>
            <w:pPr>
              <w:jc w:val="center"/>
              <w:spacing w:after="0"/>
              <w:rPr>
                <w:sz w:val="20"/>
                <w:szCs w:val="20"/>
                <w:color w:val="auto"/>
              </w:rPr>
            </w:pPr>
            <w:r>
              <w:rPr>
                <w:rFonts w:ascii="Arial" w:cs="Arial" w:eastAsia="Arial" w:hAnsi="Arial"/>
                <w:sz w:val="14"/>
                <w:szCs w:val="14"/>
                <w:color w:val="376DB5"/>
                <w:w w:val="99"/>
              </w:rPr>
              <w:t>Reason</w:t>
            </w:r>
          </w:p>
        </w:tc>
        <w:tc>
          <w:tcPr>
            <w:tcW w:w="1120" w:type="dxa"/>
            <w:vAlign w:val="bottom"/>
          </w:tcPr>
          <w:p>
            <w:pPr>
              <w:jc w:val="center"/>
              <w:spacing w:after="0"/>
              <w:rPr>
                <w:sz w:val="20"/>
                <w:szCs w:val="20"/>
                <w:color w:val="auto"/>
              </w:rPr>
            </w:pPr>
            <w:r>
              <w:rPr>
                <w:rFonts w:ascii="Arial" w:cs="Arial" w:eastAsia="Arial" w:hAnsi="Arial"/>
                <w:sz w:val="14"/>
                <w:szCs w:val="14"/>
                <w:color w:val="376DB5"/>
              </w:rPr>
              <w:t>Control</w:t>
            </w:r>
          </w:p>
        </w:tc>
        <w:tc>
          <w:tcPr>
            <w:tcW w:w="860" w:type="dxa"/>
            <w:vAlign w:val="bottom"/>
          </w:tcPr>
          <w:p>
            <w:pPr>
              <w:ind w:left="40"/>
              <w:spacing w:after="0"/>
              <w:rPr>
                <w:sz w:val="20"/>
                <w:szCs w:val="20"/>
                <w:color w:val="auto"/>
              </w:rPr>
            </w:pPr>
            <w:r>
              <w:rPr>
                <w:rFonts w:ascii="Arial" w:cs="Arial" w:eastAsia="Arial" w:hAnsi="Arial"/>
                <w:sz w:val="14"/>
                <w:szCs w:val="14"/>
                <w:color w:val="376DB5"/>
              </w:rPr>
              <w:t>Retirement</w:t>
            </w:r>
          </w:p>
        </w:tc>
        <w:tc>
          <w:tcPr>
            <w:tcW w:w="1080" w:type="dxa"/>
            <w:vAlign w:val="bottom"/>
            <w:gridSpan w:val="2"/>
          </w:tcPr>
          <w:p>
            <w:pPr>
              <w:jc w:val="right"/>
              <w:ind w:right="262"/>
              <w:spacing w:after="0"/>
              <w:rPr>
                <w:sz w:val="20"/>
                <w:szCs w:val="20"/>
                <w:color w:val="auto"/>
              </w:rPr>
            </w:pPr>
            <w:r>
              <w:rPr>
                <w:rFonts w:ascii="Arial" w:cs="Arial" w:eastAsia="Arial" w:hAnsi="Arial"/>
                <w:sz w:val="14"/>
                <w:szCs w:val="14"/>
                <w:color w:val="376DB5"/>
              </w:rPr>
              <w:t>Disability</w:t>
            </w:r>
          </w:p>
        </w:tc>
        <w:tc>
          <w:tcPr>
            <w:tcW w:w="860" w:type="dxa"/>
            <w:vAlign w:val="bottom"/>
          </w:tcPr>
          <w:p>
            <w:pPr>
              <w:jc w:val="right"/>
              <w:ind w:right="208"/>
              <w:spacing w:after="0"/>
              <w:rPr>
                <w:sz w:val="20"/>
                <w:szCs w:val="20"/>
                <w:color w:val="auto"/>
              </w:rPr>
            </w:pPr>
            <w:r>
              <w:rPr>
                <w:rFonts w:ascii="Arial" w:cs="Arial" w:eastAsia="Arial" w:hAnsi="Arial"/>
                <w:sz w:val="14"/>
                <w:szCs w:val="14"/>
                <w:color w:val="376DB5"/>
              </w:rPr>
              <w:t>Death</w:t>
            </w:r>
          </w:p>
        </w:tc>
      </w:tr>
      <w:tr>
        <w:trPr>
          <w:trHeight w:val="194"/>
        </w:trPr>
        <w:tc>
          <w:tcPr>
            <w:tcW w:w="1420" w:type="dxa"/>
            <w:vAlign w:val="bottom"/>
            <w:tcBorders>
              <w:bottom w:val="single" w:sz="8" w:color="376DB5"/>
            </w:tcBorders>
          </w:tcPr>
          <w:p>
            <w:pPr>
              <w:spacing w:after="0"/>
              <w:rPr>
                <w:sz w:val="20"/>
                <w:szCs w:val="20"/>
                <w:color w:val="auto"/>
              </w:rPr>
            </w:pPr>
            <w:r>
              <w:rPr>
                <w:rFonts w:ascii="Arial" w:cs="Arial" w:eastAsia="Arial" w:hAnsi="Arial"/>
                <w:sz w:val="14"/>
                <w:szCs w:val="14"/>
                <w:color w:val="376DB5"/>
              </w:rPr>
              <w:t>Payment or Benefit</w:t>
            </w:r>
          </w:p>
        </w:tc>
        <w:tc>
          <w:tcPr>
            <w:tcW w:w="1000" w:type="dxa"/>
            <w:vAlign w:val="bottom"/>
            <w:tcBorders>
              <w:bottom w:val="single" w:sz="8" w:color="376DB5"/>
            </w:tcBorders>
          </w:tcPr>
          <w:p>
            <w:pPr>
              <w:spacing w:after="0"/>
              <w:rPr>
                <w:sz w:val="16"/>
                <w:szCs w:val="16"/>
                <w:color w:val="auto"/>
              </w:rPr>
            </w:pPr>
          </w:p>
        </w:tc>
        <w:tc>
          <w:tcPr>
            <w:tcW w:w="1460" w:type="dxa"/>
            <w:vAlign w:val="bottom"/>
            <w:tcBorders>
              <w:bottom w:val="single" w:sz="8" w:color="376DB5"/>
            </w:tcBorders>
          </w:tcPr>
          <w:p>
            <w:pPr>
              <w:spacing w:after="0"/>
              <w:rPr>
                <w:sz w:val="16"/>
                <w:szCs w:val="16"/>
                <w:color w:val="auto"/>
              </w:rPr>
            </w:pPr>
          </w:p>
        </w:tc>
        <w:tc>
          <w:tcPr>
            <w:tcW w:w="1400" w:type="dxa"/>
            <w:vAlign w:val="bottom"/>
            <w:tcBorders>
              <w:bottom w:val="single" w:sz="8" w:color="376DB5"/>
            </w:tcBorders>
            <w:gridSpan w:val="2"/>
          </w:tcPr>
          <w:p>
            <w:pPr>
              <w:jc w:val="center"/>
              <w:ind w:left="380"/>
              <w:spacing w:after="0"/>
              <w:rPr>
                <w:sz w:val="20"/>
                <w:szCs w:val="20"/>
                <w:color w:val="auto"/>
              </w:rPr>
            </w:pPr>
            <w:r>
              <w:rPr>
                <w:rFonts w:ascii="Arial" w:cs="Arial" w:eastAsia="Arial" w:hAnsi="Arial"/>
                <w:sz w:val="14"/>
                <w:szCs w:val="14"/>
                <w:color w:val="376DB5"/>
              </w:rPr>
              <w:t>($)</w:t>
            </w:r>
          </w:p>
        </w:tc>
        <w:tc>
          <w:tcPr>
            <w:tcW w:w="94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376DB5"/>
              </w:rPr>
              <w:t>($)</w:t>
            </w:r>
          </w:p>
        </w:tc>
        <w:tc>
          <w:tcPr>
            <w:tcW w:w="88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376DB5"/>
                <w:w w:val="93"/>
              </w:rPr>
              <w:t>($)</w:t>
            </w:r>
          </w:p>
        </w:tc>
        <w:tc>
          <w:tcPr>
            <w:tcW w:w="1120" w:type="dxa"/>
            <w:vAlign w:val="bottom"/>
            <w:tcBorders>
              <w:bottom w:val="single" w:sz="8" w:color="376DB5"/>
            </w:tcBorders>
          </w:tcPr>
          <w:p>
            <w:pPr>
              <w:jc w:val="right"/>
              <w:ind w:right="407"/>
              <w:spacing w:after="0"/>
              <w:rPr>
                <w:sz w:val="20"/>
                <w:szCs w:val="20"/>
                <w:color w:val="auto"/>
              </w:rPr>
            </w:pPr>
            <w:r>
              <w:rPr>
                <w:rFonts w:ascii="Arial" w:cs="Arial" w:eastAsia="Arial" w:hAnsi="Arial"/>
                <w:sz w:val="14"/>
                <w:szCs w:val="14"/>
                <w:color w:val="376DB5"/>
              </w:rPr>
              <w:t>($)</w:t>
            </w:r>
          </w:p>
        </w:tc>
        <w:tc>
          <w:tcPr>
            <w:tcW w:w="860" w:type="dxa"/>
            <w:vAlign w:val="bottom"/>
            <w:tcBorders>
              <w:bottom w:val="single" w:sz="8" w:color="376DB5"/>
            </w:tcBorders>
          </w:tcPr>
          <w:p>
            <w:pPr>
              <w:jc w:val="center"/>
              <w:ind w:right="5"/>
              <w:spacing w:after="0"/>
              <w:rPr>
                <w:sz w:val="20"/>
                <w:szCs w:val="20"/>
                <w:color w:val="auto"/>
              </w:rPr>
            </w:pPr>
            <w:r>
              <w:rPr>
                <w:rFonts w:ascii="Arial" w:cs="Arial" w:eastAsia="Arial" w:hAnsi="Arial"/>
                <w:sz w:val="14"/>
                <w:szCs w:val="14"/>
                <w:color w:val="376DB5"/>
              </w:rPr>
              <w:t>($)</w:t>
            </w:r>
          </w:p>
        </w:tc>
        <w:tc>
          <w:tcPr>
            <w:tcW w:w="340" w:type="dxa"/>
            <w:vAlign w:val="bottom"/>
            <w:tcBorders>
              <w:bottom w:val="single" w:sz="8" w:color="376DB5"/>
            </w:tcBorders>
          </w:tcPr>
          <w:p>
            <w:pPr>
              <w:spacing w:after="0"/>
              <w:rPr>
                <w:sz w:val="16"/>
                <w:szCs w:val="16"/>
                <w:color w:val="auto"/>
              </w:rPr>
            </w:pPr>
          </w:p>
        </w:tc>
        <w:tc>
          <w:tcPr>
            <w:tcW w:w="740" w:type="dxa"/>
            <w:vAlign w:val="bottom"/>
            <w:tcBorders>
              <w:bottom w:val="single" w:sz="8" w:color="376DB5"/>
            </w:tcBorders>
          </w:tcPr>
          <w:p>
            <w:pPr>
              <w:jc w:val="right"/>
              <w:ind w:right="462"/>
              <w:spacing w:after="0"/>
              <w:rPr>
                <w:sz w:val="20"/>
                <w:szCs w:val="20"/>
                <w:color w:val="auto"/>
              </w:rPr>
            </w:pPr>
            <w:r>
              <w:rPr>
                <w:rFonts w:ascii="Arial" w:cs="Arial" w:eastAsia="Arial" w:hAnsi="Arial"/>
                <w:sz w:val="14"/>
                <w:szCs w:val="14"/>
                <w:color w:val="376DB5"/>
              </w:rPr>
              <w:t>($)</w:t>
            </w:r>
          </w:p>
        </w:tc>
        <w:tc>
          <w:tcPr>
            <w:tcW w:w="860" w:type="dxa"/>
            <w:vAlign w:val="bottom"/>
            <w:tcBorders>
              <w:bottom w:val="single" w:sz="8" w:color="376DB5"/>
            </w:tcBorders>
          </w:tcPr>
          <w:p>
            <w:pPr>
              <w:jc w:val="right"/>
              <w:ind w:right="308"/>
              <w:spacing w:after="0"/>
              <w:rPr>
                <w:sz w:val="20"/>
                <w:szCs w:val="20"/>
                <w:color w:val="auto"/>
              </w:rPr>
            </w:pPr>
            <w:r>
              <w:rPr>
                <w:rFonts w:ascii="Arial" w:cs="Arial" w:eastAsia="Arial" w:hAnsi="Arial"/>
                <w:sz w:val="14"/>
                <w:szCs w:val="14"/>
                <w:color w:val="376DB5"/>
              </w:rPr>
              <w:t>($)</w:t>
            </w:r>
          </w:p>
        </w:tc>
      </w:tr>
      <w:tr>
        <w:trPr>
          <w:trHeight w:val="200"/>
        </w:trPr>
        <w:tc>
          <w:tcPr>
            <w:tcW w:w="2420" w:type="dxa"/>
            <w:vAlign w:val="bottom"/>
            <w:gridSpan w:val="2"/>
          </w:tcPr>
          <w:p>
            <w:pPr>
              <w:spacing w:after="0" w:line="200" w:lineRule="exact"/>
              <w:rPr>
                <w:sz w:val="20"/>
                <w:szCs w:val="20"/>
                <w:color w:val="auto"/>
              </w:rPr>
            </w:pPr>
            <w:r>
              <w:rPr>
                <w:rFonts w:ascii="Arial" w:cs="Arial" w:eastAsia="Arial" w:hAnsi="Arial"/>
                <w:sz w:val="14"/>
                <w:szCs w:val="14"/>
                <w:color w:val="auto"/>
              </w:rPr>
              <w:t>Value of Cash Severance</w:t>
            </w:r>
            <w:r>
              <w:rPr>
                <w:rFonts w:ascii="Arial" w:cs="Arial" w:eastAsia="Arial" w:hAnsi="Arial"/>
                <w:sz w:val="21"/>
                <w:szCs w:val="21"/>
                <w:color w:val="auto"/>
                <w:vertAlign w:val="superscript"/>
              </w:rPr>
              <w:t>(1)</w:t>
            </w:r>
          </w:p>
        </w:tc>
        <w:tc>
          <w:tcPr>
            <w:tcW w:w="1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jc w:val="center"/>
              <w:ind w:right="288"/>
              <w:spacing w:after="0"/>
              <w:rPr>
                <w:sz w:val="20"/>
                <w:szCs w:val="20"/>
                <w:color w:val="auto"/>
              </w:rPr>
            </w:pPr>
            <w:r>
              <w:rPr>
                <w:rFonts w:ascii="Arial" w:cs="Arial" w:eastAsia="Arial" w:hAnsi="Arial"/>
                <w:sz w:val="14"/>
                <w:szCs w:val="14"/>
                <w:color w:val="auto"/>
                <w:w w:val="99"/>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675,000</w:t>
            </w: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675,000</w:t>
            </w:r>
          </w:p>
        </w:tc>
        <w:tc>
          <w:tcPr>
            <w:tcW w:w="860" w:type="dxa"/>
            <w:vAlign w:val="bottom"/>
          </w:tcPr>
          <w:p>
            <w:pPr>
              <w:jc w:val="center"/>
              <w:ind w:right="5"/>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17"/>
                <w:szCs w:val="17"/>
                <w:color w:val="auto"/>
              </w:rPr>
            </w:pPr>
          </w:p>
        </w:tc>
        <w:tc>
          <w:tcPr>
            <w:tcW w:w="740" w:type="dxa"/>
            <w:vAlign w:val="bottom"/>
          </w:tcPr>
          <w:p>
            <w:pPr>
              <w:jc w:val="right"/>
              <w:ind w:right="46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w:t>
            </w:r>
          </w:p>
        </w:tc>
      </w:tr>
      <w:tr>
        <w:trPr>
          <w:trHeight w:val="216"/>
        </w:trPr>
        <w:tc>
          <w:tcPr>
            <w:tcW w:w="1420" w:type="dxa"/>
            <w:vAlign w:val="bottom"/>
            <w:shd w:val="clear" w:color="auto" w:fill="F2F2F2"/>
          </w:tcPr>
          <w:p>
            <w:pPr>
              <w:spacing w:after="0" w:line="216" w:lineRule="exact"/>
              <w:rPr>
                <w:sz w:val="20"/>
                <w:szCs w:val="20"/>
                <w:color w:val="auto"/>
              </w:rPr>
            </w:pPr>
            <w:r>
              <w:rPr>
                <w:rFonts w:ascii="Arial" w:cs="Arial" w:eastAsia="Arial" w:hAnsi="Arial"/>
                <w:sz w:val="14"/>
                <w:szCs w:val="14"/>
                <w:color w:val="auto"/>
              </w:rPr>
              <w:t>Value of Benefits</w:t>
            </w:r>
            <w:r>
              <w:rPr>
                <w:rFonts w:ascii="Arial" w:cs="Arial" w:eastAsia="Arial" w:hAnsi="Arial"/>
                <w:sz w:val="21"/>
                <w:szCs w:val="21"/>
                <w:color w:val="auto"/>
                <w:vertAlign w:val="superscript"/>
              </w:rPr>
              <w:t>(2)</w:t>
            </w:r>
          </w:p>
        </w:tc>
        <w:tc>
          <w:tcPr>
            <w:tcW w:w="1000" w:type="dxa"/>
            <w:vAlign w:val="bottom"/>
            <w:shd w:val="clear" w:color="auto" w:fill="F2F2F2"/>
          </w:tcPr>
          <w:p>
            <w:pPr>
              <w:spacing w:after="0"/>
              <w:rPr>
                <w:sz w:val="18"/>
                <w:szCs w:val="18"/>
                <w:color w:val="auto"/>
              </w:rPr>
            </w:pPr>
          </w:p>
        </w:tc>
        <w:tc>
          <w:tcPr>
            <w:tcW w:w="1460" w:type="dxa"/>
            <w:vAlign w:val="bottom"/>
            <w:shd w:val="clear" w:color="auto" w:fill="F2F2F2"/>
          </w:tcPr>
          <w:p>
            <w:pPr>
              <w:spacing w:after="0"/>
              <w:rPr>
                <w:sz w:val="18"/>
                <w:szCs w:val="18"/>
                <w:color w:val="auto"/>
              </w:rPr>
            </w:pPr>
          </w:p>
        </w:tc>
        <w:tc>
          <w:tcPr>
            <w:tcW w:w="820" w:type="dxa"/>
            <w:vAlign w:val="bottom"/>
            <w:shd w:val="clear" w:color="auto" w:fill="F2F2F2"/>
          </w:tcPr>
          <w:p>
            <w:pPr>
              <w:spacing w:after="0"/>
              <w:rPr>
                <w:sz w:val="18"/>
                <w:szCs w:val="18"/>
                <w:color w:val="auto"/>
              </w:rPr>
            </w:pPr>
          </w:p>
        </w:tc>
        <w:tc>
          <w:tcPr>
            <w:tcW w:w="580" w:type="dxa"/>
            <w:vAlign w:val="bottom"/>
            <w:shd w:val="clear" w:color="auto" w:fill="F2F2F2"/>
          </w:tcPr>
          <w:p>
            <w:pPr>
              <w:jc w:val="center"/>
              <w:ind w:right="288"/>
              <w:spacing w:after="0"/>
              <w:rPr>
                <w:sz w:val="20"/>
                <w:szCs w:val="20"/>
                <w:color w:val="auto"/>
              </w:rPr>
            </w:pPr>
            <w:r>
              <w:rPr>
                <w:rFonts w:ascii="Arial" w:cs="Arial" w:eastAsia="Arial" w:hAnsi="Arial"/>
                <w:sz w:val="14"/>
                <w:szCs w:val="14"/>
                <w:color w:val="auto"/>
                <w:w w:val="99"/>
              </w:rPr>
              <w:t>—</w:t>
            </w:r>
          </w:p>
        </w:tc>
        <w:tc>
          <w:tcPr>
            <w:tcW w:w="9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25,764</w:t>
            </w:r>
          </w:p>
        </w:tc>
        <w:tc>
          <w:tcPr>
            <w:tcW w:w="1120" w:type="dxa"/>
            <w:vAlign w:val="bottom"/>
            <w:shd w:val="clear" w:color="auto" w:fill="F2F2F2"/>
          </w:tcPr>
          <w:p>
            <w:pPr>
              <w:jc w:val="right"/>
              <w:ind w:right="107"/>
              <w:spacing w:after="0"/>
              <w:rPr>
                <w:sz w:val="20"/>
                <w:szCs w:val="20"/>
                <w:color w:val="auto"/>
              </w:rPr>
            </w:pPr>
            <w:r>
              <w:rPr>
                <w:rFonts w:ascii="Arial" w:cs="Arial" w:eastAsia="Arial" w:hAnsi="Arial"/>
                <w:sz w:val="14"/>
                <w:szCs w:val="14"/>
                <w:color w:val="auto"/>
              </w:rPr>
              <w:t>25,764</w:t>
            </w:r>
          </w:p>
        </w:tc>
        <w:tc>
          <w:tcPr>
            <w:tcW w:w="860" w:type="dxa"/>
            <w:vAlign w:val="bottom"/>
            <w:shd w:val="clear" w:color="auto" w:fill="F2F2F2"/>
          </w:tcPr>
          <w:p>
            <w:pPr>
              <w:jc w:val="center"/>
              <w:ind w:right="5"/>
              <w:spacing w:after="0"/>
              <w:rPr>
                <w:sz w:val="20"/>
                <w:szCs w:val="20"/>
                <w:color w:val="auto"/>
              </w:rPr>
            </w:pPr>
            <w:r>
              <w:rPr>
                <w:rFonts w:ascii="Arial" w:cs="Arial" w:eastAsia="Arial" w:hAnsi="Arial"/>
                <w:sz w:val="14"/>
                <w:szCs w:val="14"/>
                <w:color w:val="auto"/>
                <w:w w:val="99"/>
              </w:rPr>
              <w:t>—</w:t>
            </w:r>
          </w:p>
        </w:tc>
        <w:tc>
          <w:tcPr>
            <w:tcW w:w="340" w:type="dxa"/>
            <w:vAlign w:val="bottom"/>
            <w:shd w:val="clear" w:color="auto" w:fill="F2F2F2"/>
          </w:tcPr>
          <w:p>
            <w:pPr>
              <w:spacing w:after="0"/>
              <w:rPr>
                <w:sz w:val="18"/>
                <w:szCs w:val="18"/>
                <w:color w:val="auto"/>
              </w:rPr>
            </w:pPr>
          </w:p>
        </w:tc>
        <w:tc>
          <w:tcPr>
            <w:tcW w:w="740" w:type="dxa"/>
            <w:vAlign w:val="bottom"/>
            <w:shd w:val="clear" w:color="auto" w:fill="F2F2F2"/>
          </w:tcPr>
          <w:p>
            <w:pPr>
              <w:jc w:val="right"/>
              <w:ind w:right="462"/>
              <w:spacing w:after="0"/>
              <w:rPr>
                <w:sz w:val="20"/>
                <w:szCs w:val="20"/>
                <w:color w:val="auto"/>
              </w:rPr>
            </w:pPr>
            <w:r>
              <w:rPr>
                <w:rFonts w:ascii="Arial" w:cs="Arial" w:eastAsia="Arial" w:hAnsi="Arial"/>
                <w:sz w:val="14"/>
                <w:szCs w:val="14"/>
                <w:color w:val="auto"/>
              </w:rPr>
              <w:t>—</w:t>
            </w:r>
          </w:p>
        </w:tc>
        <w:tc>
          <w:tcPr>
            <w:tcW w:w="860" w:type="dxa"/>
            <w:vAlign w:val="bottom"/>
            <w:shd w:val="clear" w:color="auto" w:fill="F2F2F2"/>
          </w:tcPr>
          <w:p>
            <w:pPr>
              <w:jc w:val="right"/>
              <w:ind w:right="308"/>
              <w:spacing w:after="0"/>
              <w:rPr>
                <w:sz w:val="20"/>
                <w:szCs w:val="20"/>
                <w:color w:val="auto"/>
              </w:rPr>
            </w:pPr>
            <w:r>
              <w:rPr>
                <w:rFonts w:ascii="Arial" w:cs="Arial" w:eastAsia="Arial" w:hAnsi="Arial"/>
                <w:sz w:val="14"/>
                <w:szCs w:val="14"/>
                <w:color w:val="auto"/>
              </w:rPr>
              <w:t>—</w:t>
            </w:r>
          </w:p>
        </w:tc>
      </w:tr>
      <w:tr>
        <w:trPr>
          <w:trHeight w:val="216"/>
        </w:trPr>
        <w:tc>
          <w:tcPr>
            <w:tcW w:w="3880" w:type="dxa"/>
            <w:vAlign w:val="bottom"/>
            <w:gridSpan w:val="3"/>
          </w:tcPr>
          <w:p>
            <w:pPr>
              <w:spacing w:after="0" w:line="216" w:lineRule="exact"/>
              <w:rPr>
                <w:sz w:val="20"/>
                <w:szCs w:val="20"/>
                <w:color w:val="auto"/>
              </w:rPr>
            </w:pPr>
            <w:r>
              <w:rPr>
                <w:rFonts w:ascii="Arial" w:cs="Arial" w:eastAsia="Arial" w:hAnsi="Arial"/>
                <w:sz w:val="14"/>
                <w:szCs w:val="14"/>
                <w:color w:val="auto"/>
              </w:rPr>
              <w:t>Market Value of Accelerated Stock Option Awards</w:t>
            </w:r>
            <w:r>
              <w:rPr>
                <w:rFonts w:ascii="Arial" w:cs="Arial" w:eastAsia="Arial" w:hAnsi="Arial"/>
                <w:sz w:val="21"/>
                <w:szCs w:val="21"/>
                <w:color w:val="auto"/>
                <w:vertAlign w:val="superscript"/>
              </w:rPr>
              <w:t>(3)</w:t>
            </w:r>
          </w:p>
        </w:tc>
        <w:tc>
          <w:tcPr>
            <w:tcW w:w="820" w:type="dxa"/>
            <w:vAlign w:val="bottom"/>
          </w:tcPr>
          <w:p>
            <w:pPr>
              <w:spacing w:after="0"/>
              <w:rPr>
                <w:sz w:val="18"/>
                <w:szCs w:val="18"/>
                <w:color w:val="auto"/>
              </w:rPr>
            </w:pPr>
          </w:p>
        </w:tc>
        <w:tc>
          <w:tcPr>
            <w:tcW w:w="580" w:type="dxa"/>
            <w:vAlign w:val="bottom"/>
          </w:tcPr>
          <w:p>
            <w:pPr>
              <w:jc w:val="center"/>
              <w:ind w:right="288"/>
              <w:spacing w:after="0"/>
              <w:rPr>
                <w:sz w:val="20"/>
                <w:szCs w:val="20"/>
                <w:color w:val="auto"/>
              </w:rPr>
            </w:pPr>
            <w:r>
              <w:rPr>
                <w:rFonts w:ascii="Arial" w:cs="Arial" w:eastAsia="Arial" w:hAnsi="Arial"/>
                <w:sz w:val="14"/>
                <w:szCs w:val="14"/>
                <w:color w:val="auto"/>
                <w:w w:val="99"/>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07"/>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right="5"/>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18"/>
                <w:szCs w:val="18"/>
                <w:color w:val="auto"/>
              </w:rPr>
            </w:pPr>
          </w:p>
        </w:tc>
        <w:tc>
          <w:tcPr>
            <w:tcW w:w="740" w:type="dxa"/>
            <w:vAlign w:val="bottom"/>
          </w:tcPr>
          <w:p>
            <w:pPr>
              <w:jc w:val="right"/>
              <w:ind w:right="46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w:t>
            </w:r>
          </w:p>
        </w:tc>
      </w:tr>
      <w:tr>
        <w:trPr>
          <w:trHeight w:val="216"/>
        </w:trPr>
        <w:tc>
          <w:tcPr>
            <w:tcW w:w="3880" w:type="dxa"/>
            <w:vAlign w:val="bottom"/>
            <w:gridSpan w:val="3"/>
            <w:shd w:val="clear" w:color="auto" w:fill="F2F2F2"/>
          </w:tcPr>
          <w:p>
            <w:pPr>
              <w:spacing w:after="0" w:line="216" w:lineRule="exact"/>
              <w:rPr>
                <w:sz w:val="20"/>
                <w:szCs w:val="20"/>
                <w:color w:val="auto"/>
              </w:rPr>
            </w:pPr>
            <w:r>
              <w:rPr>
                <w:rFonts w:ascii="Arial" w:cs="Arial" w:eastAsia="Arial" w:hAnsi="Arial"/>
                <w:sz w:val="14"/>
                <w:szCs w:val="14"/>
                <w:color w:val="auto"/>
              </w:rPr>
              <w:t>Market Value of Accelerated RSU Awards</w:t>
            </w:r>
            <w:r>
              <w:rPr>
                <w:rFonts w:ascii="Arial" w:cs="Arial" w:eastAsia="Arial" w:hAnsi="Arial"/>
                <w:sz w:val="21"/>
                <w:szCs w:val="21"/>
                <w:color w:val="auto"/>
                <w:vertAlign w:val="superscript"/>
              </w:rPr>
              <w:t>(4)</w:t>
            </w:r>
          </w:p>
        </w:tc>
        <w:tc>
          <w:tcPr>
            <w:tcW w:w="820" w:type="dxa"/>
            <w:vAlign w:val="bottom"/>
            <w:shd w:val="clear" w:color="auto" w:fill="F2F2F2"/>
          </w:tcPr>
          <w:p>
            <w:pPr>
              <w:spacing w:after="0"/>
              <w:rPr>
                <w:sz w:val="18"/>
                <w:szCs w:val="18"/>
                <w:color w:val="auto"/>
              </w:rPr>
            </w:pPr>
          </w:p>
        </w:tc>
        <w:tc>
          <w:tcPr>
            <w:tcW w:w="580" w:type="dxa"/>
            <w:vAlign w:val="bottom"/>
            <w:shd w:val="clear" w:color="auto" w:fill="F2F2F2"/>
          </w:tcPr>
          <w:p>
            <w:pPr>
              <w:jc w:val="center"/>
              <w:ind w:right="288"/>
              <w:spacing w:after="0"/>
              <w:rPr>
                <w:sz w:val="20"/>
                <w:szCs w:val="20"/>
                <w:color w:val="auto"/>
              </w:rPr>
            </w:pPr>
            <w:r>
              <w:rPr>
                <w:rFonts w:ascii="Arial" w:cs="Arial" w:eastAsia="Arial" w:hAnsi="Arial"/>
                <w:sz w:val="14"/>
                <w:szCs w:val="14"/>
                <w:color w:val="auto"/>
                <w:w w:val="99"/>
              </w:rPr>
              <w:t>—</w:t>
            </w:r>
          </w:p>
        </w:tc>
        <w:tc>
          <w:tcPr>
            <w:tcW w:w="9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2F2F2"/>
          </w:tcPr>
          <w:p>
            <w:pPr>
              <w:jc w:val="right"/>
              <w:ind w:right="107"/>
              <w:spacing w:after="0"/>
              <w:rPr>
                <w:sz w:val="20"/>
                <w:szCs w:val="20"/>
                <w:color w:val="auto"/>
              </w:rPr>
            </w:pPr>
            <w:r>
              <w:rPr>
                <w:rFonts w:ascii="Arial" w:cs="Arial" w:eastAsia="Arial" w:hAnsi="Arial"/>
                <w:sz w:val="14"/>
                <w:szCs w:val="14"/>
                <w:color w:val="auto"/>
              </w:rPr>
              <w:t>6,325,832</w:t>
            </w:r>
          </w:p>
        </w:tc>
        <w:tc>
          <w:tcPr>
            <w:tcW w:w="860" w:type="dxa"/>
            <w:vAlign w:val="bottom"/>
            <w:shd w:val="clear" w:color="auto" w:fill="F2F2F2"/>
          </w:tcPr>
          <w:p>
            <w:pPr>
              <w:jc w:val="center"/>
              <w:ind w:right="5"/>
              <w:spacing w:after="0"/>
              <w:rPr>
                <w:sz w:val="20"/>
                <w:szCs w:val="20"/>
                <w:color w:val="auto"/>
              </w:rPr>
            </w:pPr>
            <w:r>
              <w:rPr>
                <w:rFonts w:ascii="Arial" w:cs="Arial" w:eastAsia="Arial" w:hAnsi="Arial"/>
                <w:sz w:val="14"/>
                <w:szCs w:val="14"/>
                <w:color w:val="auto"/>
                <w:w w:val="99"/>
              </w:rPr>
              <w:t>—</w:t>
            </w:r>
          </w:p>
        </w:tc>
        <w:tc>
          <w:tcPr>
            <w:tcW w:w="1080" w:type="dxa"/>
            <w:vAlign w:val="bottom"/>
            <w:gridSpan w:val="2"/>
            <w:shd w:val="clear" w:color="auto" w:fill="F2F2F2"/>
          </w:tcPr>
          <w:p>
            <w:pPr>
              <w:jc w:val="right"/>
              <w:ind w:right="162"/>
              <w:spacing w:after="0"/>
              <w:rPr>
                <w:sz w:val="20"/>
                <w:szCs w:val="20"/>
                <w:color w:val="auto"/>
              </w:rPr>
            </w:pPr>
            <w:r>
              <w:rPr>
                <w:rFonts w:ascii="Arial" w:cs="Arial" w:eastAsia="Arial" w:hAnsi="Arial"/>
                <w:sz w:val="14"/>
                <w:szCs w:val="14"/>
                <w:color w:val="auto"/>
              </w:rPr>
              <w:t>6,325,832</w:t>
            </w:r>
          </w:p>
        </w:tc>
        <w:tc>
          <w:tcPr>
            <w:tcW w:w="8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6,325,832 </w:t>
            </w:r>
          </w:p>
        </w:tc>
      </w:tr>
      <w:tr>
        <w:trPr>
          <w:trHeight w:val="216"/>
        </w:trPr>
        <w:tc>
          <w:tcPr>
            <w:tcW w:w="3880" w:type="dxa"/>
            <w:vAlign w:val="bottom"/>
            <w:gridSpan w:val="3"/>
          </w:tcPr>
          <w:p>
            <w:pPr>
              <w:spacing w:after="0" w:line="216" w:lineRule="exact"/>
              <w:rPr>
                <w:sz w:val="20"/>
                <w:szCs w:val="20"/>
                <w:color w:val="auto"/>
              </w:rPr>
            </w:pPr>
            <w:r>
              <w:rPr>
                <w:rFonts w:ascii="Arial" w:cs="Arial" w:eastAsia="Arial" w:hAnsi="Arial"/>
                <w:sz w:val="14"/>
                <w:szCs w:val="14"/>
                <w:color w:val="auto"/>
              </w:rPr>
              <w:t>Market Value of Accelerated PSU Awards</w:t>
            </w:r>
            <w:r>
              <w:rPr>
                <w:rFonts w:ascii="Arial" w:cs="Arial" w:eastAsia="Arial" w:hAnsi="Arial"/>
                <w:sz w:val="21"/>
                <w:szCs w:val="21"/>
                <w:color w:val="auto"/>
                <w:vertAlign w:val="superscript"/>
              </w:rPr>
              <w:t>(5)</w:t>
            </w:r>
          </w:p>
        </w:tc>
        <w:tc>
          <w:tcPr>
            <w:tcW w:w="820" w:type="dxa"/>
            <w:vAlign w:val="bottom"/>
          </w:tcPr>
          <w:p>
            <w:pPr>
              <w:spacing w:after="0"/>
              <w:rPr>
                <w:sz w:val="18"/>
                <w:szCs w:val="18"/>
                <w:color w:val="auto"/>
              </w:rPr>
            </w:pPr>
          </w:p>
        </w:tc>
        <w:tc>
          <w:tcPr>
            <w:tcW w:w="580" w:type="dxa"/>
            <w:vAlign w:val="bottom"/>
          </w:tcPr>
          <w:p>
            <w:pPr>
              <w:jc w:val="center"/>
              <w:ind w:right="288"/>
              <w:spacing w:after="0"/>
              <w:rPr>
                <w:sz w:val="20"/>
                <w:szCs w:val="20"/>
                <w:color w:val="auto"/>
              </w:rPr>
            </w:pPr>
            <w:r>
              <w:rPr>
                <w:rFonts w:ascii="Arial" w:cs="Arial" w:eastAsia="Arial" w:hAnsi="Arial"/>
                <w:sz w:val="14"/>
                <w:szCs w:val="14"/>
                <w:color w:val="auto"/>
                <w:w w:val="99"/>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7,708,627</w:t>
            </w:r>
          </w:p>
        </w:tc>
        <w:tc>
          <w:tcPr>
            <w:tcW w:w="860" w:type="dxa"/>
            <w:vAlign w:val="bottom"/>
          </w:tcPr>
          <w:p>
            <w:pPr>
              <w:jc w:val="center"/>
              <w:ind w:right="5"/>
              <w:spacing w:after="0"/>
              <w:rPr>
                <w:sz w:val="20"/>
                <w:szCs w:val="20"/>
                <w:color w:val="auto"/>
              </w:rPr>
            </w:pPr>
            <w:r>
              <w:rPr>
                <w:rFonts w:ascii="Arial" w:cs="Arial" w:eastAsia="Arial" w:hAnsi="Arial"/>
                <w:sz w:val="14"/>
                <w:szCs w:val="14"/>
                <w:color w:val="auto"/>
                <w:w w:val="99"/>
              </w:rPr>
              <w:t>—</w:t>
            </w:r>
          </w:p>
        </w:tc>
        <w:tc>
          <w:tcPr>
            <w:tcW w:w="1080" w:type="dxa"/>
            <w:vAlign w:val="bottom"/>
            <w:gridSpan w:val="2"/>
          </w:tcPr>
          <w:p>
            <w:pPr>
              <w:jc w:val="right"/>
              <w:ind w:right="162"/>
              <w:spacing w:after="0"/>
              <w:rPr>
                <w:sz w:val="20"/>
                <w:szCs w:val="20"/>
                <w:color w:val="auto"/>
              </w:rPr>
            </w:pPr>
            <w:r>
              <w:rPr>
                <w:rFonts w:ascii="Arial" w:cs="Arial" w:eastAsia="Arial" w:hAnsi="Arial"/>
                <w:sz w:val="14"/>
                <w:szCs w:val="14"/>
                <w:color w:val="auto"/>
              </w:rPr>
              <w:t>7,708,627</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7,708,627 </w:t>
            </w:r>
          </w:p>
        </w:tc>
      </w:tr>
      <w:tr>
        <w:trPr>
          <w:trHeight w:val="216"/>
        </w:trPr>
        <w:tc>
          <w:tcPr>
            <w:tcW w:w="3880" w:type="dxa"/>
            <w:vAlign w:val="bottom"/>
            <w:gridSpan w:val="3"/>
            <w:shd w:val="clear" w:color="auto" w:fill="F2F2F2"/>
          </w:tcPr>
          <w:p>
            <w:pPr>
              <w:spacing w:after="0" w:line="216" w:lineRule="exact"/>
              <w:rPr>
                <w:sz w:val="20"/>
                <w:szCs w:val="20"/>
                <w:color w:val="auto"/>
              </w:rPr>
            </w:pPr>
            <w:r>
              <w:rPr>
                <w:rFonts w:ascii="Arial" w:cs="Arial" w:eastAsia="Arial" w:hAnsi="Arial"/>
                <w:sz w:val="14"/>
                <w:szCs w:val="14"/>
                <w:color w:val="auto"/>
              </w:rPr>
              <w:t>Market Value of Accelerated MSU Awards</w:t>
            </w:r>
            <w:r>
              <w:rPr>
                <w:rFonts w:ascii="Arial" w:cs="Arial" w:eastAsia="Arial" w:hAnsi="Arial"/>
                <w:sz w:val="21"/>
                <w:szCs w:val="21"/>
                <w:color w:val="auto"/>
                <w:vertAlign w:val="superscript"/>
              </w:rPr>
              <w:t>(6)</w:t>
            </w:r>
          </w:p>
        </w:tc>
        <w:tc>
          <w:tcPr>
            <w:tcW w:w="820" w:type="dxa"/>
            <w:vAlign w:val="bottom"/>
            <w:shd w:val="clear" w:color="auto" w:fill="F2F2F2"/>
          </w:tcPr>
          <w:p>
            <w:pPr>
              <w:spacing w:after="0"/>
              <w:rPr>
                <w:sz w:val="18"/>
                <w:szCs w:val="18"/>
                <w:color w:val="auto"/>
              </w:rPr>
            </w:pPr>
          </w:p>
        </w:tc>
        <w:tc>
          <w:tcPr>
            <w:tcW w:w="580" w:type="dxa"/>
            <w:vAlign w:val="bottom"/>
            <w:shd w:val="clear" w:color="auto" w:fill="F2F2F2"/>
          </w:tcPr>
          <w:p>
            <w:pPr>
              <w:jc w:val="center"/>
              <w:ind w:right="288"/>
              <w:spacing w:after="0"/>
              <w:rPr>
                <w:sz w:val="20"/>
                <w:szCs w:val="20"/>
                <w:color w:val="auto"/>
              </w:rPr>
            </w:pPr>
            <w:r>
              <w:rPr>
                <w:rFonts w:ascii="Arial" w:cs="Arial" w:eastAsia="Arial" w:hAnsi="Arial"/>
                <w:sz w:val="14"/>
                <w:szCs w:val="14"/>
                <w:color w:val="auto"/>
                <w:w w:val="99"/>
              </w:rPr>
              <w:t>—</w:t>
            </w:r>
          </w:p>
        </w:tc>
        <w:tc>
          <w:tcPr>
            <w:tcW w:w="9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2F2F2"/>
          </w:tcPr>
          <w:p>
            <w:pPr>
              <w:jc w:val="right"/>
              <w:ind w:right="107"/>
              <w:spacing w:after="0"/>
              <w:rPr>
                <w:sz w:val="20"/>
                <w:szCs w:val="20"/>
                <w:color w:val="auto"/>
              </w:rPr>
            </w:pPr>
            <w:r>
              <w:rPr>
                <w:rFonts w:ascii="Arial" w:cs="Arial" w:eastAsia="Arial" w:hAnsi="Arial"/>
                <w:sz w:val="14"/>
                <w:szCs w:val="14"/>
                <w:color w:val="auto"/>
              </w:rPr>
              <w:t>4,160,353</w:t>
            </w:r>
          </w:p>
        </w:tc>
        <w:tc>
          <w:tcPr>
            <w:tcW w:w="860" w:type="dxa"/>
            <w:vAlign w:val="bottom"/>
            <w:shd w:val="clear" w:color="auto" w:fill="F2F2F2"/>
          </w:tcPr>
          <w:p>
            <w:pPr>
              <w:jc w:val="center"/>
              <w:ind w:right="5"/>
              <w:spacing w:after="0"/>
              <w:rPr>
                <w:sz w:val="20"/>
                <w:szCs w:val="20"/>
                <w:color w:val="auto"/>
              </w:rPr>
            </w:pPr>
            <w:r>
              <w:rPr>
                <w:rFonts w:ascii="Arial" w:cs="Arial" w:eastAsia="Arial" w:hAnsi="Arial"/>
                <w:sz w:val="14"/>
                <w:szCs w:val="14"/>
                <w:color w:val="auto"/>
                <w:w w:val="99"/>
              </w:rPr>
              <w:t>—</w:t>
            </w:r>
          </w:p>
        </w:tc>
        <w:tc>
          <w:tcPr>
            <w:tcW w:w="1080" w:type="dxa"/>
            <w:vAlign w:val="bottom"/>
            <w:gridSpan w:val="2"/>
            <w:shd w:val="clear" w:color="auto" w:fill="F2F2F2"/>
          </w:tcPr>
          <w:p>
            <w:pPr>
              <w:jc w:val="right"/>
              <w:ind w:right="162"/>
              <w:spacing w:after="0"/>
              <w:rPr>
                <w:sz w:val="20"/>
                <w:szCs w:val="20"/>
                <w:color w:val="auto"/>
              </w:rPr>
            </w:pPr>
            <w:r>
              <w:rPr>
                <w:rFonts w:ascii="Arial" w:cs="Arial" w:eastAsia="Arial" w:hAnsi="Arial"/>
                <w:sz w:val="14"/>
                <w:szCs w:val="14"/>
                <w:color w:val="auto"/>
              </w:rPr>
              <w:t>4,160,353</w:t>
            </w:r>
          </w:p>
        </w:tc>
        <w:tc>
          <w:tcPr>
            <w:tcW w:w="8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4,160,353 </w:t>
            </w:r>
          </w:p>
        </w:tc>
      </w:tr>
      <w:tr>
        <w:trPr>
          <w:trHeight w:val="212"/>
        </w:trPr>
        <w:tc>
          <w:tcPr>
            <w:tcW w:w="1420" w:type="dxa"/>
            <w:vAlign w:val="bottom"/>
            <w:tcBorders>
              <w:bottom w:val="single" w:sz="8" w:color="376DB5"/>
            </w:tcBorders>
          </w:tcPr>
          <w:p>
            <w:pPr>
              <w:spacing w:after="0"/>
              <w:rPr>
                <w:sz w:val="20"/>
                <w:szCs w:val="20"/>
                <w:color w:val="auto"/>
              </w:rPr>
            </w:pPr>
            <w:r>
              <w:rPr>
                <w:rFonts w:ascii="Arial" w:cs="Arial" w:eastAsia="Arial" w:hAnsi="Arial"/>
                <w:sz w:val="14"/>
                <w:szCs w:val="14"/>
                <w:color w:val="auto"/>
              </w:rPr>
              <w:t>Total</w:t>
            </w:r>
          </w:p>
        </w:tc>
        <w:tc>
          <w:tcPr>
            <w:tcW w:w="1000" w:type="dxa"/>
            <w:vAlign w:val="bottom"/>
            <w:tcBorders>
              <w:bottom w:val="single" w:sz="8" w:color="376DB5"/>
            </w:tcBorders>
          </w:tcPr>
          <w:p>
            <w:pPr>
              <w:spacing w:after="0"/>
              <w:rPr>
                <w:sz w:val="18"/>
                <w:szCs w:val="18"/>
                <w:color w:val="auto"/>
              </w:rPr>
            </w:pPr>
          </w:p>
        </w:tc>
        <w:tc>
          <w:tcPr>
            <w:tcW w:w="1460" w:type="dxa"/>
            <w:vAlign w:val="bottom"/>
            <w:tcBorders>
              <w:bottom w:val="single" w:sz="8" w:color="376DB5"/>
            </w:tcBorders>
          </w:tcPr>
          <w:p>
            <w:pPr>
              <w:spacing w:after="0"/>
              <w:rPr>
                <w:sz w:val="18"/>
                <w:szCs w:val="18"/>
                <w:color w:val="auto"/>
              </w:rPr>
            </w:pPr>
          </w:p>
        </w:tc>
        <w:tc>
          <w:tcPr>
            <w:tcW w:w="820" w:type="dxa"/>
            <w:vAlign w:val="bottom"/>
            <w:tcBorders>
              <w:bottom w:val="single" w:sz="8" w:color="376DB5"/>
            </w:tcBorders>
          </w:tcPr>
          <w:p>
            <w:pPr>
              <w:spacing w:after="0"/>
              <w:rPr>
                <w:sz w:val="18"/>
                <w:szCs w:val="18"/>
                <w:color w:val="auto"/>
              </w:rPr>
            </w:pPr>
          </w:p>
        </w:tc>
        <w:tc>
          <w:tcPr>
            <w:tcW w:w="580" w:type="dxa"/>
            <w:vAlign w:val="bottom"/>
            <w:tcBorders>
              <w:bottom w:val="single" w:sz="8" w:color="376DB5"/>
            </w:tcBorders>
          </w:tcPr>
          <w:p>
            <w:pPr>
              <w:jc w:val="center"/>
              <w:ind w:right="288"/>
              <w:spacing w:after="0"/>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376DB5"/>
            </w:tcBorders>
          </w:tcPr>
          <w:p>
            <w:pPr>
              <w:jc w:val="right"/>
              <w:spacing w:after="0"/>
              <w:rPr>
                <w:sz w:val="20"/>
                <w:szCs w:val="20"/>
                <w:color w:val="auto"/>
              </w:rPr>
            </w:pPr>
            <w:r>
              <w:rPr>
                <w:rFonts w:ascii="Arial" w:cs="Arial" w:eastAsia="Arial" w:hAnsi="Arial"/>
                <w:sz w:val="14"/>
                <w:szCs w:val="14"/>
                <w:color w:val="auto"/>
              </w:rPr>
              <w:t>700,764</w:t>
            </w:r>
          </w:p>
        </w:tc>
        <w:tc>
          <w:tcPr>
            <w:tcW w:w="1120" w:type="dxa"/>
            <w:vAlign w:val="bottom"/>
            <w:tcBorders>
              <w:bottom w:val="single" w:sz="8" w:color="376DB5"/>
            </w:tcBorders>
          </w:tcPr>
          <w:p>
            <w:pPr>
              <w:jc w:val="right"/>
              <w:ind w:right="107"/>
              <w:spacing w:after="0"/>
              <w:rPr>
                <w:sz w:val="20"/>
                <w:szCs w:val="20"/>
                <w:color w:val="auto"/>
              </w:rPr>
            </w:pPr>
            <w:r>
              <w:rPr>
                <w:rFonts w:ascii="Arial" w:cs="Arial" w:eastAsia="Arial" w:hAnsi="Arial"/>
                <w:sz w:val="14"/>
                <w:szCs w:val="14"/>
                <w:color w:val="auto"/>
              </w:rPr>
              <w:t>18,895,576</w:t>
            </w:r>
          </w:p>
        </w:tc>
        <w:tc>
          <w:tcPr>
            <w:tcW w:w="860" w:type="dxa"/>
            <w:vAlign w:val="bottom"/>
            <w:tcBorders>
              <w:bottom w:val="single" w:sz="8" w:color="376DB5"/>
            </w:tcBorders>
          </w:tcPr>
          <w:p>
            <w:pPr>
              <w:jc w:val="center"/>
              <w:ind w:right="5"/>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376DB5"/>
            </w:tcBorders>
            <w:gridSpan w:val="2"/>
          </w:tcPr>
          <w:p>
            <w:pPr>
              <w:jc w:val="right"/>
              <w:ind w:right="162"/>
              <w:spacing w:after="0"/>
              <w:rPr>
                <w:sz w:val="20"/>
                <w:szCs w:val="20"/>
                <w:color w:val="auto"/>
              </w:rPr>
            </w:pPr>
            <w:r>
              <w:rPr>
                <w:rFonts w:ascii="Arial" w:cs="Arial" w:eastAsia="Arial" w:hAnsi="Arial"/>
                <w:sz w:val="14"/>
                <w:szCs w:val="14"/>
                <w:color w:val="auto"/>
              </w:rPr>
              <w:t>18,194,812</w:t>
            </w:r>
          </w:p>
        </w:tc>
        <w:tc>
          <w:tcPr>
            <w:tcW w:w="860" w:type="dxa"/>
            <w:vAlign w:val="bottom"/>
            <w:tcBorders>
              <w:bottom w:val="single" w:sz="8" w:color="376DB5"/>
            </w:tcBorders>
          </w:tcPr>
          <w:p>
            <w:pPr>
              <w:jc w:val="right"/>
              <w:ind w:right="8"/>
              <w:spacing w:after="0"/>
              <w:rPr>
                <w:sz w:val="20"/>
                <w:szCs w:val="20"/>
                <w:color w:val="auto"/>
              </w:rPr>
            </w:pPr>
            <w:r>
              <w:rPr>
                <w:rFonts w:ascii="Arial" w:cs="Arial" w:eastAsia="Arial" w:hAnsi="Arial"/>
                <w:sz w:val="14"/>
                <w:szCs w:val="14"/>
                <w:color w:val="auto"/>
                <w:w w:val="98"/>
              </w:rPr>
              <w:t>18,194,812 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1226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50" w:lineRule="exact"/>
        <w:rPr>
          <w:sz w:val="20"/>
          <w:szCs w:val="20"/>
          <w:color w:val="auto"/>
        </w:rPr>
      </w:pPr>
    </w:p>
    <w:p>
      <w:pPr>
        <w:jc w:val="both"/>
        <w:ind w:left="540" w:hanging="424"/>
        <w:spacing w:after="0" w:line="221" w:lineRule="auto"/>
        <w:tabs>
          <w:tab w:leader="none" w:pos="540" w:val="left"/>
        </w:tabs>
        <w:numPr>
          <w:ilvl w:val="0"/>
          <w:numId w:val="65"/>
        </w:numPr>
        <w:rPr>
          <w:rFonts w:ascii="Arial" w:cs="Arial" w:eastAsia="Arial" w:hAnsi="Arial"/>
          <w:sz w:val="27"/>
          <w:szCs w:val="27"/>
          <w:color w:val="auto"/>
          <w:vertAlign w:val="superscript"/>
        </w:rPr>
      </w:pPr>
      <w:r>
        <w:rPr>
          <w:rFonts w:ascii="Arial" w:cs="Arial" w:eastAsia="Arial" w:hAnsi="Arial"/>
          <w:sz w:val="18"/>
          <w:szCs w:val="18"/>
          <w:color w:val="auto"/>
        </w:rPr>
        <w:t>Pursuant to Mr. Scadina’s Letter Agreement, he is entitled to a lump sum payment equal to one times the sum of his current base salary plus the annual incentive award last paid to him if his employment is terminated by the Company without cause or by Mr. Scadina for good reason. Mr. Scadina’s Management Agreement provides for the same payments in the event his employment is terminated by the Company without cause or by Mr. Scadina for good reason within 60 days before or two years following a change in control.</w:t>
      </w:r>
    </w:p>
    <w:p>
      <w:pPr>
        <w:spacing w:after="0" w:line="4" w:lineRule="exact"/>
        <w:rPr>
          <w:rFonts w:ascii="Arial" w:cs="Arial" w:eastAsia="Arial" w:hAnsi="Arial"/>
          <w:sz w:val="27"/>
          <w:szCs w:val="27"/>
          <w:color w:val="auto"/>
          <w:vertAlign w:val="superscript"/>
        </w:rPr>
      </w:pPr>
    </w:p>
    <w:p>
      <w:pPr>
        <w:jc w:val="both"/>
        <w:ind w:left="540" w:hanging="424"/>
        <w:spacing w:after="0" w:line="221" w:lineRule="auto"/>
        <w:tabs>
          <w:tab w:leader="none" w:pos="540" w:val="left"/>
        </w:tabs>
        <w:numPr>
          <w:ilvl w:val="0"/>
          <w:numId w:val="65"/>
        </w:numPr>
        <w:rPr>
          <w:rFonts w:ascii="Arial" w:cs="Arial" w:eastAsia="Arial" w:hAnsi="Arial"/>
          <w:sz w:val="27"/>
          <w:szCs w:val="27"/>
          <w:color w:val="auto"/>
          <w:vertAlign w:val="superscript"/>
        </w:rPr>
      </w:pPr>
      <w:r>
        <w:rPr>
          <w:rFonts w:ascii="Arial" w:cs="Arial" w:eastAsia="Arial" w:hAnsi="Arial"/>
          <w:sz w:val="18"/>
          <w:szCs w:val="18"/>
          <w:color w:val="auto"/>
        </w:rPr>
        <w:t>Pursuant to Mr. Scadina’s Letter Agreement, the Company is obligated to provide benefits to Mr. Scadina at existing levels for 12 months post-termination if his employment is terminated by the Company without cause or by Mr. Scadina for good reason. Mr. Scadina’s Management Agreement provides for the same benefits in the event his employment is terminated by the Company without cause or by Mr. Scadina for good reason within 60 days before or two years following a change in control. The amounts shown represent the total cost of COBRA premiums for continuing such benefits over the applicable time period.</w:t>
      </w:r>
    </w:p>
    <w:p>
      <w:pPr>
        <w:ind w:left="540" w:hanging="424"/>
        <w:spacing w:after="0" w:line="187" w:lineRule="auto"/>
        <w:tabs>
          <w:tab w:leader="none" w:pos="540" w:val="left"/>
        </w:tabs>
        <w:numPr>
          <w:ilvl w:val="0"/>
          <w:numId w:val="65"/>
        </w:numPr>
        <w:rPr>
          <w:rFonts w:ascii="Arial" w:cs="Arial" w:eastAsia="Arial" w:hAnsi="Arial"/>
          <w:sz w:val="27"/>
          <w:szCs w:val="27"/>
          <w:color w:val="auto"/>
          <w:vertAlign w:val="superscript"/>
        </w:rPr>
      </w:pPr>
      <w:r>
        <w:rPr>
          <w:rFonts w:ascii="Arial" w:cs="Arial" w:eastAsia="Arial" w:hAnsi="Arial"/>
          <w:sz w:val="18"/>
          <w:szCs w:val="18"/>
          <w:color w:val="auto"/>
        </w:rPr>
        <w:t>Mr. Scadina currently does not have any stock options that would accelerate.</w:t>
      </w:r>
    </w:p>
    <w:p>
      <w:pPr>
        <w:spacing w:after="0" w:line="23" w:lineRule="exact"/>
        <w:rPr>
          <w:rFonts w:ascii="Arial" w:cs="Arial" w:eastAsia="Arial" w:hAnsi="Arial"/>
          <w:sz w:val="27"/>
          <w:szCs w:val="27"/>
          <w:color w:val="auto"/>
          <w:vertAlign w:val="superscript"/>
        </w:rPr>
      </w:pPr>
    </w:p>
    <w:p>
      <w:pPr>
        <w:jc w:val="both"/>
        <w:ind w:left="540" w:hanging="424"/>
        <w:spacing w:after="0" w:line="213" w:lineRule="auto"/>
        <w:tabs>
          <w:tab w:leader="none" w:pos="540" w:val="left"/>
        </w:tabs>
        <w:numPr>
          <w:ilvl w:val="0"/>
          <w:numId w:val="65"/>
        </w:numPr>
        <w:rPr>
          <w:rFonts w:ascii="Arial" w:cs="Arial" w:eastAsia="Arial" w:hAnsi="Arial"/>
          <w:sz w:val="27"/>
          <w:szCs w:val="27"/>
          <w:color w:val="auto"/>
          <w:vertAlign w:val="superscript"/>
        </w:rPr>
      </w:pPr>
      <w:r>
        <w:rPr>
          <w:rFonts w:ascii="Arial" w:cs="Arial" w:eastAsia="Arial" w:hAnsi="Arial"/>
          <w:sz w:val="18"/>
          <w:szCs w:val="18"/>
          <w:color w:val="auto"/>
        </w:rPr>
        <w:t>The amounts shown represent the RSUs that would immediately vest upon the applicable triggering event, based on the Company’s closing stock price on September 30, 2025, of $1,496.53. Mr. Scadina’s Management Agreement provides for such acceleration upon a termination of employment in connection with a change in control, and the terms of the equity awards provide for such acceleration upon death or disability.</w:t>
      </w:r>
    </w:p>
    <w:p>
      <w:pPr>
        <w:spacing w:after="0" w:line="5" w:lineRule="exact"/>
        <w:rPr>
          <w:rFonts w:ascii="Arial" w:cs="Arial" w:eastAsia="Arial" w:hAnsi="Arial"/>
          <w:sz w:val="27"/>
          <w:szCs w:val="27"/>
          <w:color w:val="auto"/>
          <w:vertAlign w:val="superscript"/>
        </w:rPr>
      </w:pPr>
    </w:p>
    <w:p>
      <w:pPr>
        <w:jc w:val="both"/>
        <w:ind w:left="540" w:hanging="424"/>
        <w:spacing w:after="0" w:line="218" w:lineRule="auto"/>
        <w:tabs>
          <w:tab w:leader="none" w:pos="540" w:val="left"/>
        </w:tabs>
        <w:numPr>
          <w:ilvl w:val="0"/>
          <w:numId w:val="65"/>
        </w:numPr>
        <w:rPr>
          <w:rFonts w:ascii="Arial" w:cs="Arial" w:eastAsia="Arial" w:hAnsi="Arial"/>
          <w:sz w:val="27"/>
          <w:szCs w:val="27"/>
          <w:color w:val="auto"/>
          <w:vertAlign w:val="superscript"/>
        </w:rPr>
      </w:pPr>
      <w:r>
        <w:rPr>
          <w:rFonts w:ascii="Arial" w:cs="Arial" w:eastAsia="Arial" w:hAnsi="Arial"/>
          <w:sz w:val="18"/>
          <w:szCs w:val="18"/>
          <w:color w:val="auto"/>
        </w:rPr>
        <w:t>The amounts shown represent the earned PSUs that would immediately vest upon the applicable triggering event, based on the Company’s closing stock price on September 30, 2025, of $1,496.53. Mr. Scadina’s Management Agreement and the terms of the equity award provide for such acceleration upon a termination of employment in connection with a change in control, and the terms of the equity award provides for such acceleration upon death or disability.</w:t>
      </w:r>
    </w:p>
    <w:p>
      <w:pPr>
        <w:spacing w:after="0" w:line="4" w:lineRule="exact"/>
        <w:rPr>
          <w:rFonts w:ascii="Arial" w:cs="Arial" w:eastAsia="Arial" w:hAnsi="Arial"/>
          <w:sz w:val="27"/>
          <w:szCs w:val="27"/>
          <w:color w:val="auto"/>
          <w:vertAlign w:val="superscript"/>
        </w:rPr>
      </w:pPr>
    </w:p>
    <w:p>
      <w:pPr>
        <w:jc w:val="both"/>
        <w:ind w:left="540" w:hanging="424"/>
        <w:spacing w:after="0" w:line="221" w:lineRule="auto"/>
        <w:tabs>
          <w:tab w:leader="none" w:pos="540" w:val="left"/>
        </w:tabs>
        <w:numPr>
          <w:ilvl w:val="0"/>
          <w:numId w:val="65"/>
        </w:numPr>
        <w:rPr>
          <w:rFonts w:ascii="Arial" w:cs="Arial" w:eastAsia="Arial" w:hAnsi="Arial"/>
          <w:sz w:val="27"/>
          <w:szCs w:val="27"/>
          <w:color w:val="auto"/>
          <w:vertAlign w:val="superscript"/>
        </w:rPr>
      </w:pPr>
      <w:r>
        <w:rPr>
          <w:rFonts w:ascii="Arial" w:cs="Arial" w:eastAsia="Arial" w:hAnsi="Arial"/>
          <w:sz w:val="18"/>
          <w:szCs w:val="18"/>
          <w:color w:val="auto"/>
        </w:rPr>
        <w:t>The amounts shown represent the unearned MSUs that would immediately be earned and vest upon the applicable triggering event, based on the Company’s closing stock price on September 30, 2025, of $1,496.53 and a relative total shareholder return performance of 0% in the adjusted performance period. The terms of the equity award provide for such acceleration upon a termination of employment for reasons other than Cause in connection with a change in control, and the terms of the equity award provides for such acceleration upon death or disability.</w:t>
      </w:r>
    </w:p>
    <w:p>
      <w:pPr>
        <w:spacing w:after="0" w:line="113"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75</w:t>
      </w:r>
    </w:p>
    <w:p>
      <w:pPr>
        <w:sectPr>
          <w:pgSz w:w="11900" w:h="16838" w:orient="portrait"/>
          <w:cols w:equalWidth="0" w:num="1">
            <w:col w:w="11140"/>
          </w:cols>
          <w:pgMar w:left="320" w:top="482"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EQUITY COMPENSATION PLAN INFORMATION</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7200" w:type="dxa"/>
            <w:vAlign w:val="bottom"/>
            <w:tcBorders>
              <w:top w:val="single" w:sz="8" w:color="376DB5"/>
            </w:tcBorders>
          </w:tcPr>
          <w:p>
            <w:pPr>
              <w:spacing w:after="0"/>
              <w:rPr>
                <w:sz w:val="17"/>
                <w:szCs w:val="17"/>
                <w:color w:val="auto"/>
              </w:rPr>
            </w:pPr>
          </w:p>
        </w:tc>
        <w:tc>
          <w:tcPr>
            <w:tcW w:w="1120" w:type="dxa"/>
            <w:vAlign w:val="bottom"/>
            <w:tcBorders>
              <w:top w:val="single" w:sz="8" w:color="376DB5"/>
            </w:tcBorders>
          </w:tcPr>
          <w:p>
            <w:pPr>
              <w:spacing w:after="0"/>
              <w:rPr>
                <w:sz w:val="17"/>
                <w:szCs w:val="17"/>
                <w:color w:val="auto"/>
              </w:rPr>
            </w:pPr>
          </w:p>
        </w:tc>
        <w:tc>
          <w:tcPr>
            <w:tcW w:w="1520" w:type="dxa"/>
            <w:vAlign w:val="bottom"/>
            <w:tcBorders>
              <w:top w:val="single" w:sz="8" w:color="376DB5"/>
            </w:tcBorders>
          </w:tcPr>
          <w:p>
            <w:pPr>
              <w:spacing w:after="0"/>
              <w:rPr>
                <w:sz w:val="17"/>
                <w:szCs w:val="17"/>
                <w:color w:val="auto"/>
              </w:rPr>
            </w:pPr>
          </w:p>
        </w:tc>
        <w:tc>
          <w:tcPr>
            <w:tcW w:w="1180" w:type="dxa"/>
            <w:vAlign w:val="bottom"/>
            <w:tcBorders>
              <w:top w:val="single" w:sz="8" w:color="376DB5"/>
            </w:tcBorders>
          </w:tcPr>
          <w:p>
            <w:pPr>
              <w:jc w:val="center"/>
              <w:spacing w:after="0"/>
              <w:rPr>
                <w:sz w:val="20"/>
                <w:szCs w:val="20"/>
                <w:color w:val="auto"/>
              </w:rPr>
            </w:pPr>
            <w:r>
              <w:rPr>
                <w:rFonts w:ascii="Arial" w:cs="Arial" w:eastAsia="Arial" w:hAnsi="Arial"/>
                <w:sz w:val="16"/>
                <w:szCs w:val="16"/>
                <w:color w:val="376DB5"/>
              </w:rPr>
              <w:t>Number of</w:t>
            </w:r>
          </w:p>
        </w:tc>
        <w:tc>
          <w:tcPr>
            <w:tcW w:w="0" w:type="dxa"/>
            <w:vAlign w:val="bottom"/>
          </w:tcPr>
          <w:p>
            <w:pPr>
              <w:spacing w:after="0"/>
              <w:rPr>
                <w:sz w:val="1"/>
                <w:szCs w:val="1"/>
                <w:color w:val="auto"/>
              </w:rPr>
            </w:pPr>
          </w:p>
        </w:tc>
      </w:tr>
      <w:tr>
        <w:trPr>
          <w:trHeight w:val="189"/>
        </w:trPr>
        <w:tc>
          <w:tcPr>
            <w:tcW w:w="72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376DB5"/>
              </w:rPr>
              <w:t>Number of</w:t>
            </w:r>
          </w:p>
        </w:tc>
        <w:tc>
          <w:tcPr>
            <w:tcW w:w="15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376DB5"/>
              </w:rPr>
              <w:t>Securities</w:t>
            </w:r>
          </w:p>
        </w:tc>
        <w:tc>
          <w:tcPr>
            <w:tcW w:w="0" w:type="dxa"/>
            <w:vAlign w:val="bottom"/>
          </w:tcPr>
          <w:p>
            <w:pPr>
              <w:spacing w:after="0"/>
              <w:rPr>
                <w:sz w:val="1"/>
                <w:szCs w:val="1"/>
                <w:color w:val="auto"/>
              </w:rPr>
            </w:pPr>
          </w:p>
        </w:tc>
      </w:tr>
      <w:tr>
        <w:trPr>
          <w:trHeight w:val="189"/>
        </w:trPr>
        <w:tc>
          <w:tcPr>
            <w:tcW w:w="7200" w:type="dxa"/>
            <w:vAlign w:val="bottom"/>
          </w:tcPr>
          <w:p>
            <w:pPr>
              <w:spacing w:after="0"/>
              <w:rPr>
                <w:sz w:val="16"/>
                <w:szCs w:val="16"/>
                <w:color w:val="auto"/>
              </w:rPr>
            </w:pPr>
          </w:p>
        </w:tc>
        <w:tc>
          <w:tcPr>
            <w:tcW w:w="1120" w:type="dxa"/>
            <w:vAlign w:val="bottom"/>
          </w:tcPr>
          <w:p>
            <w:pPr>
              <w:jc w:val="center"/>
              <w:ind w:left="17"/>
              <w:spacing w:after="0"/>
              <w:rPr>
                <w:sz w:val="20"/>
                <w:szCs w:val="20"/>
                <w:color w:val="auto"/>
              </w:rPr>
            </w:pPr>
            <w:r>
              <w:rPr>
                <w:rFonts w:ascii="Arial" w:cs="Arial" w:eastAsia="Arial" w:hAnsi="Arial"/>
                <w:sz w:val="16"/>
                <w:szCs w:val="16"/>
                <w:color w:val="376DB5"/>
                <w:w w:val="99"/>
              </w:rPr>
              <w:t>Securities</w:t>
            </w:r>
          </w:p>
        </w:tc>
        <w:tc>
          <w:tcPr>
            <w:tcW w:w="15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376DB5"/>
              </w:rPr>
              <w:t>Remaining</w:t>
            </w:r>
          </w:p>
        </w:tc>
        <w:tc>
          <w:tcPr>
            <w:tcW w:w="0" w:type="dxa"/>
            <w:vAlign w:val="bottom"/>
          </w:tcPr>
          <w:p>
            <w:pPr>
              <w:spacing w:after="0"/>
              <w:rPr>
                <w:sz w:val="1"/>
                <w:szCs w:val="1"/>
                <w:color w:val="auto"/>
              </w:rPr>
            </w:pPr>
          </w:p>
        </w:tc>
      </w:tr>
      <w:tr>
        <w:trPr>
          <w:trHeight w:val="189"/>
        </w:trPr>
        <w:tc>
          <w:tcPr>
            <w:tcW w:w="72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376DB5"/>
              </w:rPr>
              <w:t>to be</w:t>
            </w:r>
          </w:p>
        </w:tc>
        <w:tc>
          <w:tcPr>
            <w:tcW w:w="15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376DB5"/>
              </w:rPr>
              <w:t>Available</w:t>
            </w:r>
          </w:p>
        </w:tc>
        <w:tc>
          <w:tcPr>
            <w:tcW w:w="0" w:type="dxa"/>
            <w:vAlign w:val="bottom"/>
          </w:tcPr>
          <w:p>
            <w:pPr>
              <w:spacing w:after="0"/>
              <w:rPr>
                <w:sz w:val="1"/>
                <w:szCs w:val="1"/>
                <w:color w:val="auto"/>
              </w:rPr>
            </w:pPr>
          </w:p>
        </w:tc>
      </w:tr>
      <w:tr>
        <w:trPr>
          <w:trHeight w:val="189"/>
        </w:trPr>
        <w:tc>
          <w:tcPr>
            <w:tcW w:w="72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376DB5"/>
              </w:rPr>
              <w:t>Issued upon</w:t>
            </w:r>
          </w:p>
        </w:tc>
        <w:tc>
          <w:tcPr>
            <w:tcW w:w="1520" w:type="dxa"/>
            <w:vAlign w:val="bottom"/>
          </w:tcPr>
          <w:p>
            <w:pPr>
              <w:jc w:val="center"/>
              <w:spacing w:after="0"/>
              <w:rPr>
                <w:sz w:val="20"/>
                <w:szCs w:val="20"/>
                <w:color w:val="auto"/>
              </w:rPr>
            </w:pPr>
            <w:r>
              <w:rPr>
                <w:rFonts w:ascii="Arial" w:cs="Arial" w:eastAsia="Arial" w:hAnsi="Arial"/>
                <w:sz w:val="16"/>
                <w:szCs w:val="16"/>
                <w:color w:val="376DB5"/>
              </w:rPr>
              <w:t>Weighted</w:t>
            </w:r>
          </w:p>
        </w:tc>
        <w:tc>
          <w:tcPr>
            <w:tcW w:w="1180" w:type="dxa"/>
            <w:vAlign w:val="bottom"/>
          </w:tcPr>
          <w:p>
            <w:pPr>
              <w:jc w:val="center"/>
              <w:spacing w:after="0"/>
              <w:rPr>
                <w:sz w:val="20"/>
                <w:szCs w:val="20"/>
                <w:color w:val="auto"/>
              </w:rPr>
            </w:pPr>
            <w:r>
              <w:rPr>
                <w:rFonts w:ascii="Arial" w:cs="Arial" w:eastAsia="Arial" w:hAnsi="Arial"/>
                <w:sz w:val="16"/>
                <w:szCs w:val="16"/>
                <w:color w:val="376DB5"/>
              </w:rPr>
              <w:t>for Future</w:t>
            </w:r>
          </w:p>
        </w:tc>
        <w:tc>
          <w:tcPr>
            <w:tcW w:w="0" w:type="dxa"/>
            <w:vAlign w:val="bottom"/>
          </w:tcPr>
          <w:p>
            <w:pPr>
              <w:spacing w:after="0"/>
              <w:rPr>
                <w:sz w:val="1"/>
                <w:szCs w:val="1"/>
                <w:color w:val="auto"/>
              </w:rPr>
            </w:pPr>
          </w:p>
        </w:tc>
      </w:tr>
      <w:tr>
        <w:trPr>
          <w:trHeight w:val="189"/>
        </w:trPr>
        <w:tc>
          <w:tcPr>
            <w:tcW w:w="72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376DB5"/>
              </w:rPr>
              <w:t>Exercise of</w:t>
            </w:r>
          </w:p>
        </w:tc>
        <w:tc>
          <w:tcPr>
            <w:tcW w:w="1520" w:type="dxa"/>
            <w:vAlign w:val="bottom"/>
          </w:tcPr>
          <w:p>
            <w:pPr>
              <w:jc w:val="center"/>
              <w:spacing w:after="0"/>
              <w:rPr>
                <w:sz w:val="20"/>
                <w:szCs w:val="20"/>
                <w:color w:val="auto"/>
              </w:rPr>
            </w:pPr>
            <w:r>
              <w:rPr>
                <w:rFonts w:ascii="Arial" w:cs="Arial" w:eastAsia="Arial" w:hAnsi="Arial"/>
                <w:sz w:val="16"/>
                <w:szCs w:val="16"/>
                <w:color w:val="376DB5"/>
              </w:rPr>
              <w:t>Average</w:t>
            </w:r>
          </w:p>
        </w:tc>
        <w:tc>
          <w:tcPr>
            <w:tcW w:w="1180" w:type="dxa"/>
            <w:vAlign w:val="bottom"/>
          </w:tcPr>
          <w:p>
            <w:pPr>
              <w:jc w:val="center"/>
              <w:spacing w:after="0"/>
              <w:rPr>
                <w:sz w:val="20"/>
                <w:szCs w:val="20"/>
                <w:color w:val="auto"/>
              </w:rPr>
            </w:pPr>
            <w:r>
              <w:rPr>
                <w:rFonts w:ascii="Arial" w:cs="Arial" w:eastAsia="Arial" w:hAnsi="Arial"/>
                <w:sz w:val="16"/>
                <w:szCs w:val="16"/>
                <w:color w:val="376DB5"/>
                <w:w w:val="99"/>
              </w:rPr>
              <w:t>Issuance</w:t>
            </w:r>
          </w:p>
        </w:tc>
        <w:tc>
          <w:tcPr>
            <w:tcW w:w="0" w:type="dxa"/>
            <w:vAlign w:val="bottom"/>
          </w:tcPr>
          <w:p>
            <w:pPr>
              <w:spacing w:after="0"/>
              <w:rPr>
                <w:sz w:val="1"/>
                <w:szCs w:val="1"/>
                <w:color w:val="auto"/>
              </w:rPr>
            </w:pPr>
          </w:p>
        </w:tc>
      </w:tr>
      <w:tr>
        <w:trPr>
          <w:trHeight w:val="189"/>
        </w:trPr>
        <w:tc>
          <w:tcPr>
            <w:tcW w:w="72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376DB5"/>
              </w:rPr>
              <w:t>Outstanding</w:t>
            </w:r>
          </w:p>
        </w:tc>
        <w:tc>
          <w:tcPr>
            <w:tcW w:w="1520" w:type="dxa"/>
            <w:vAlign w:val="bottom"/>
          </w:tcPr>
          <w:p>
            <w:pPr>
              <w:jc w:val="center"/>
              <w:spacing w:after="0"/>
              <w:rPr>
                <w:sz w:val="20"/>
                <w:szCs w:val="20"/>
                <w:color w:val="auto"/>
              </w:rPr>
            </w:pPr>
            <w:r>
              <w:rPr>
                <w:rFonts w:ascii="Arial" w:cs="Arial" w:eastAsia="Arial" w:hAnsi="Arial"/>
                <w:sz w:val="16"/>
                <w:szCs w:val="16"/>
                <w:color w:val="376DB5"/>
              </w:rPr>
              <w:t>Exercise Price of</w:t>
            </w:r>
          </w:p>
        </w:tc>
        <w:tc>
          <w:tcPr>
            <w:tcW w:w="1180" w:type="dxa"/>
            <w:vAlign w:val="bottom"/>
          </w:tcPr>
          <w:p>
            <w:pPr>
              <w:jc w:val="center"/>
              <w:spacing w:after="0"/>
              <w:rPr>
                <w:sz w:val="20"/>
                <w:szCs w:val="20"/>
                <w:color w:val="auto"/>
              </w:rPr>
            </w:pPr>
            <w:r>
              <w:rPr>
                <w:rFonts w:ascii="Arial" w:cs="Arial" w:eastAsia="Arial" w:hAnsi="Arial"/>
                <w:sz w:val="16"/>
                <w:szCs w:val="16"/>
                <w:color w:val="376DB5"/>
              </w:rPr>
              <w:t>Under Equity</w:t>
            </w:r>
          </w:p>
        </w:tc>
        <w:tc>
          <w:tcPr>
            <w:tcW w:w="0" w:type="dxa"/>
            <w:vAlign w:val="bottom"/>
          </w:tcPr>
          <w:p>
            <w:pPr>
              <w:spacing w:after="0"/>
              <w:rPr>
                <w:sz w:val="1"/>
                <w:szCs w:val="1"/>
                <w:color w:val="auto"/>
              </w:rPr>
            </w:pPr>
          </w:p>
        </w:tc>
      </w:tr>
      <w:tr>
        <w:trPr>
          <w:trHeight w:val="189"/>
        </w:trPr>
        <w:tc>
          <w:tcPr>
            <w:tcW w:w="7200" w:type="dxa"/>
            <w:vAlign w:val="bottom"/>
            <w:vMerge w:val="restart"/>
          </w:tcPr>
          <w:p>
            <w:pPr>
              <w:spacing w:after="0"/>
              <w:rPr>
                <w:sz w:val="20"/>
                <w:szCs w:val="20"/>
                <w:color w:val="auto"/>
              </w:rPr>
            </w:pPr>
            <w:r>
              <w:rPr>
                <w:rFonts w:ascii="Arial" w:cs="Arial" w:eastAsia="Arial" w:hAnsi="Arial"/>
                <w:sz w:val="18"/>
                <w:szCs w:val="18"/>
                <w:color w:val="376DB5"/>
              </w:rPr>
              <w:t>Plan Category</w:t>
            </w:r>
          </w:p>
        </w:tc>
        <w:tc>
          <w:tcPr>
            <w:tcW w:w="1120" w:type="dxa"/>
            <w:vAlign w:val="bottom"/>
          </w:tcPr>
          <w:p>
            <w:pPr>
              <w:jc w:val="center"/>
              <w:spacing w:after="0"/>
              <w:rPr>
                <w:sz w:val="20"/>
                <w:szCs w:val="20"/>
                <w:color w:val="auto"/>
              </w:rPr>
            </w:pPr>
            <w:r>
              <w:rPr>
                <w:rFonts w:ascii="Arial" w:cs="Arial" w:eastAsia="Arial" w:hAnsi="Arial"/>
                <w:sz w:val="16"/>
                <w:szCs w:val="16"/>
                <w:color w:val="376DB5"/>
              </w:rPr>
              <w:t>Options</w:t>
            </w:r>
          </w:p>
        </w:tc>
        <w:tc>
          <w:tcPr>
            <w:tcW w:w="1520" w:type="dxa"/>
            <w:vAlign w:val="bottom"/>
          </w:tcPr>
          <w:p>
            <w:pPr>
              <w:jc w:val="center"/>
              <w:spacing w:after="0"/>
              <w:rPr>
                <w:sz w:val="20"/>
                <w:szCs w:val="20"/>
                <w:color w:val="auto"/>
              </w:rPr>
            </w:pPr>
            <w:r>
              <w:rPr>
                <w:rFonts w:ascii="Arial" w:cs="Arial" w:eastAsia="Arial" w:hAnsi="Arial"/>
                <w:sz w:val="16"/>
                <w:szCs w:val="16"/>
                <w:color w:val="376DB5"/>
                <w:w w:val="99"/>
              </w:rPr>
              <w:t>Outstanding</w:t>
            </w:r>
          </w:p>
        </w:tc>
        <w:tc>
          <w:tcPr>
            <w:tcW w:w="1180" w:type="dxa"/>
            <w:vAlign w:val="bottom"/>
          </w:tcPr>
          <w:p>
            <w:pPr>
              <w:jc w:val="center"/>
              <w:spacing w:after="0"/>
              <w:rPr>
                <w:sz w:val="20"/>
                <w:szCs w:val="20"/>
                <w:color w:val="auto"/>
              </w:rPr>
            </w:pPr>
            <w:r>
              <w:rPr>
                <w:rFonts w:ascii="Arial" w:cs="Arial" w:eastAsia="Arial" w:hAnsi="Arial"/>
                <w:sz w:val="16"/>
                <w:szCs w:val="16"/>
                <w:color w:val="376DB5"/>
              </w:rPr>
              <w:t>Compensation</w:t>
            </w:r>
          </w:p>
        </w:tc>
        <w:tc>
          <w:tcPr>
            <w:tcW w:w="0" w:type="dxa"/>
            <w:vAlign w:val="bottom"/>
          </w:tcPr>
          <w:p>
            <w:pPr>
              <w:spacing w:after="0"/>
              <w:rPr>
                <w:sz w:val="1"/>
                <w:szCs w:val="1"/>
                <w:color w:val="auto"/>
              </w:rPr>
            </w:pPr>
          </w:p>
        </w:tc>
      </w:tr>
      <w:tr>
        <w:trPr>
          <w:trHeight w:val="239"/>
        </w:trPr>
        <w:tc>
          <w:tcPr>
            <w:tcW w:w="7200" w:type="dxa"/>
            <w:vAlign w:val="bottom"/>
            <w:tcBorders>
              <w:bottom w:val="single" w:sz="8" w:color="376DB5"/>
            </w:tcBorders>
            <w:vMerge w:val="continue"/>
          </w:tcPr>
          <w:p>
            <w:pPr>
              <w:spacing w:after="0"/>
              <w:rPr>
                <w:sz w:val="20"/>
                <w:szCs w:val="20"/>
                <w:color w:val="auto"/>
              </w:rPr>
            </w:pPr>
          </w:p>
        </w:tc>
        <w:tc>
          <w:tcPr>
            <w:tcW w:w="1120" w:type="dxa"/>
            <w:vAlign w:val="bottom"/>
            <w:tcBorders>
              <w:bottom w:val="single" w:sz="8" w:color="376DB5"/>
            </w:tcBorders>
          </w:tcPr>
          <w:p>
            <w:pPr>
              <w:jc w:val="center"/>
              <w:ind w:left="17"/>
              <w:spacing w:after="0"/>
              <w:rPr>
                <w:sz w:val="20"/>
                <w:szCs w:val="20"/>
                <w:color w:val="auto"/>
              </w:rPr>
            </w:pPr>
            <w:r>
              <w:rPr>
                <w:rFonts w:ascii="Arial" w:cs="Arial" w:eastAsia="Arial" w:hAnsi="Arial"/>
                <w:sz w:val="16"/>
                <w:szCs w:val="16"/>
                <w:color w:val="376DB5"/>
              </w:rPr>
              <w:t>and Rights</w:t>
            </w:r>
          </w:p>
        </w:tc>
        <w:tc>
          <w:tcPr>
            <w:tcW w:w="1520" w:type="dxa"/>
            <w:vAlign w:val="bottom"/>
            <w:tcBorders>
              <w:bottom w:val="single" w:sz="8" w:color="376DB5"/>
            </w:tcBorders>
          </w:tcPr>
          <w:p>
            <w:pPr>
              <w:jc w:val="center"/>
              <w:spacing w:after="0"/>
              <w:rPr>
                <w:sz w:val="20"/>
                <w:szCs w:val="20"/>
                <w:color w:val="auto"/>
              </w:rPr>
            </w:pPr>
            <w:r>
              <w:rPr>
                <w:rFonts w:ascii="Arial" w:cs="Arial" w:eastAsia="Arial" w:hAnsi="Arial"/>
                <w:sz w:val="16"/>
                <w:szCs w:val="16"/>
                <w:color w:val="376DB5"/>
              </w:rPr>
              <w:t>Options and Rights</w:t>
            </w:r>
          </w:p>
        </w:tc>
        <w:tc>
          <w:tcPr>
            <w:tcW w:w="1180" w:type="dxa"/>
            <w:vAlign w:val="bottom"/>
            <w:tcBorders>
              <w:bottom w:val="single" w:sz="8" w:color="376DB5"/>
            </w:tcBorders>
          </w:tcPr>
          <w:p>
            <w:pPr>
              <w:jc w:val="center"/>
              <w:spacing w:after="0"/>
              <w:rPr>
                <w:sz w:val="20"/>
                <w:szCs w:val="20"/>
                <w:color w:val="auto"/>
              </w:rPr>
            </w:pPr>
            <w:r>
              <w:rPr>
                <w:rFonts w:ascii="Arial" w:cs="Arial" w:eastAsia="Arial" w:hAnsi="Arial"/>
                <w:sz w:val="16"/>
                <w:szCs w:val="16"/>
                <w:color w:val="376DB5"/>
                <w:w w:val="99"/>
              </w:rPr>
              <w:t>Plans</w:t>
            </w:r>
          </w:p>
        </w:tc>
        <w:tc>
          <w:tcPr>
            <w:tcW w:w="0" w:type="dxa"/>
            <w:vAlign w:val="bottom"/>
          </w:tcPr>
          <w:p>
            <w:pPr>
              <w:spacing w:after="0"/>
              <w:rPr>
                <w:sz w:val="1"/>
                <w:szCs w:val="1"/>
                <w:color w:val="auto"/>
              </w:rPr>
            </w:pPr>
          </w:p>
        </w:tc>
      </w:tr>
      <w:tr>
        <w:trPr>
          <w:trHeight w:val="241"/>
        </w:trPr>
        <w:tc>
          <w:tcPr>
            <w:tcW w:w="7200" w:type="dxa"/>
            <w:vAlign w:val="bottom"/>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120" w:type="dxa"/>
            <w:vAlign w:val="bottom"/>
          </w:tcPr>
          <w:p>
            <w:pPr>
              <w:jc w:val="right"/>
              <w:spacing w:after="0" w:line="241" w:lineRule="exact"/>
              <w:rPr>
                <w:sz w:val="20"/>
                <w:szCs w:val="20"/>
                <w:color w:val="auto"/>
              </w:rPr>
            </w:pPr>
            <w:r>
              <w:rPr>
                <w:rFonts w:ascii="Arial" w:cs="Arial" w:eastAsia="Arial" w:hAnsi="Arial"/>
                <w:sz w:val="18"/>
                <w:szCs w:val="18"/>
                <w:color w:val="auto"/>
              </w:rPr>
              <w:t>413,374</w:t>
            </w:r>
            <w:r>
              <w:rPr>
                <w:rFonts w:ascii="Arial" w:cs="Arial" w:eastAsia="Arial" w:hAnsi="Arial"/>
                <w:sz w:val="26"/>
                <w:szCs w:val="26"/>
                <w:color w:val="auto"/>
                <w:vertAlign w:val="superscript"/>
              </w:rPr>
              <w:t>(1)</w:t>
            </w:r>
          </w:p>
        </w:tc>
        <w:tc>
          <w:tcPr>
            <w:tcW w:w="1520" w:type="dxa"/>
            <w:vAlign w:val="bottom"/>
          </w:tcPr>
          <w:p>
            <w:pPr>
              <w:jc w:val="right"/>
              <w:ind w:right="16"/>
              <w:spacing w:after="0" w:line="241" w:lineRule="exact"/>
              <w:rPr>
                <w:sz w:val="20"/>
                <w:szCs w:val="20"/>
                <w:color w:val="auto"/>
              </w:rPr>
            </w:pPr>
            <w:r>
              <w:rPr>
                <w:rFonts w:ascii="Arial" w:cs="Arial" w:eastAsia="Arial" w:hAnsi="Arial"/>
                <w:sz w:val="18"/>
                <w:szCs w:val="18"/>
                <w:color w:val="auto"/>
              </w:rPr>
              <w:t>457.5914</w:t>
            </w:r>
            <w:r>
              <w:rPr>
                <w:rFonts w:ascii="Arial" w:cs="Arial" w:eastAsia="Arial" w:hAnsi="Arial"/>
                <w:sz w:val="26"/>
                <w:szCs w:val="26"/>
                <w:color w:val="auto"/>
                <w:vertAlign w:val="superscript"/>
              </w:rPr>
              <w:t>(2)</w:t>
            </w:r>
          </w:p>
        </w:tc>
        <w:tc>
          <w:tcPr>
            <w:tcW w:w="1180" w:type="dxa"/>
            <w:vAlign w:val="bottom"/>
          </w:tcPr>
          <w:p>
            <w:pPr>
              <w:jc w:val="right"/>
              <w:spacing w:after="0" w:line="241" w:lineRule="exact"/>
              <w:rPr>
                <w:sz w:val="20"/>
                <w:szCs w:val="20"/>
                <w:color w:val="auto"/>
              </w:rPr>
            </w:pPr>
            <w:r>
              <w:rPr>
                <w:rFonts w:ascii="Arial" w:cs="Arial" w:eastAsia="Arial" w:hAnsi="Arial"/>
                <w:sz w:val="18"/>
                <w:szCs w:val="18"/>
                <w:color w:val="auto"/>
              </w:rPr>
              <w:t>5,136,512</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56"/>
        </w:trPr>
        <w:tc>
          <w:tcPr>
            <w:tcW w:w="7200" w:type="dxa"/>
            <w:vAlign w:val="bottom"/>
            <w:shd w:val="clear" w:color="auto" w:fill="F2F2F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120" w:type="dxa"/>
            <w:vAlign w:val="bottom"/>
            <w:shd w:val="clear" w:color="auto" w:fill="F2F2F2"/>
          </w:tcPr>
          <w:p>
            <w:pPr>
              <w:jc w:val="right"/>
              <w:ind w:right="397"/>
              <w:spacing w:after="0"/>
              <w:rPr>
                <w:sz w:val="20"/>
                <w:szCs w:val="20"/>
                <w:color w:val="auto"/>
              </w:rPr>
            </w:pPr>
            <w:r>
              <w:rPr>
                <w:rFonts w:ascii="Arial" w:cs="Arial" w:eastAsia="Arial" w:hAnsi="Arial"/>
                <w:sz w:val="18"/>
                <w:szCs w:val="18"/>
                <w:color w:val="auto"/>
              </w:rPr>
              <w:t>—</w:t>
            </w:r>
          </w:p>
        </w:tc>
        <w:tc>
          <w:tcPr>
            <w:tcW w:w="1520" w:type="dxa"/>
            <w:vAlign w:val="bottom"/>
            <w:shd w:val="clear" w:color="auto" w:fill="F2F2F2"/>
          </w:tcPr>
          <w:p>
            <w:pPr>
              <w:jc w:val="right"/>
              <w:ind w:right="476"/>
              <w:spacing w:after="0"/>
              <w:rPr>
                <w:sz w:val="20"/>
                <w:szCs w:val="20"/>
                <w:color w:val="auto"/>
              </w:rPr>
            </w:pPr>
            <w:r>
              <w:rPr>
                <w:rFonts w:ascii="Arial" w:cs="Arial" w:eastAsia="Arial" w:hAnsi="Arial"/>
                <w:sz w:val="18"/>
                <w:szCs w:val="18"/>
                <w:color w:val="auto"/>
              </w:rPr>
              <w:t>—</w:t>
            </w:r>
          </w:p>
        </w:tc>
        <w:tc>
          <w:tcPr>
            <w:tcW w:w="1180" w:type="dxa"/>
            <w:vAlign w:val="bottom"/>
            <w:shd w:val="clear" w:color="auto" w:fill="F2F2F2"/>
          </w:tcPr>
          <w:p>
            <w:pPr>
              <w:jc w:val="right"/>
              <w:ind w:right="4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200" w:type="dxa"/>
            <w:vAlign w:val="bottom"/>
            <w:tcBorders>
              <w:bottom w:val="single" w:sz="8" w:color="376DB5"/>
            </w:tcBorders>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376DB5"/>
            </w:tcBorders>
          </w:tcPr>
          <w:p>
            <w:pPr>
              <w:jc w:val="right"/>
              <w:spacing w:after="0" w:line="256" w:lineRule="exact"/>
              <w:rPr>
                <w:sz w:val="20"/>
                <w:szCs w:val="20"/>
                <w:color w:val="auto"/>
              </w:rPr>
            </w:pPr>
            <w:r>
              <w:rPr>
                <w:rFonts w:ascii="Arial" w:cs="Arial" w:eastAsia="Arial" w:hAnsi="Arial"/>
                <w:sz w:val="18"/>
                <w:szCs w:val="18"/>
                <w:color w:val="auto"/>
              </w:rPr>
              <w:t>413,374</w:t>
            </w:r>
            <w:r>
              <w:rPr>
                <w:rFonts w:ascii="Arial" w:cs="Arial" w:eastAsia="Arial" w:hAnsi="Arial"/>
                <w:sz w:val="26"/>
                <w:szCs w:val="26"/>
                <w:color w:val="auto"/>
                <w:vertAlign w:val="superscript"/>
              </w:rPr>
              <w:t>(1)</w:t>
            </w:r>
          </w:p>
        </w:tc>
        <w:tc>
          <w:tcPr>
            <w:tcW w:w="1520" w:type="dxa"/>
            <w:vAlign w:val="bottom"/>
            <w:tcBorders>
              <w:bottom w:val="single" w:sz="8" w:color="376DB5"/>
            </w:tcBorders>
          </w:tcPr>
          <w:p>
            <w:pPr>
              <w:jc w:val="right"/>
              <w:ind w:right="16"/>
              <w:spacing w:after="0" w:line="256" w:lineRule="exact"/>
              <w:rPr>
                <w:sz w:val="20"/>
                <w:szCs w:val="20"/>
                <w:color w:val="auto"/>
              </w:rPr>
            </w:pPr>
            <w:r>
              <w:rPr>
                <w:rFonts w:ascii="Arial" w:cs="Arial" w:eastAsia="Arial" w:hAnsi="Arial"/>
                <w:sz w:val="18"/>
                <w:szCs w:val="18"/>
                <w:color w:val="auto"/>
              </w:rPr>
              <w:t>457.5914</w:t>
            </w:r>
            <w:r>
              <w:rPr>
                <w:rFonts w:ascii="Arial" w:cs="Arial" w:eastAsia="Arial" w:hAnsi="Arial"/>
                <w:sz w:val="26"/>
                <w:szCs w:val="26"/>
                <w:color w:val="auto"/>
                <w:vertAlign w:val="superscript"/>
              </w:rPr>
              <w:t>(2)</w:t>
            </w:r>
          </w:p>
        </w:tc>
        <w:tc>
          <w:tcPr>
            <w:tcW w:w="1180" w:type="dxa"/>
            <w:vAlign w:val="bottom"/>
            <w:tcBorders>
              <w:bottom w:val="single" w:sz="8" w:color="376DB5"/>
            </w:tcBorders>
          </w:tcPr>
          <w:p>
            <w:pPr>
              <w:jc w:val="right"/>
              <w:spacing w:after="0" w:line="256" w:lineRule="exact"/>
              <w:rPr>
                <w:sz w:val="20"/>
                <w:szCs w:val="20"/>
                <w:color w:val="auto"/>
              </w:rPr>
            </w:pPr>
            <w:r>
              <w:rPr>
                <w:rFonts w:ascii="Arial" w:cs="Arial" w:eastAsia="Arial" w:hAnsi="Arial"/>
                <w:sz w:val="18"/>
                <w:szCs w:val="18"/>
                <w:color w:val="auto"/>
              </w:rPr>
              <w:t>5,136,512</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1226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50" w:lineRule="exact"/>
        <w:rPr>
          <w:sz w:val="20"/>
          <w:szCs w:val="20"/>
          <w:color w:val="auto"/>
        </w:rPr>
      </w:pPr>
    </w:p>
    <w:p>
      <w:pPr>
        <w:jc w:val="both"/>
        <w:ind w:left="540" w:right="20" w:hanging="424"/>
        <w:spacing w:after="0" w:line="218" w:lineRule="auto"/>
        <w:tabs>
          <w:tab w:leader="none" w:pos="540" w:val="left"/>
        </w:tabs>
        <w:numPr>
          <w:ilvl w:val="0"/>
          <w:numId w:val="66"/>
        </w:numPr>
        <w:rPr>
          <w:rFonts w:ascii="Arial" w:cs="Arial" w:eastAsia="Arial" w:hAnsi="Arial"/>
          <w:sz w:val="27"/>
          <w:szCs w:val="27"/>
          <w:color w:val="auto"/>
          <w:vertAlign w:val="superscript"/>
        </w:rPr>
      </w:pPr>
      <w:r>
        <w:rPr>
          <w:rFonts w:ascii="Arial" w:cs="Arial" w:eastAsia="Arial" w:hAnsi="Arial"/>
          <w:sz w:val="18"/>
          <w:szCs w:val="18"/>
          <w:color w:val="auto"/>
        </w:rPr>
        <w:t>This amount represents the shares of Company common stock that may be issued upon the exercise of stock options or the vesting of RSUs, PSUs and MSUs granted under the 2012 LTIP and the 2021 LTIP that were outstanding as of September 30, 2025. The number of shares related to unearned PSUs and MSUs are assumed to be earned at the target award level. In the event that the unearned PSUs and MSUs are earned out at the maximum award level, an additional 136,048 shares would be issuable.</w:t>
      </w:r>
    </w:p>
    <w:p>
      <w:pPr>
        <w:spacing w:after="0" w:line="4" w:lineRule="exact"/>
        <w:rPr>
          <w:rFonts w:ascii="Arial" w:cs="Arial" w:eastAsia="Arial" w:hAnsi="Arial"/>
          <w:sz w:val="27"/>
          <w:szCs w:val="27"/>
          <w:color w:val="auto"/>
          <w:vertAlign w:val="superscript"/>
        </w:rPr>
      </w:pPr>
    </w:p>
    <w:p>
      <w:pPr>
        <w:ind w:left="540" w:right="20" w:hanging="424"/>
        <w:spacing w:after="0" w:line="204" w:lineRule="auto"/>
        <w:tabs>
          <w:tab w:leader="none" w:pos="540" w:val="left"/>
        </w:tabs>
        <w:numPr>
          <w:ilvl w:val="0"/>
          <w:numId w:val="66"/>
        </w:numPr>
        <w:rPr>
          <w:rFonts w:ascii="Arial" w:cs="Arial" w:eastAsia="Arial" w:hAnsi="Arial"/>
          <w:sz w:val="27"/>
          <w:szCs w:val="27"/>
          <w:color w:val="auto"/>
          <w:vertAlign w:val="superscript"/>
        </w:rPr>
      </w:pPr>
      <w:r>
        <w:rPr>
          <w:rFonts w:ascii="Arial" w:cs="Arial" w:eastAsia="Arial" w:hAnsi="Arial"/>
          <w:sz w:val="18"/>
          <w:szCs w:val="18"/>
          <w:color w:val="auto"/>
        </w:rPr>
        <w:t>The weighted-average exercise price set forth in this column is calculated excluding outstanding RSU, PSU, and MSU awards, since recipients are not required to pay an exercise price to receive the shares subject to these awards.</w:t>
      </w:r>
    </w:p>
    <w:p>
      <w:pPr>
        <w:spacing w:after="0" w:line="5" w:lineRule="exact"/>
        <w:rPr>
          <w:rFonts w:ascii="Arial" w:cs="Arial" w:eastAsia="Arial" w:hAnsi="Arial"/>
          <w:sz w:val="27"/>
          <w:szCs w:val="27"/>
          <w:color w:val="auto"/>
          <w:vertAlign w:val="superscript"/>
        </w:rPr>
      </w:pPr>
    </w:p>
    <w:p>
      <w:pPr>
        <w:jc w:val="both"/>
        <w:ind w:left="540" w:right="20" w:hanging="424"/>
        <w:spacing w:after="0" w:line="213" w:lineRule="auto"/>
        <w:tabs>
          <w:tab w:leader="none" w:pos="540" w:val="left"/>
        </w:tabs>
        <w:numPr>
          <w:ilvl w:val="0"/>
          <w:numId w:val="66"/>
        </w:numPr>
        <w:rPr>
          <w:rFonts w:ascii="Arial" w:cs="Arial" w:eastAsia="Arial" w:hAnsi="Arial"/>
          <w:sz w:val="27"/>
          <w:szCs w:val="27"/>
          <w:color w:val="auto"/>
          <w:vertAlign w:val="superscript"/>
        </w:rPr>
      </w:pPr>
      <w:r>
        <w:rPr>
          <w:rFonts w:ascii="Arial" w:cs="Arial" w:eastAsia="Arial" w:hAnsi="Arial"/>
          <w:sz w:val="18"/>
          <w:szCs w:val="18"/>
          <w:color w:val="auto"/>
        </w:rPr>
        <w:t>This amount includes (a) 4,309,793 shares available for future issuance under the 2021 LTIP as of September 30, 2025 (assuming that unearned PSUs and MSUs are earned at the maximum award level) and (b) 826,719 shares available for issuance under the Company’s 2019 Employee Stock Purchase Plan (“ESPP”) as of September 30, 2025.</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76</w:t>
      </w:r>
    </w:p>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CEO PAY RATIO</w:t>
      </w:r>
    </w:p>
    <w:p>
      <w:pPr>
        <w:spacing w:after="0" w:line="231"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As required by Item 402(u) of Regulation S-K, we are providing the following information about the relationship of the median of the annual total compensation of all our employees and the annual total compensation of our Chief Executive Officer, William Lansing (our “CEO”):</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fiscal 2025:</w:t>
      </w:r>
    </w:p>
    <w:p>
      <w:pPr>
        <w:spacing w:after="0" w:line="117" w:lineRule="exact"/>
        <w:rPr>
          <w:sz w:val="20"/>
          <w:szCs w:val="20"/>
          <w:color w:val="auto"/>
        </w:rPr>
      </w:pPr>
    </w:p>
    <w:p>
      <w:pPr>
        <w:ind w:left="1200" w:hanging="315"/>
        <w:spacing w:after="0"/>
        <w:tabs>
          <w:tab w:leader="none" w:pos="12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our employees, other than our CEO, was $98,000;</w:t>
      </w:r>
    </w:p>
    <w:p>
      <w:pPr>
        <w:spacing w:after="0" w:line="117" w:lineRule="exact"/>
        <w:rPr>
          <w:rFonts w:ascii="Arial" w:cs="Arial" w:eastAsia="Arial" w:hAnsi="Arial"/>
          <w:sz w:val="18"/>
          <w:szCs w:val="18"/>
          <w:color w:val="auto"/>
        </w:rPr>
      </w:pPr>
    </w:p>
    <w:p>
      <w:pPr>
        <w:ind w:left="1200" w:right="20" w:hanging="315"/>
        <w:spacing w:after="0" w:line="271" w:lineRule="auto"/>
        <w:tabs>
          <w:tab w:leader="none" w:pos="12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annual total compensation of our CEO, as disclosed in the Fiscal 2025 Summary Compensation Table, was $36,045,267; and</w:t>
      </w:r>
    </w:p>
    <w:p>
      <w:pPr>
        <w:spacing w:after="0" w:line="59" w:lineRule="exact"/>
        <w:rPr>
          <w:rFonts w:ascii="Arial" w:cs="Arial" w:eastAsia="Arial" w:hAnsi="Arial"/>
          <w:sz w:val="18"/>
          <w:szCs w:val="18"/>
          <w:color w:val="auto"/>
        </w:rPr>
      </w:pPr>
    </w:p>
    <w:p>
      <w:pPr>
        <w:ind w:left="1200" w:right="20" w:hanging="315"/>
        <w:spacing w:after="0" w:line="271" w:lineRule="auto"/>
        <w:tabs>
          <w:tab w:leader="none" w:pos="12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ratio of the annual total compensation of our CEO to the median of the annual total compensation of all our employees was 368 to 1. This ratio is a reasonable estimate calculated in a manner consistent with SEC rules.</w:t>
      </w:r>
    </w:p>
    <w:p>
      <w:pPr>
        <w:spacing w:after="0" w:line="46"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We identified the employee with compensation at the median of the annual total compensation of all our employees using the following methodology:</w:t>
      </w:r>
    </w:p>
    <w:p>
      <w:pPr>
        <w:spacing w:after="0" w:line="59" w:lineRule="exact"/>
        <w:rPr>
          <w:sz w:val="20"/>
          <w:szCs w:val="20"/>
          <w:color w:val="auto"/>
        </w:rPr>
      </w:pPr>
    </w:p>
    <w:p>
      <w:pPr>
        <w:jc w:val="both"/>
        <w:ind w:left="1200" w:right="20" w:hanging="315"/>
        <w:spacing w:after="0" w:line="253" w:lineRule="auto"/>
        <w:tabs>
          <w:tab w:leader="none" w:pos="12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determining our employee population, we considered 3,912 individuals, excluding our CEO, who were employed by us and our consolidated subsidiaries on August 31, 2025, whether employed on a full-time, part-time, seasonal, or temporary basis. We did not include any contractors or other non-employee workers in our employee population.</w:t>
      </w:r>
    </w:p>
    <w:p>
      <w:pPr>
        <w:spacing w:after="0" w:line="74" w:lineRule="exact"/>
        <w:rPr>
          <w:rFonts w:ascii="Arial" w:cs="Arial" w:eastAsia="Arial" w:hAnsi="Arial"/>
          <w:sz w:val="18"/>
          <w:szCs w:val="18"/>
          <w:color w:val="auto"/>
        </w:rPr>
      </w:pPr>
    </w:p>
    <w:p>
      <w:pPr>
        <w:jc w:val="both"/>
        <w:ind w:left="1200" w:right="20" w:hanging="315"/>
        <w:spacing w:after="0" w:line="244" w:lineRule="auto"/>
        <w:tabs>
          <w:tab w:leader="none" w:pos="12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identify our median employee, we chose to use a consistently applied compensation measure, which we selected as annual base salary rate plus target annual bonus and actual sales incentive commissions paid and the grant-date fair value of long-term incentives granted for the 12-month period ending August 31, 2025. For simplicity with respect to part-time employees, we calculated annual base salary rate by multiplying the full-time equivalent annual base salary rate times a factor representing the percentage of full-time schedule regularly worked as of August 31, 2025.</w:t>
      </w:r>
    </w:p>
    <w:p>
      <w:pPr>
        <w:spacing w:after="0" w:line="81" w:lineRule="exact"/>
        <w:rPr>
          <w:rFonts w:ascii="Arial" w:cs="Arial" w:eastAsia="Arial" w:hAnsi="Arial"/>
          <w:sz w:val="18"/>
          <w:szCs w:val="18"/>
          <w:color w:val="auto"/>
        </w:rPr>
      </w:pPr>
    </w:p>
    <w:p>
      <w:pPr>
        <w:ind w:left="1200" w:right="20" w:hanging="315"/>
        <w:spacing w:after="0" w:line="271" w:lineRule="auto"/>
        <w:tabs>
          <w:tab w:leader="none" w:pos="12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employees paid other than in U.S. dollars, we converted their compensation to U.S. dollars using the applicable exchange rates in effect on August 31, 2025.</w:t>
      </w:r>
    </w:p>
    <w:p>
      <w:pPr>
        <w:spacing w:after="0" w:line="59" w:lineRule="exact"/>
        <w:rPr>
          <w:rFonts w:ascii="Arial" w:cs="Arial" w:eastAsia="Arial" w:hAnsi="Arial"/>
          <w:sz w:val="18"/>
          <w:szCs w:val="18"/>
          <w:color w:val="auto"/>
        </w:rPr>
      </w:pPr>
    </w:p>
    <w:p>
      <w:pPr>
        <w:ind w:left="1200" w:right="20" w:hanging="315"/>
        <w:spacing w:after="0" w:line="271" w:lineRule="auto"/>
        <w:tabs>
          <w:tab w:leader="none" w:pos="12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permanent employees hired during fiscal 2025, we annualized their salary or base pay as if they had been employed for the entire 12-month measurement period. We did not make any cost-of-living adjustment.</w:t>
      </w:r>
    </w:p>
    <w:p>
      <w:pPr>
        <w:spacing w:after="0" w:line="46" w:lineRule="exact"/>
        <w:rPr>
          <w:sz w:val="20"/>
          <w:szCs w:val="20"/>
          <w:color w:val="auto"/>
        </w:rPr>
      </w:pPr>
    </w:p>
    <w:p>
      <w:pPr>
        <w:jc w:val="both"/>
        <w:ind w:left="120" w:firstLine="551"/>
        <w:spacing w:after="0" w:line="247" w:lineRule="auto"/>
        <w:rPr>
          <w:sz w:val="20"/>
          <w:szCs w:val="20"/>
          <w:color w:val="auto"/>
        </w:rPr>
      </w:pPr>
      <w:r>
        <w:rPr>
          <w:rFonts w:ascii="Arial" w:cs="Arial" w:eastAsia="Arial" w:hAnsi="Arial"/>
          <w:sz w:val="18"/>
          <w:szCs w:val="18"/>
          <w:color w:val="auto"/>
        </w:rPr>
        <w:t>Using this methodology, we identified the individual at the median of our employee population, who was a Revenue and Accounting Associate Manager based in San Diego, California. We then calculated the annual total compensation for this individual using the same methodology we used to calculate the amount reported for our CEO in the “Total” column of the Fiscal 2025 Summary Compensation Table as set forth in this proxy statement.</w:t>
      </w:r>
    </w:p>
    <w:p>
      <w:pPr>
        <w:spacing w:after="0" w:line="66"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Because SEC rules for identifying the median of the annual total compensation of all employees allow companies to adopt a variety of methodologies, apply certain exclusions, and make reasonable estimates and assumptions that reflect their employee population and compensation practices, the pay ratio reported by other companies may not be comparable to our pay ratio, as other companies have different employee populations and compensation practices and may have used different methodologies, exclusions, estimates, and assumptions in calculating their pay ratios. As explained by the SEC when it adopted Item 402(u), the rule was not designed to facilitate comparisons of pay ratios among different companies, but rather to allow stockholders to better understand and assess each particular company’s compensation practices and pay ratio disclosures.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77</w:t>
      </w:r>
    </w:p>
    <w:p>
      <w:pPr>
        <w:sectPr>
          <w:pgSz w:w="11900" w:h="16838" w:orient="portrait"/>
          <w:cols w:equalWidth="0" w:num="1">
            <w:col w:w="11140"/>
          </w:cols>
          <w:pgMar w:left="320" w:top="482"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PAY VERSUS PERFORMANCE</w:t>
      </w:r>
    </w:p>
    <w:p>
      <w:pPr>
        <w:spacing w:after="0" w:line="231" w:lineRule="exact"/>
        <w:rPr>
          <w:sz w:val="20"/>
          <w:szCs w:val="20"/>
          <w:color w:val="auto"/>
        </w:rPr>
      </w:pPr>
    </w:p>
    <w:p>
      <w:pPr>
        <w:jc w:val="both"/>
        <w:ind w:left="120" w:right="20" w:firstLine="551"/>
        <w:spacing w:after="0" w:line="242" w:lineRule="auto"/>
        <w:rPr>
          <w:sz w:val="20"/>
          <w:szCs w:val="20"/>
          <w:color w:val="auto"/>
        </w:rPr>
      </w:pPr>
      <w:r>
        <w:rPr>
          <w:rFonts w:ascii="Arial" w:cs="Arial" w:eastAsia="Arial" w:hAnsi="Arial"/>
          <w:sz w:val="18"/>
          <w:szCs w:val="18"/>
          <w:color w:val="auto"/>
        </w:rPr>
        <w:t>In accordance with Item 402(v) of Regulation S-K, we are providing the following information regarding the relationship between the compensation of our CEO (or Principal Executive Officer (“PEO”)) and other named executive officers (“Non-PEO NEOs”), and certain financial performance measures of the Company for the fiscal years ended September 30, 2025, September 30, 2024, September 30, 2023, September 30, 2022, and September 30, 2021. For further information on the LDCC’s “pay-for-performance” philosophy and how executive compensation aligns with the Company’s performance, refer to the Compensation Discussion and Analysis section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69951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376DB5"/>
                <w:w w:val="97"/>
              </w:rPr>
              <w:t>Value of</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376DB5"/>
                <w:w w:val="97"/>
              </w:rPr>
              <w:t>Value of</w:t>
            </w:r>
          </w:p>
        </w:tc>
        <w:tc>
          <w:tcPr>
            <w:tcW w:w="1040" w:type="dxa"/>
            <w:vAlign w:val="bottom"/>
          </w:tcPr>
          <w:p>
            <w:pPr>
              <w:jc w:val="center"/>
              <w:spacing w:after="0"/>
              <w:rPr>
                <w:sz w:val="20"/>
                <w:szCs w:val="20"/>
                <w:color w:val="auto"/>
              </w:rPr>
            </w:pPr>
            <w:r>
              <w:rPr>
                <w:rFonts w:ascii="Arial" w:cs="Arial" w:eastAsia="Arial" w:hAnsi="Arial"/>
                <w:sz w:val="14"/>
                <w:szCs w:val="14"/>
                <w:color w:val="376DB5"/>
              </w:rPr>
              <w:t>Initial Fixed</w:t>
            </w:r>
          </w:p>
        </w:tc>
        <w:tc>
          <w:tcPr>
            <w:tcW w:w="1040" w:type="dxa"/>
            <w:vAlign w:val="bottom"/>
          </w:tcPr>
          <w:p>
            <w:pPr>
              <w:spacing w:after="0"/>
              <w:rPr>
                <w:sz w:val="14"/>
                <w:szCs w:val="14"/>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376DB5"/>
              </w:rPr>
              <w:t>FICO</w:t>
            </w:r>
          </w:p>
        </w:tc>
      </w:tr>
      <w:tr>
        <w:trPr>
          <w:trHeight w:val="162"/>
        </w:trPr>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376DB5"/>
                <w:w w:val="99"/>
              </w:rPr>
              <w:t>Average</w:t>
            </w:r>
          </w:p>
        </w:tc>
        <w:tc>
          <w:tcPr>
            <w:tcW w:w="1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376DB5"/>
              </w:rPr>
              <w:t>Initial Fixed</w:t>
            </w:r>
          </w:p>
        </w:tc>
        <w:tc>
          <w:tcPr>
            <w:tcW w:w="1040" w:type="dxa"/>
            <w:vAlign w:val="bottom"/>
          </w:tcPr>
          <w:p>
            <w:pPr>
              <w:jc w:val="right"/>
              <w:ind w:right="308"/>
              <w:spacing w:after="0"/>
              <w:rPr>
                <w:sz w:val="20"/>
                <w:szCs w:val="20"/>
                <w:color w:val="auto"/>
              </w:rPr>
            </w:pPr>
            <w:r>
              <w:rPr>
                <w:rFonts w:ascii="Arial" w:cs="Arial" w:eastAsia="Arial" w:hAnsi="Arial"/>
                <w:sz w:val="14"/>
                <w:szCs w:val="14"/>
                <w:color w:val="376DB5"/>
              </w:rPr>
              <w:t>$100</w:t>
            </w:r>
          </w:p>
        </w:tc>
        <w:tc>
          <w:tcPr>
            <w:tcW w:w="1040" w:type="dxa"/>
            <w:vAlign w:val="bottom"/>
          </w:tcPr>
          <w:p>
            <w:pPr>
              <w:spacing w:after="0"/>
              <w:rPr>
                <w:sz w:val="14"/>
                <w:szCs w:val="14"/>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376DB5"/>
              </w:rPr>
              <w:t>TSR</w:t>
            </w:r>
          </w:p>
        </w:tc>
      </w:tr>
      <w:tr>
        <w:trPr>
          <w:trHeight w:val="162"/>
        </w:trPr>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376DB5"/>
              </w:rPr>
              <w:t>Summary</w:t>
            </w:r>
          </w:p>
        </w:tc>
        <w:tc>
          <w:tcPr>
            <w:tcW w:w="1220" w:type="dxa"/>
            <w:vAlign w:val="bottom"/>
          </w:tcPr>
          <w:p>
            <w:pPr>
              <w:jc w:val="center"/>
              <w:spacing w:after="0"/>
              <w:rPr>
                <w:sz w:val="20"/>
                <w:szCs w:val="20"/>
                <w:color w:val="auto"/>
              </w:rPr>
            </w:pPr>
            <w:r>
              <w:rPr>
                <w:rFonts w:ascii="Arial" w:cs="Arial" w:eastAsia="Arial" w:hAnsi="Arial"/>
                <w:sz w:val="14"/>
                <w:szCs w:val="14"/>
                <w:color w:val="376DB5"/>
                <w:w w:val="99"/>
              </w:rPr>
              <w:t>Average</w:t>
            </w:r>
          </w:p>
        </w:tc>
        <w:tc>
          <w:tcPr>
            <w:tcW w:w="1040" w:type="dxa"/>
            <w:vAlign w:val="bottom"/>
          </w:tcPr>
          <w:p>
            <w:pPr>
              <w:jc w:val="right"/>
              <w:ind w:right="308"/>
              <w:spacing w:after="0"/>
              <w:rPr>
                <w:sz w:val="20"/>
                <w:szCs w:val="20"/>
                <w:color w:val="auto"/>
              </w:rPr>
            </w:pPr>
            <w:r>
              <w:rPr>
                <w:rFonts w:ascii="Arial" w:cs="Arial" w:eastAsia="Arial" w:hAnsi="Arial"/>
                <w:sz w:val="14"/>
                <w:szCs w:val="14"/>
                <w:color w:val="376DB5"/>
              </w:rPr>
              <w:t>$100</w:t>
            </w:r>
          </w:p>
        </w:tc>
        <w:tc>
          <w:tcPr>
            <w:tcW w:w="1040" w:type="dxa"/>
            <w:vAlign w:val="bottom"/>
          </w:tcPr>
          <w:p>
            <w:pPr>
              <w:jc w:val="center"/>
              <w:spacing w:after="0"/>
              <w:rPr>
                <w:sz w:val="20"/>
                <w:szCs w:val="20"/>
                <w:color w:val="auto"/>
              </w:rPr>
            </w:pPr>
            <w:r>
              <w:rPr>
                <w:rFonts w:ascii="Arial" w:cs="Arial" w:eastAsia="Arial" w:hAnsi="Arial"/>
                <w:sz w:val="14"/>
                <w:szCs w:val="14"/>
                <w:color w:val="376DB5"/>
              </w:rPr>
              <w:t>Investment</w:t>
            </w:r>
          </w:p>
        </w:tc>
        <w:tc>
          <w:tcPr>
            <w:tcW w:w="10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376DB5"/>
              </w:rPr>
              <w:t>Relative</w:t>
            </w:r>
          </w:p>
        </w:tc>
      </w:tr>
      <w:tr>
        <w:trPr>
          <w:trHeight w:val="162"/>
        </w:trPr>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jc w:val="center"/>
              <w:ind w:left="11"/>
              <w:spacing w:after="0"/>
              <w:rPr>
                <w:sz w:val="20"/>
                <w:szCs w:val="20"/>
                <w:color w:val="auto"/>
              </w:rPr>
            </w:pPr>
            <w:r>
              <w:rPr>
                <w:rFonts w:ascii="Arial" w:cs="Arial" w:eastAsia="Arial" w:hAnsi="Arial"/>
                <w:sz w:val="14"/>
                <w:szCs w:val="14"/>
                <w:color w:val="376DB5"/>
              </w:rPr>
              <w:t>Summary</w:t>
            </w:r>
          </w:p>
        </w:tc>
        <w:tc>
          <w:tcPr>
            <w:tcW w:w="1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376DB5"/>
              </w:rPr>
              <w:t>Compensation</w:t>
            </w:r>
          </w:p>
        </w:tc>
        <w:tc>
          <w:tcPr>
            <w:tcW w:w="1220" w:type="dxa"/>
            <w:vAlign w:val="bottom"/>
          </w:tcPr>
          <w:p>
            <w:pPr>
              <w:jc w:val="center"/>
              <w:spacing w:after="0"/>
              <w:rPr>
                <w:sz w:val="20"/>
                <w:szCs w:val="20"/>
                <w:color w:val="auto"/>
              </w:rPr>
            </w:pPr>
            <w:r>
              <w:rPr>
                <w:rFonts w:ascii="Arial" w:cs="Arial" w:eastAsia="Arial" w:hAnsi="Arial"/>
                <w:sz w:val="14"/>
                <w:szCs w:val="14"/>
                <w:color w:val="376DB5"/>
              </w:rPr>
              <w:t>Compensation</w:t>
            </w:r>
          </w:p>
        </w:tc>
        <w:tc>
          <w:tcPr>
            <w:tcW w:w="1040" w:type="dxa"/>
            <w:vAlign w:val="bottom"/>
          </w:tcPr>
          <w:p>
            <w:pPr>
              <w:jc w:val="center"/>
              <w:spacing w:after="0"/>
              <w:rPr>
                <w:sz w:val="20"/>
                <w:szCs w:val="20"/>
                <w:color w:val="auto"/>
              </w:rPr>
            </w:pPr>
            <w:r>
              <w:rPr>
                <w:rFonts w:ascii="Arial" w:cs="Arial" w:eastAsia="Arial" w:hAnsi="Arial"/>
                <w:sz w:val="14"/>
                <w:szCs w:val="14"/>
                <w:color w:val="376DB5"/>
              </w:rPr>
              <w:t>Investment</w:t>
            </w:r>
          </w:p>
        </w:tc>
        <w:tc>
          <w:tcPr>
            <w:tcW w:w="1040" w:type="dxa"/>
            <w:vAlign w:val="bottom"/>
          </w:tcPr>
          <w:p>
            <w:pPr>
              <w:jc w:val="center"/>
              <w:spacing w:after="0"/>
              <w:rPr>
                <w:sz w:val="20"/>
                <w:szCs w:val="20"/>
                <w:color w:val="auto"/>
              </w:rPr>
            </w:pPr>
            <w:r>
              <w:rPr>
                <w:rFonts w:ascii="Arial" w:cs="Arial" w:eastAsia="Arial" w:hAnsi="Arial"/>
                <w:sz w:val="14"/>
                <w:szCs w:val="14"/>
                <w:color w:val="376DB5"/>
              </w:rPr>
              <w:t>Based on</w:t>
            </w:r>
          </w:p>
        </w:tc>
        <w:tc>
          <w:tcPr>
            <w:tcW w:w="1040" w:type="dxa"/>
            <w:vAlign w:val="bottom"/>
          </w:tcPr>
          <w:p>
            <w:pPr>
              <w:spacing w:after="0"/>
              <w:rPr>
                <w:sz w:val="14"/>
                <w:szCs w:val="14"/>
                <w:color w:val="auto"/>
              </w:rPr>
            </w:pPr>
          </w:p>
        </w:tc>
        <w:tc>
          <w:tcPr>
            <w:tcW w:w="820" w:type="dxa"/>
            <w:vAlign w:val="bottom"/>
          </w:tcPr>
          <w:p>
            <w:pPr>
              <w:jc w:val="center"/>
              <w:ind w:left="8"/>
              <w:spacing w:after="0" w:line="162" w:lineRule="exact"/>
              <w:rPr>
                <w:sz w:val="20"/>
                <w:szCs w:val="20"/>
                <w:color w:val="auto"/>
              </w:rPr>
            </w:pPr>
            <w:r>
              <w:rPr>
                <w:rFonts w:ascii="Arial" w:cs="Arial" w:eastAsia="Arial" w:hAnsi="Arial"/>
                <w:sz w:val="14"/>
                <w:szCs w:val="14"/>
                <w:color w:val="376DB5"/>
                <w:w w:val="93"/>
              </w:rPr>
              <w:t>to 55</w:t>
            </w:r>
            <w:r>
              <w:rPr>
                <w:rFonts w:ascii="Arial" w:cs="Arial" w:eastAsia="Arial" w:hAnsi="Arial"/>
                <w:sz w:val="17"/>
                <w:szCs w:val="17"/>
                <w:color w:val="376DB5"/>
                <w:w w:val="93"/>
                <w:vertAlign w:val="superscript"/>
              </w:rPr>
              <w:t>th</w:t>
            </w:r>
          </w:p>
        </w:tc>
      </w:tr>
      <w:tr>
        <w:trPr>
          <w:trHeight w:val="162"/>
        </w:trPr>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jc w:val="right"/>
              <w:ind w:right="51"/>
              <w:spacing w:after="0"/>
              <w:rPr>
                <w:sz w:val="20"/>
                <w:szCs w:val="20"/>
                <w:color w:val="auto"/>
              </w:rPr>
            </w:pPr>
            <w:r>
              <w:rPr>
                <w:rFonts w:ascii="Arial" w:cs="Arial" w:eastAsia="Arial" w:hAnsi="Arial"/>
                <w:sz w:val="14"/>
                <w:szCs w:val="14"/>
                <w:color w:val="376DB5"/>
              </w:rPr>
              <w:t>Compensation</w:t>
            </w:r>
          </w:p>
        </w:tc>
        <w:tc>
          <w:tcPr>
            <w:tcW w:w="1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376DB5"/>
                <w:w w:val="97"/>
              </w:rPr>
              <w:t>Table Total</w:t>
            </w:r>
          </w:p>
        </w:tc>
        <w:tc>
          <w:tcPr>
            <w:tcW w:w="1220" w:type="dxa"/>
            <w:vAlign w:val="bottom"/>
          </w:tcPr>
          <w:p>
            <w:pPr>
              <w:jc w:val="center"/>
              <w:spacing w:after="0"/>
              <w:rPr>
                <w:sz w:val="20"/>
                <w:szCs w:val="20"/>
                <w:color w:val="auto"/>
              </w:rPr>
            </w:pPr>
            <w:r>
              <w:rPr>
                <w:rFonts w:ascii="Arial" w:cs="Arial" w:eastAsia="Arial" w:hAnsi="Arial"/>
                <w:sz w:val="14"/>
                <w:szCs w:val="14"/>
                <w:color w:val="376DB5"/>
              </w:rPr>
              <w:t>Actually</w:t>
            </w:r>
          </w:p>
        </w:tc>
        <w:tc>
          <w:tcPr>
            <w:tcW w:w="1040" w:type="dxa"/>
            <w:vAlign w:val="bottom"/>
          </w:tcPr>
          <w:p>
            <w:pPr>
              <w:jc w:val="center"/>
              <w:spacing w:after="0"/>
              <w:rPr>
                <w:sz w:val="20"/>
                <w:szCs w:val="20"/>
                <w:color w:val="auto"/>
              </w:rPr>
            </w:pPr>
            <w:r>
              <w:rPr>
                <w:rFonts w:ascii="Arial" w:cs="Arial" w:eastAsia="Arial" w:hAnsi="Arial"/>
                <w:sz w:val="14"/>
                <w:szCs w:val="14"/>
                <w:color w:val="376DB5"/>
              </w:rPr>
              <w:t>Based on</w:t>
            </w:r>
          </w:p>
        </w:tc>
        <w:tc>
          <w:tcPr>
            <w:tcW w:w="1040" w:type="dxa"/>
            <w:vAlign w:val="bottom"/>
          </w:tcPr>
          <w:p>
            <w:pPr>
              <w:jc w:val="center"/>
              <w:spacing w:after="0"/>
              <w:rPr>
                <w:sz w:val="20"/>
                <w:szCs w:val="20"/>
                <w:color w:val="auto"/>
              </w:rPr>
            </w:pPr>
            <w:r>
              <w:rPr>
                <w:rFonts w:ascii="Arial" w:cs="Arial" w:eastAsia="Arial" w:hAnsi="Arial"/>
                <w:sz w:val="14"/>
                <w:szCs w:val="14"/>
                <w:color w:val="376DB5"/>
              </w:rPr>
              <w:t>Peer Group</w:t>
            </w:r>
          </w:p>
        </w:tc>
        <w:tc>
          <w:tcPr>
            <w:tcW w:w="10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376DB5"/>
              </w:rPr>
              <w:t>Percentile</w:t>
            </w:r>
          </w:p>
        </w:tc>
      </w:tr>
      <w:tr>
        <w:trPr>
          <w:trHeight w:val="162"/>
        </w:trPr>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376DB5"/>
                <w:w w:val="97"/>
              </w:rPr>
              <w:t>Table Total</w:t>
            </w:r>
          </w:p>
        </w:tc>
        <w:tc>
          <w:tcPr>
            <w:tcW w:w="1220" w:type="dxa"/>
            <w:vAlign w:val="bottom"/>
          </w:tcPr>
          <w:p>
            <w:pPr>
              <w:jc w:val="center"/>
              <w:spacing w:after="0"/>
              <w:rPr>
                <w:sz w:val="20"/>
                <w:szCs w:val="20"/>
                <w:color w:val="auto"/>
              </w:rPr>
            </w:pPr>
            <w:r>
              <w:rPr>
                <w:rFonts w:ascii="Arial" w:cs="Arial" w:eastAsia="Arial" w:hAnsi="Arial"/>
                <w:sz w:val="14"/>
                <w:szCs w:val="14"/>
                <w:color w:val="376DB5"/>
              </w:rPr>
              <w:t>Compensation</w:t>
            </w:r>
          </w:p>
        </w:tc>
        <w:tc>
          <w:tcPr>
            <w:tcW w:w="1160" w:type="dxa"/>
            <w:vAlign w:val="bottom"/>
          </w:tcPr>
          <w:p>
            <w:pPr>
              <w:jc w:val="center"/>
              <w:spacing w:after="0"/>
              <w:rPr>
                <w:sz w:val="20"/>
                <w:szCs w:val="20"/>
                <w:color w:val="auto"/>
              </w:rPr>
            </w:pPr>
            <w:r>
              <w:rPr>
                <w:rFonts w:ascii="Arial" w:cs="Arial" w:eastAsia="Arial" w:hAnsi="Arial"/>
                <w:sz w:val="14"/>
                <w:szCs w:val="14"/>
                <w:color w:val="376DB5"/>
                <w:w w:val="97"/>
              </w:rPr>
              <w:t>for</w:t>
            </w:r>
          </w:p>
        </w:tc>
        <w:tc>
          <w:tcPr>
            <w:tcW w:w="1220" w:type="dxa"/>
            <w:vAlign w:val="bottom"/>
          </w:tcPr>
          <w:p>
            <w:pPr>
              <w:jc w:val="center"/>
              <w:spacing w:after="0"/>
              <w:rPr>
                <w:sz w:val="20"/>
                <w:szCs w:val="20"/>
                <w:color w:val="auto"/>
              </w:rPr>
            </w:pPr>
            <w:r>
              <w:rPr>
                <w:rFonts w:ascii="Arial" w:cs="Arial" w:eastAsia="Arial" w:hAnsi="Arial"/>
                <w:sz w:val="14"/>
                <w:szCs w:val="14"/>
                <w:color w:val="376DB5"/>
                <w:w w:val="99"/>
              </w:rPr>
              <w:t>Paid</w:t>
            </w:r>
          </w:p>
        </w:tc>
        <w:tc>
          <w:tcPr>
            <w:tcW w:w="1040" w:type="dxa"/>
            <w:vAlign w:val="bottom"/>
          </w:tcPr>
          <w:p>
            <w:pPr>
              <w:jc w:val="center"/>
              <w:spacing w:after="0"/>
              <w:rPr>
                <w:sz w:val="20"/>
                <w:szCs w:val="20"/>
                <w:color w:val="auto"/>
              </w:rPr>
            </w:pPr>
            <w:r>
              <w:rPr>
                <w:rFonts w:ascii="Arial" w:cs="Arial" w:eastAsia="Arial" w:hAnsi="Arial"/>
                <w:sz w:val="14"/>
                <w:szCs w:val="14"/>
                <w:color w:val="376DB5"/>
                <w:w w:val="96"/>
              </w:rPr>
              <w:t>Total</w:t>
            </w:r>
          </w:p>
        </w:tc>
        <w:tc>
          <w:tcPr>
            <w:tcW w:w="1040" w:type="dxa"/>
            <w:vAlign w:val="bottom"/>
          </w:tcPr>
          <w:p>
            <w:pPr>
              <w:jc w:val="center"/>
              <w:spacing w:after="0"/>
              <w:rPr>
                <w:sz w:val="20"/>
                <w:szCs w:val="20"/>
                <w:color w:val="auto"/>
              </w:rPr>
            </w:pPr>
            <w:r>
              <w:rPr>
                <w:rFonts w:ascii="Arial" w:cs="Arial" w:eastAsia="Arial" w:hAnsi="Arial"/>
                <w:sz w:val="14"/>
                <w:szCs w:val="14"/>
                <w:color w:val="376DB5"/>
                <w:w w:val="96"/>
              </w:rPr>
              <w:t>Total</w:t>
            </w:r>
          </w:p>
        </w:tc>
        <w:tc>
          <w:tcPr>
            <w:tcW w:w="10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376DB5"/>
              </w:rPr>
              <w:t>of</w:t>
            </w:r>
          </w:p>
        </w:tc>
      </w:tr>
      <w:tr>
        <w:trPr>
          <w:trHeight w:val="162"/>
        </w:trPr>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376DB5"/>
                <w:w w:val="97"/>
              </w:rPr>
              <w:t>for</w:t>
            </w:r>
          </w:p>
        </w:tc>
        <w:tc>
          <w:tcPr>
            <w:tcW w:w="1220" w:type="dxa"/>
            <w:vAlign w:val="bottom"/>
          </w:tcPr>
          <w:p>
            <w:pPr>
              <w:jc w:val="center"/>
              <w:spacing w:after="0"/>
              <w:rPr>
                <w:sz w:val="20"/>
                <w:szCs w:val="20"/>
                <w:color w:val="auto"/>
              </w:rPr>
            </w:pPr>
            <w:r>
              <w:rPr>
                <w:rFonts w:ascii="Arial" w:cs="Arial" w:eastAsia="Arial" w:hAnsi="Arial"/>
                <w:sz w:val="14"/>
                <w:szCs w:val="14"/>
                <w:color w:val="376DB5"/>
              </w:rPr>
              <w:t>Actually Paid</w:t>
            </w:r>
          </w:p>
        </w:tc>
        <w:tc>
          <w:tcPr>
            <w:tcW w:w="1160" w:type="dxa"/>
            <w:vAlign w:val="bottom"/>
          </w:tcPr>
          <w:p>
            <w:pPr>
              <w:jc w:val="center"/>
              <w:spacing w:after="0"/>
              <w:rPr>
                <w:sz w:val="20"/>
                <w:szCs w:val="20"/>
                <w:color w:val="auto"/>
              </w:rPr>
            </w:pPr>
            <w:r>
              <w:rPr>
                <w:rFonts w:ascii="Arial" w:cs="Arial" w:eastAsia="Arial" w:hAnsi="Arial"/>
                <w:sz w:val="14"/>
                <w:szCs w:val="14"/>
                <w:color w:val="376DB5"/>
              </w:rPr>
              <w:t>Non-PEO</w:t>
            </w:r>
          </w:p>
        </w:tc>
        <w:tc>
          <w:tcPr>
            <w:tcW w:w="1220" w:type="dxa"/>
            <w:vAlign w:val="bottom"/>
          </w:tcPr>
          <w:p>
            <w:pPr>
              <w:jc w:val="center"/>
              <w:spacing w:after="0"/>
              <w:rPr>
                <w:sz w:val="20"/>
                <w:szCs w:val="20"/>
                <w:color w:val="auto"/>
              </w:rPr>
            </w:pPr>
            <w:r>
              <w:rPr>
                <w:rFonts w:ascii="Arial" w:cs="Arial" w:eastAsia="Arial" w:hAnsi="Arial"/>
                <w:sz w:val="14"/>
                <w:szCs w:val="14"/>
                <w:color w:val="376DB5"/>
              </w:rPr>
              <w:t>to Non-PEO</w:t>
            </w:r>
          </w:p>
        </w:tc>
        <w:tc>
          <w:tcPr>
            <w:tcW w:w="1040" w:type="dxa"/>
            <w:vAlign w:val="bottom"/>
          </w:tcPr>
          <w:p>
            <w:pPr>
              <w:jc w:val="center"/>
              <w:spacing w:after="0"/>
              <w:rPr>
                <w:sz w:val="20"/>
                <w:szCs w:val="20"/>
                <w:color w:val="auto"/>
              </w:rPr>
            </w:pPr>
            <w:r>
              <w:rPr>
                <w:rFonts w:ascii="Arial" w:cs="Arial" w:eastAsia="Arial" w:hAnsi="Arial"/>
                <w:sz w:val="14"/>
                <w:szCs w:val="14"/>
                <w:color w:val="376DB5"/>
              </w:rPr>
              <w:t>Shareholder</w:t>
            </w:r>
          </w:p>
        </w:tc>
        <w:tc>
          <w:tcPr>
            <w:tcW w:w="1040" w:type="dxa"/>
            <w:vAlign w:val="bottom"/>
          </w:tcPr>
          <w:p>
            <w:pPr>
              <w:jc w:val="center"/>
              <w:spacing w:after="0"/>
              <w:rPr>
                <w:sz w:val="20"/>
                <w:szCs w:val="20"/>
                <w:color w:val="auto"/>
              </w:rPr>
            </w:pPr>
            <w:r>
              <w:rPr>
                <w:rFonts w:ascii="Arial" w:cs="Arial" w:eastAsia="Arial" w:hAnsi="Arial"/>
                <w:sz w:val="14"/>
                <w:szCs w:val="14"/>
                <w:color w:val="376DB5"/>
              </w:rPr>
              <w:t>Shareholder</w:t>
            </w:r>
          </w:p>
        </w:tc>
        <w:tc>
          <w:tcPr>
            <w:tcW w:w="1040" w:type="dxa"/>
            <w:vAlign w:val="bottom"/>
          </w:tcPr>
          <w:p>
            <w:pPr>
              <w:spacing w:after="0"/>
              <w:rPr>
                <w:sz w:val="14"/>
                <w:szCs w:val="14"/>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376DB5"/>
              </w:rPr>
              <w:t>S&amp;P 500</w:t>
            </w:r>
          </w:p>
        </w:tc>
      </w:tr>
      <w:tr>
        <w:trPr>
          <w:trHeight w:val="162"/>
        </w:trPr>
        <w:tc>
          <w:tcPr>
            <w:tcW w:w="2260" w:type="dxa"/>
            <w:vAlign w:val="bottom"/>
            <w:gridSpan w:val="2"/>
          </w:tcPr>
          <w:p>
            <w:pPr>
              <w:spacing w:after="0"/>
              <w:rPr>
                <w:sz w:val="20"/>
                <w:szCs w:val="20"/>
                <w:color w:val="auto"/>
              </w:rPr>
            </w:pPr>
            <w:r>
              <w:rPr>
                <w:rFonts w:ascii="Arial" w:cs="Arial" w:eastAsia="Arial" w:hAnsi="Arial"/>
                <w:sz w:val="14"/>
                <w:szCs w:val="14"/>
                <w:color w:val="376DB5"/>
              </w:rPr>
              <w:t>Fiscal</w:t>
            </w:r>
          </w:p>
        </w:tc>
        <w:tc>
          <w:tcPr>
            <w:tcW w:w="1220" w:type="dxa"/>
            <w:vAlign w:val="bottom"/>
          </w:tcPr>
          <w:p>
            <w:pPr>
              <w:jc w:val="center"/>
              <w:spacing w:after="0" w:line="162" w:lineRule="exact"/>
              <w:rPr>
                <w:sz w:val="20"/>
                <w:szCs w:val="20"/>
                <w:color w:val="auto"/>
              </w:rPr>
            </w:pPr>
            <w:r>
              <w:rPr>
                <w:rFonts w:ascii="Arial" w:cs="Arial" w:eastAsia="Arial" w:hAnsi="Arial"/>
                <w:sz w:val="18"/>
                <w:szCs w:val="18"/>
                <w:color w:val="376DB5"/>
                <w:vertAlign w:val="subscript"/>
              </w:rPr>
              <w:t>PEO</w:t>
            </w:r>
            <w:r>
              <w:rPr>
                <w:rFonts w:ascii="Arial" w:cs="Arial" w:eastAsia="Arial" w:hAnsi="Arial"/>
                <w:sz w:val="7"/>
                <w:szCs w:val="7"/>
                <w:color w:val="376DB5"/>
              </w:rPr>
              <w:t>(1&amp;2)</w:t>
            </w:r>
          </w:p>
        </w:tc>
        <w:tc>
          <w:tcPr>
            <w:tcW w:w="1220" w:type="dxa"/>
            <w:vAlign w:val="bottom"/>
          </w:tcPr>
          <w:p>
            <w:pPr>
              <w:jc w:val="center"/>
              <w:spacing w:after="0" w:line="162" w:lineRule="exact"/>
              <w:rPr>
                <w:sz w:val="20"/>
                <w:szCs w:val="20"/>
                <w:color w:val="auto"/>
              </w:rPr>
            </w:pPr>
            <w:r>
              <w:rPr>
                <w:rFonts w:ascii="Arial" w:cs="Arial" w:eastAsia="Arial" w:hAnsi="Arial"/>
                <w:sz w:val="14"/>
                <w:szCs w:val="14"/>
                <w:color w:val="376DB5"/>
                <w:w w:val="93"/>
              </w:rPr>
              <w:t>to PEO</w:t>
            </w:r>
            <w:r>
              <w:rPr>
                <w:rFonts w:ascii="Arial" w:cs="Arial" w:eastAsia="Arial" w:hAnsi="Arial"/>
                <w:sz w:val="17"/>
                <w:szCs w:val="17"/>
                <w:color w:val="376DB5"/>
                <w:w w:val="93"/>
                <w:vertAlign w:val="superscript"/>
              </w:rPr>
              <w:t>(1&amp;3)</w:t>
            </w:r>
          </w:p>
        </w:tc>
        <w:tc>
          <w:tcPr>
            <w:tcW w:w="1160" w:type="dxa"/>
            <w:vAlign w:val="bottom"/>
          </w:tcPr>
          <w:p>
            <w:pPr>
              <w:jc w:val="center"/>
              <w:spacing w:after="0" w:line="162" w:lineRule="exact"/>
              <w:rPr>
                <w:sz w:val="20"/>
                <w:szCs w:val="20"/>
                <w:color w:val="auto"/>
              </w:rPr>
            </w:pPr>
            <w:r>
              <w:rPr>
                <w:rFonts w:ascii="Arial" w:cs="Arial" w:eastAsia="Arial" w:hAnsi="Arial"/>
                <w:sz w:val="18"/>
                <w:szCs w:val="18"/>
                <w:color w:val="376DB5"/>
                <w:vertAlign w:val="subscript"/>
              </w:rPr>
              <w:t>NEOs</w:t>
            </w:r>
            <w:r>
              <w:rPr>
                <w:rFonts w:ascii="Arial" w:cs="Arial" w:eastAsia="Arial" w:hAnsi="Arial"/>
                <w:sz w:val="7"/>
                <w:szCs w:val="7"/>
                <w:color w:val="376DB5"/>
              </w:rPr>
              <w:t>(1&amp;2)</w:t>
            </w:r>
          </w:p>
        </w:tc>
        <w:tc>
          <w:tcPr>
            <w:tcW w:w="1220" w:type="dxa"/>
            <w:vAlign w:val="bottom"/>
          </w:tcPr>
          <w:p>
            <w:pPr>
              <w:jc w:val="center"/>
              <w:spacing w:after="0"/>
              <w:rPr>
                <w:sz w:val="20"/>
                <w:szCs w:val="20"/>
                <w:color w:val="auto"/>
              </w:rPr>
            </w:pPr>
            <w:r>
              <w:rPr>
                <w:rFonts w:ascii="Arial" w:cs="Arial" w:eastAsia="Arial" w:hAnsi="Arial"/>
                <w:sz w:val="14"/>
                <w:szCs w:val="14"/>
                <w:color w:val="376DB5"/>
              </w:rPr>
              <w:t>NEOs</w:t>
            </w:r>
          </w:p>
        </w:tc>
        <w:tc>
          <w:tcPr>
            <w:tcW w:w="1040" w:type="dxa"/>
            <w:vAlign w:val="bottom"/>
          </w:tcPr>
          <w:p>
            <w:pPr>
              <w:jc w:val="center"/>
              <w:spacing w:after="0"/>
              <w:rPr>
                <w:sz w:val="20"/>
                <w:szCs w:val="20"/>
                <w:color w:val="auto"/>
              </w:rPr>
            </w:pPr>
            <w:r>
              <w:rPr>
                <w:rFonts w:ascii="Arial" w:cs="Arial" w:eastAsia="Arial" w:hAnsi="Arial"/>
                <w:sz w:val="14"/>
                <w:szCs w:val="14"/>
                <w:color w:val="376DB5"/>
                <w:w w:val="99"/>
              </w:rPr>
              <w:t>Return</w:t>
            </w:r>
          </w:p>
        </w:tc>
        <w:tc>
          <w:tcPr>
            <w:tcW w:w="1040" w:type="dxa"/>
            <w:vAlign w:val="bottom"/>
          </w:tcPr>
          <w:p>
            <w:pPr>
              <w:jc w:val="center"/>
              <w:spacing w:after="0"/>
              <w:rPr>
                <w:sz w:val="20"/>
                <w:szCs w:val="20"/>
                <w:color w:val="auto"/>
              </w:rPr>
            </w:pPr>
            <w:r>
              <w:rPr>
                <w:rFonts w:ascii="Arial" w:cs="Arial" w:eastAsia="Arial" w:hAnsi="Arial"/>
                <w:sz w:val="14"/>
                <w:szCs w:val="14"/>
                <w:color w:val="376DB5"/>
                <w:w w:val="99"/>
              </w:rPr>
              <w:t>Return</w:t>
            </w:r>
          </w:p>
        </w:tc>
        <w:tc>
          <w:tcPr>
            <w:tcW w:w="1040" w:type="dxa"/>
            <w:vAlign w:val="bottom"/>
          </w:tcPr>
          <w:p>
            <w:pPr>
              <w:jc w:val="right"/>
              <w:ind w:right="88"/>
              <w:spacing w:after="0"/>
              <w:rPr>
                <w:sz w:val="20"/>
                <w:szCs w:val="20"/>
                <w:color w:val="auto"/>
              </w:rPr>
            </w:pPr>
            <w:r>
              <w:rPr>
                <w:rFonts w:ascii="Arial" w:cs="Arial" w:eastAsia="Arial" w:hAnsi="Arial"/>
                <w:sz w:val="14"/>
                <w:szCs w:val="14"/>
                <w:color w:val="376DB5"/>
              </w:rPr>
              <w:t>Net Income</w:t>
            </w:r>
          </w:p>
        </w:tc>
        <w:tc>
          <w:tcPr>
            <w:tcW w:w="820" w:type="dxa"/>
            <w:vAlign w:val="bottom"/>
          </w:tcPr>
          <w:p>
            <w:pPr>
              <w:jc w:val="center"/>
              <w:ind w:left="8"/>
              <w:spacing w:after="0"/>
              <w:rPr>
                <w:sz w:val="20"/>
                <w:szCs w:val="20"/>
                <w:color w:val="auto"/>
              </w:rPr>
            </w:pPr>
            <w:r>
              <w:rPr>
                <w:rFonts w:ascii="Arial" w:cs="Arial" w:eastAsia="Arial" w:hAnsi="Arial"/>
                <w:sz w:val="14"/>
                <w:szCs w:val="14"/>
                <w:color w:val="376DB5"/>
                <w:w w:val="99"/>
              </w:rPr>
              <w:t>Index</w:t>
            </w:r>
          </w:p>
        </w:tc>
      </w:tr>
      <w:tr>
        <w:trPr>
          <w:trHeight w:val="171"/>
        </w:trPr>
        <w:tc>
          <w:tcPr>
            <w:tcW w:w="2260" w:type="dxa"/>
            <w:vAlign w:val="bottom"/>
            <w:tcBorders>
              <w:bottom w:val="single" w:sz="8" w:color="376DB5"/>
            </w:tcBorders>
            <w:gridSpan w:val="2"/>
          </w:tcPr>
          <w:p>
            <w:pPr>
              <w:spacing w:after="0"/>
              <w:rPr>
                <w:sz w:val="20"/>
                <w:szCs w:val="20"/>
                <w:color w:val="auto"/>
              </w:rPr>
            </w:pPr>
            <w:r>
              <w:rPr>
                <w:rFonts w:ascii="Arial" w:cs="Arial" w:eastAsia="Arial" w:hAnsi="Arial"/>
                <w:sz w:val="14"/>
                <w:szCs w:val="14"/>
                <w:color w:val="376DB5"/>
              </w:rPr>
              <w:t>Year</w:t>
            </w:r>
          </w:p>
        </w:tc>
        <w:tc>
          <w:tcPr>
            <w:tcW w:w="1220" w:type="dxa"/>
            <w:vAlign w:val="bottom"/>
            <w:tcBorders>
              <w:bottom w:val="single" w:sz="8" w:color="376DB5"/>
            </w:tcBorders>
          </w:tcPr>
          <w:p>
            <w:pPr>
              <w:jc w:val="center"/>
              <w:ind w:left="11"/>
              <w:spacing w:after="0"/>
              <w:rPr>
                <w:sz w:val="20"/>
                <w:szCs w:val="20"/>
                <w:color w:val="auto"/>
              </w:rPr>
            </w:pPr>
            <w:r>
              <w:rPr>
                <w:rFonts w:ascii="Arial" w:cs="Arial" w:eastAsia="Arial" w:hAnsi="Arial"/>
                <w:sz w:val="14"/>
                <w:szCs w:val="14"/>
                <w:color w:val="376DB5"/>
              </w:rPr>
              <w:t>($)</w:t>
            </w:r>
          </w:p>
        </w:tc>
        <w:tc>
          <w:tcPr>
            <w:tcW w:w="122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376DB5"/>
              </w:rPr>
              <w:t>($)</w:t>
            </w:r>
          </w:p>
        </w:tc>
        <w:tc>
          <w:tcPr>
            <w:tcW w:w="1160" w:type="dxa"/>
            <w:vAlign w:val="bottom"/>
            <w:tcBorders>
              <w:bottom w:val="single" w:sz="8" w:color="376DB5"/>
            </w:tcBorders>
          </w:tcPr>
          <w:p>
            <w:pPr>
              <w:jc w:val="center"/>
              <w:spacing w:after="0"/>
              <w:rPr>
                <w:sz w:val="20"/>
                <w:szCs w:val="20"/>
                <w:color w:val="auto"/>
              </w:rPr>
            </w:pPr>
            <w:r>
              <w:rPr>
                <w:rFonts w:ascii="Arial" w:cs="Arial" w:eastAsia="Arial" w:hAnsi="Arial"/>
                <w:sz w:val="14"/>
                <w:szCs w:val="14"/>
                <w:color w:val="376DB5"/>
                <w:w w:val="93"/>
              </w:rPr>
              <w:t>($)</w:t>
            </w:r>
          </w:p>
        </w:tc>
        <w:tc>
          <w:tcPr>
            <w:tcW w:w="1220" w:type="dxa"/>
            <w:vAlign w:val="bottom"/>
            <w:tcBorders>
              <w:bottom w:val="single" w:sz="8" w:color="376DB5"/>
            </w:tcBorders>
          </w:tcPr>
          <w:p>
            <w:pPr>
              <w:jc w:val="center"/>
              <w:spacing w:after="0" w:line="172" w:lineRule="exact"/>
              <w:rPr>
                <w:sz w:val="20"/>
                <w:szCs w:val="20"/>
                <w:color w:val="auto"/>
              </w:rPr>
            </w:pPr>
            <w:r>
              <w:rPr>
                <w:rFonts w:ascii="Arial" w:cs="Arial" w:eastAsia="Arial" w:hAnsi="Arial"/>
                <w:sz w:val="19"/>
                <w:szCs w:val="19"/>
                <w:color w:val="376DB5"/>
                <w:vertAlign w:val="subscript"/>
              </w:rPr>
              <w:t>($)</w:t>
            </w:r>
            <w:r>
              <w:rPr>
                <w:rFonts w:ascii="Arial" w:cs="Arial" w:eastAsia="Arial" w:hAnsi="Arial"/>
                <w:sz w:val="7"/>
                <w:szCs w:val="7"/>
                <w:color w:val="376DB5"/>
              </w:rPr>
              <w:t>(1&amp;3)</w:t>
            </w:r>
          </w:p>
        </w:tc>
        <w:tc>
          <w:tcPr>
            <w:tcW w:w="1040" w:type="dxa"/>
            <w:vAlign w:val="bottom"/>
            <w:tcBorders>
              <w:bottom w:val="single" w:sz="8" w:color="376DB5"/>
            </w:tcBorders>
          </w:tcPr>
          <w:p>
            <w:pPr>
              <w:jc w:val="center"/>
              <w:ind w:right="288"/>
              <w:spacing w:after="0" w:line="172" w:lineRule="exact"/>
              <w:rPr>
                <w:sz w:val="20"/>
                <w:szCs w:val="20"/>
                <w:color w:val="auto"/>
              </w:rPr>
            </w:pPr>
            <w:r>
              <w:rPr>
                <w:rFonts w:ascii="Arial" w:cs="Arial" w:eastAsia="Arial" w:hAnsi="Arial"/>
                <w:sz w:val="14"/>
                <w:szCs w:val="14"/>
                <w:color w:val="376DB5"/>
              </w:rPr>
              <w:t>($)</w:t>
            </w:r>
            <w:r>
              <w:rPr>
                <w:rFonts w:ascii="Arial" w:cs="Arial" w:eastAsia="Arial" w:hAnsi="Arial"/>
                <w:sz w:val="17"/>
                <w:szCs w:val="17"/>
                <w:color w:val="376DB5"/>
                <w:vertAlign w:val="superscript"/>
              </w:rPr>
              <w:t>(4)</w:t>
            </w:r>
          </w:p>
        </w:tc>
        <w:tc>
          <w:tcPr>
            <w:tcW w:w="1040" w:type="dxa"/>
            <w:vAlign w:val="bottom"/>
            <w:tcBorders>
              <w:bottom w:val="single" w:sz="8" w:color="376DB5"/>
            </w:tcBorders>
          </w:tcPr>
          <w:p>
            <w:pPr>
              <w:jc w:val="center"/>
              <w:ind w:right="288"/>
              <w:spacing w:after="0" w:line="172" w:lineRule="exact"/>
              <w:rPr>
                <w:sz w:val="20"/>
                <w:szCs w:val="20"/>
                <w:color w:val="auto"/>
              </w:rPr>
            </w:pPr>
            <w:r>
              <w:rPr>
                <w:rFonts w:ascii="Arial" w:cs="Arial" w:eastAsia="Arial" w:hAnsi="Arial"/>
                <w:sz w:val="14"/>
                <w:szCs w:val="14"/>
                <w:color w:val="376DB5"/>
              </w:rPr>
              <w:t>($)</w:t>
            </w:r>
            <w:r>
              <w:rPr>
                <w:rFonts w:ascii="Arial" w:cs="Arial" w:eastAsia="Arial" w:hAnsi="Arial"/>
                <w:sz w:val="17"/>
                <w:szCs w:val="17"/>
                <w:color w:val="376DB5"/>
                <w:vertAlign w:val="superscript"/>
              </w:rPr>
              <w:t>(4)</w:t>
            </w:r>
          </w:p>
        </w:tc>
        <w:tc>
          <w:tcPr>
            <w:tcW w:w="1040" w:type="dxa"/>
            <w:vAlign w:val="bottom"/>
            <w:tcBorders>
              <w:bottom w:val="single" w:sz="8" w:color="376DB5"/>
            </w:tcBorders>
          </w:tcPr>
          <w:p>
            <w:pPr>
              <w:jc w:val="right"/>
              <w:ind w:right="48"/>
              <w:spacing w:after="0" w:line="172" w:lineRule="exact"/>
              <w:rPr>
                <w:sz w:val="20"/>
                <w:szCs w:val="20"/>
                <w:color w:val="auto"/>
              </w:rPr>
            </w:pPr>
            <w:r>
              <w:rPr>
                <w:rFonts w:ascii="Arial" w:cs="Arial" w:eastAsia="Arial" w:hAnsi="Arial"/>
                <w:sz w:val="14"/>
                <w:szCs w:val="14"/>
                <w:color w:val="376DB5"/>
              </w:rPr>
              <w:t>($ millions)</w:t>
            </w:r>
            <w:r>
              <w:rPr>
                <w:rFonts w:ascii="Arial" w:cs="Arial" w:eastAsia="Arial" w:hAnsi="Arial"/>
                <w:sz w:val="17"/>
                <w:szCs w:val="17"/>
                <w:color w:val="376DB5"/>
                <w:vertAlign w:val="superscript"/>
              </w:rPr>
              <w:t>(5)</w:t>
            </w:r>
          </w:p>
        </w:tc>
        <w:tc>
          <w:tcPr>
            <w:tcW w:w="820" w:type="dxa"/>
            <w:vAlign w:val="bottom"/>
            <w:tcBorders>
              <w:bottom w:val="single" w:sz="8" w:color="376DB5"/>
            </w:tcBorders>
          </w:tcPr>
          <w:p>
            <w:pPr>
              <w:jc w:val="center"/>
              <w:spacing w:after="0" w:line="172" w:lineRule="exact"/>
              <w:rPr>
                <w:sz w:val="20"/>
                <w:szCs w:val="20"/>
                <w:color w:val="auto"/>
              </w:rPr>
            </w:pPr>
            <w:r>
              <w:rPr>
                <w:rFonts w:ascii="Arial" w:cs="Arial" w:eastAsia="Arial" w:hAnsi="Arial"/>
                <w:sz w:val="14"/>
                <w:szCs w:val="14"/>
                <w:color w:val="376DB5"/>
                <w:w w:val="95"/>
              </w:rPr>
              <w:t>TSR</w:t>
            </w:r>
            <w:r>
              <w:rPr>
                <w:rFonts w:ascii="Arial" w:cs="Arial" w:eastAsia="Arial" w:hAnsi="Arial"/>
                <w:sz w:val="17"/>
                <w:szCs w:val="17"/>
                <w:color w:val="376DB5"/>
                <w:w w:val="95"/>
                <w:vertAlign w:val="superscript"/>
              </w:rPr>
              <w:t>(6)</w:t>
            </w:r>
          </w:p>
        </w:tc>
      </w:tr>
      <w:tr>
        <w:trPr>
          <w:trHeight w:val="228"/>
        </w:trPr>
        <w:tc>
          <w:tcPr>
            <w:tcW w:w="1420" w:type="dxa"/>
            <w:vAlign w:val="bottom"/>
          </w:tcPr>
          <w:p>
            <w:pPr>
              <w:spacing w:after="0"/>
              <w:rPr>
                <w:sz w:val="20"/>
                <w:szCs w:val="20"/>
                <w:color w:val="auto"/>
              </w:rPr>
            </w:pPr>
            <w:r>
              <w:rPr>
                <w:rFonts w:ascii="Arial" w:cs="Arial" w:eastAsia="Arial" w:hAnsi="Arial"/>
                <w:sz w:val="14"/>
                <w:szCs w:val="14"/>
                <w:color w:val="auto"/>
              </w:rPr>
              <w:t>2025</w:t>
            </w:r>
          </w:p>
        </w:tc>
        <w:tc>
          <w:tcPr>
            <w:tcW w:w="84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36,045,267</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(38,933,283)</w:t>
            </w: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7,222,497</w:t>
            </w:r>
          </w:p>
        </w:tc>
        <w:tc>
          <w:tcPr>
            <w:tcW w:w="1220" w:type="dxa"/>
            <w:vAlign w:val="bottom"/>
          </w:tcPr>
          <w:p>
            <w:pPr>
              <w:jc w:val="right"/>
              <w:ind w:right="51"/>
              <w:spacing w:after="0"/>
              <w:rPr>
                <w:sz w:val="20"/>
                <w:szCs w:val="20"/>
                <w:color w:val="auto"/>
              </w:rPr>
            </w:pPr>
            <w:r>
              <w:rPr>
                <w:rFonts w:ascii="Arial" w:cs="Arial" w:eastAsia="Arial" w:hAnsi="Arial"/>
                <w:sz w:val="14"/>
                <w:szCs w:val="14"/>
                <w:color w:val="auto"/>
              </w:rPr>
              <w:t>(3,502,143)</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351.82</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162.20</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651.9</w:t>
            </w:r>
          </w:p>
        </w:tc>
        <w:tc>
          <w:tcPr>
            <w:tcW w:w="820" w:type="dxa"/>
            <w:vAlign w:val="bottom"/>
          </w:tcPr>
          <w:p>
            <w:pPr>
              <w:jc w:val="right"/>
              <w:spacing w:after="0"/>
              <w:rPr>
                <w:sz w:val="20"/>
                <w:szCs w:val="20"/>
                <w:color w:val="auto"/>
              </w:rPr>
            </w:pPr>
            <w:r>
              <w:rPr>
                <w:rFonts w:ascii="Arial" w:cs="Arial" w:eastAsia="Arial" w:hAnsi="Arial"/>
                <w:sz w:val="14"/>
                <w:szCs w:val="14"/>
                <w:color w:val="auto"/>
              </w:rPr>
              <w:t>-31.5%</w:t>
            </w:r>
          </w:p>
        </w:tc>
      </w:tr>
      <w:tr>
        <w:trPr>
          <w:trHeight w:val="49"/>
        </w:trPr>
        <w:tc>
          <w:tcPr>
            <w:tcW w:w="1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77"/>
        </w:trPr>
        <w:tc>
          <w:tcPr>
            <w:tcW w:w="142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4"/>
                <w:szCs w:val="14"/>
                <w:color w:val="auto"/>
              </w:rPr>
              <w:t>2024</w:t>
            </w:r>
          </w:p>
        </w:tc>
        <w:tc>
          <w:tcPr>
            <w:tcW w:w="840" w:type="dxa"/>
            <w:vAlign w:val="bottom"/>
            <w:tcBorders>
              <w:bottom w:val="single" w:sz="8" w:color="F2F2F2"/>
            </w:tcBorders>
            <w:shd w:val="clear" w:color="auto" w:fill="F2F2F2"/>
          </w:tcPr>
          <w:p>
            <w:pPr>
              <w:spacing w:after="0"/>
              <w:rPr>
                <w:sz w:val="24"/>
                <w:szCs w:val="24"/>
                <w:color w:val="auto"/>
              </w:rPr>
            </w:pPr>
          </w:p>
        </w:tc>
        <w:tc>
          <w:tcPr>
            <w:tcW w:w="1220" w:type="dxa"/>
            <w:vAlign w:val="bottom"/>
            <w:tcBorders>
              <w:bottom w:val="single" w:sz="8" w:color="F2F2F2"/>
            </w:tcBorders>
            <w:shd w:val="clear" w:color="auto" w:fill="F2F2F2"/>
          </w:tcPr>
          <w:p>
            <w:pPr>
              <w:jc w:val="right"/>
              <w:ind w:right="31"/>
              <w:spacing w:after="0"/>
              <w:rPr>
                <w:sz w:val="20"/>
                <w:szCs w:val="20"/>
                <w:color w:val="auto"/>
              </w:rPr>
            </w:pPr>
            <w:r>
              <w:rPr>
                <w:rFonts w:ascii="Arial" w:cs="Arial" w:eastAsia="Arial" w:hAnsi="Arial"/>
                <w:sz w:val="14"/>
                <w:szCs w:val="14"/>
                <w:color w:val="auto"/>
              </w:rPr>
              <w:t>35,560,535</w:t>
            </w:r>
          </w:p>
        </w:tc>
        <w:tc>
          <w:tcPr>
            <w:tcW w:w="122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268,043,565</w:t>
            </w:r>
          </w:p>
        </w:tc>
        <w:tc>
          <w:tcPr>
            <w:tcW w:w="1160" w:type="dxa"/>
            <w:vAlign w:val="bottom"/>
            <w:tcBorders>
              <w:bottom w:val="single" w:sz="8" w:color="F2F2F2"/>
            </w:tcBorders>
            <w:shd w:val="clear" w:color="auto" w:fill="F2F2F2"/>
          </w:tcPr>
          <w:p>
            <w:pPr>
              <w:jc w:val="right"/>
              <w:ind w:right="51"/>
              <w:spacing w:after="0"/>
              <w:rPr>
                <w:sz w:val="20"/>
                <w:szCs w:val="20"/>
                <w:color w:val="auto"/>
              </w:rPr>
            </w:pPr>
            <w:r>
              <w:rPr>
                <w:rFonts w:ascii="Arial" w:cs="Arial" w:eastAsia="Arial" w:hAnsi="Arial"/>
                <w:sz w:val="14"/>
                <w:szCs w:val="14"/>
                <w:color w:val="auto"/>
              </w:rPr>
              <w:t>7,768,677</w:t>
            </w:r>
          </w:p>
        </w:tc>
        <w:tc>
          <w:tcPr>
            <w:tcW w:w="1220" w:type="dxa"/>
            <w:vAlign w:val="bottom"/>
            <w:tcBorders>
              <w:bottom w:val="single" w:sz="8" w:color="F2F2F2"/>
            </w:tcBorders>
            <w:shd w:val="clear" w:color="auto" w:fill="F2F2F2"/>
          </w:tcPr>
          <w:p>
            <w:pPr>
              <w:jc w:val="right"/>
              <w:ind w:right="111"/>
              <w:spacing w:after="0"/>
              <w:rPr>
                <w:sz w:val="20"/>
                <w:szCs w:val="20"/>
                <w:color w:val="auto"/>
              </w:rPr>
            </w:pPr>
            <w:r>
              <w:rPr>
                <w:rFonts w:ascii="Arial" w:cs="Arial" w:eastAsia="Arial" w:hAnsi="Arial"/>
                <w:sz w:val="14"/>
                <w:szCs w:val="14"/>
                <w:color w:val="auto"/>
              </w:rPr>
              <w:t>38,264,566</w:t>
            </w:r>
          </w:p>
        </w:tc>
        <w:tc>
          <w:tcPr>
            <w:tcW w:w="1040" w:type="dxa"/>
            <w:vAlign w:val="bottom"/>
            <w:tcBorders>
              <w:bottom w:val="single" w:sz="8" w:color="F2F2F2"/>
            </w:tcBorders>
            <w:shd w:val="clear" w:color="auto" w:fill="F2F2F2"/>
          </w:tcPr>
          <w:p>
            <w:pPr>
              <w:jc w:val="right"/>
              <w:ind w:right="68"/>
              <w:spacing w:after="0"/>
              <w:rPr>
                <w:sz w:val="20"/>
                <w:szCs w:val="20"/>
                <w:color w:val="auto"/>
              </w:rPr>
            </w:pPr>
            <w:r>
              <w:rPr>
                <w:rFonts w:ascii="Arial" w:cs="Arial" w:eastAsia="Arial" w:hAnsi="Arial"/>
                <w:sz w:val="14"/>
                <w:szCs w:val="14"/>
                <w:color w:val="auto"/>
              </w:rPr>
              <w:t>456.90</w:t>
            </w:r>
          </w:p>
        </w:tc>
        <w:tc>
          <w:tcPr>
            <w:tcW w:w="1040" w:type="dxa"/>
            <w:vAlign w:val="bottom"/>
            <w:tcBorders>
              <w:bottom w:val="single" w:sz="8" w:color="F2F2F2"/>
            </w:tcBorders>
            <w:shd w:val="clear" w:color="auto" w:fill="F2F2F2"/>
          </w:tcPr>
          <w:p>
            <w:pPr>
              <w:jc w:val="right"/>
              <w:ind w:right="68"/>
              <w:spacing w:after="0"/>
              <w:rPr>
                <w:sz w:val="20"/>
                <w:szCs w:val="20"/>
                <w:color w:val="auto"/>
              </w:rPr>
            </w:pPr>
            <w:r>
              <w:rPr>
                <w:rFonts w:ascii="Arial" w:cs="Arial" w:eastAsia="Arial" w:hAnsi="Arial"/>
                <w:sz w:val="14"/>
                <w:szCs w:val="14"/>
                <w:color w:val="auto"/>
              </w:rPr>
              <w:t>132.28</w:t>
            </w:r>
          </w:p>
        </w:tc>
        <w:tc>
          <w:tcPr>
            <w:tcW w:w="104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512.8</w:t>
            </w:r>
          </w:p>
        </w:tc>
        <w:tc>
          <w:tcPr>
            <w:tcW w:w="8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91.5%</w:t>
            </w:r>
          </w:p>
        </w:tc>
      </w:tr>
      <w:tr>
        <w:trPr>
          <w:trHeight w:val="248"/>
        </w:trPr>
        <w:tc>
          <w:tcPr>
            <w:tcW w:w="1420" w:type="dxa"/>
            <w:vAlign w:val="bottom"/>
          </w:tcPr>
          <w:p>
            <w:pPr>
              <w:spacing w:after="0"/>
              <w:rPr>
                <w:sz w:val="20"/>
                <w:szCs w:val="20"/>
                <w:color w:val="auto"/>
              </w:rPr>
            </w:pPr>
            <w:r>
              <w:rPr>
                <w:rFonts w:ascii="Arial" w:cs="Arial" w:eastAsia="Arial" w:hAnsi="Arial"/>
                <w:sz w:val="14"/>
                <w:szCs w:val="14"/>
                <w:color w:val="auto"/>
              </w:rPr>
              <w:t>2023</w:t>
            </w:r>
          </w:p>
        </w:tc>
        <w:tc>
          <w:tcPr>
            <w:tcW w:w="8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66,349,962</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155,154,377</w:t>
            </w: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7,236,681</w:t>
            </w:r>
          </w:p>
        </w:tc>
        <w:tc>
          <w:tcPr>
            <w:tcW w:w="1220" w:type="dxa"/>
            <w:vAlign w:val="bottom"/>
          </w:tcPr>
          <w:p>
            <w:pPr>
              <w:jc w:val="right"/>
              <w:ind w:right="111"/>
              <w:spacing w:after="0"/>
              <w:rPr>
                <w:sz w:val="20"/>
                <w:szCs w:val="20"/>
                <w:color w:val="auto"/>
              </w:rPr>
            </w:pPr>
            <w:r>
              <w:rPr>
                <w:rFonts w:ascii="Arial" w:cs="Arial" w:eastAsia="Arial" w:hAnsi="Arial"/>
                <w:sz w:val="14"/>
                <w:szCs w:val="14"/>
                <w:color w:val="auto"/>
              </w:rPr>
              <w:t>20,278,836</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204.18</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109.39</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429.4</w:t>
            </w:r>
          </w:p>
        </w:tc>
        <w:tc>
          <w:tcPr>
            <w:tcW w:w="820" w:type="dxa"/>
            <w:vAlign w:val="bottom"/>
          </w:tcPr>
          <w:p>
            <w:pPr>
              <w:jc w:val="right"/>
              <w:spacing w:after="0"/>
              <w:rPr>
                <w:sz w:val="20"/>
                <w:szCs w:val="20"/>
                <w:color w:val="auto"/>
              </w:rPr>
            </w:pPr>
            <w:r>
              <w:rPr>
                <w:rFonts w:ascii="Arial" w:cs="Arial" w:eastAsia="Arial" w:hAnsi="Arial"/>
                <w:sz w:val="14"/>
                <w:szCs w:val="14"/>
                <w:color w:val="auto"/>
              </w:rPr>
              <w:t>94.2%</w:t>
            </w:r>
          </w:p>
        </w:tc>
      </w:tr>
      <w:tr>
        <w:trPr>
          <w:trHeight w:val="49"/>
        </w:trPr>
        <w:tc>
          <w:tcPr>
            <w:tcW w:w="1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77"/>
        </w:trPr>
        <w:tc>
          <w:tcPr>
            <w:tcW w:w="142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4"/>
                <w:szCs w:val="14"/>
                <w:color w:val="auto"/>
              </w:rPr>
              <w:t>2022</w:t>
            </w:r>
          </w:p>
        </w:tc>
        <w:tc>
          <w:tcPr>
            <w:tcW w:w="840" w:type="dxa"/>
            <w:vAlign w:val="bottom"/>
            <w:tcBorders>
              <w:bottom w:val="single" w:sz="8" w:color="F2F2F2"/>
            </w:tcBorders>
            <w:shd w:val="clear" w:color="auto" w:fill="F2F2F2"/>
          </w:tcPr>
          <w:p>
            <w:pPr>
              <w:spacing w:after="0"/>
              <w:rPr>
                <w:sz w:val="24"/>
                <w:szCs w:val="24"/>
                <w:color w:val="auto"/>
              </w:rPr>
            </w:pPr>
          </w:p>
        </w:tc>
        <w:tc>
          <w:tcPr>
            <w:tcW w:w="1220" w:type="dxa"/>
            <w:vAlign w:val="bottom"/>
            <w:tcBorders>
              <w:bottom w:val="single" w:sz="8" w:color="F2F2F2"/>
            </w:tcBorders>
            <w:shd w:val="clear" w:color="auto" w:fill="F2F2F2"/>
          </w:tcPr>
          <w:p>
            <w:pPr>
              <w:jc w:val="right"/>
              <w:ind w:right="31"/>
              <w:spacing w:after="0"/>
              <w:rPr>
                <w:sz w:val="20"/>
                <w:szCs w:val="20"/>
                <w:color w:val="auto"/>
              </w:rPr>
            </w:pPr>
            <w:r>
              <w:rPr>
                <w:rFonts w:ascii="Arial" w:cs="Arial" w:eastAsia="Arial" w:hAnsi="Arial"/>
                <w:sz w:val="14"/>
                <w:szCs w:val="14"/>
                <w:color w:val="auto"/>
              </w:rPr>
              <w:t>18,913,781</w:t>
            </w:r>
          </w:p>
        </w:tc>
        <w:tc>
          <w:tcPr>
            <w:tcW w:w="122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29,544,755</w:t>
            </w:r>
          </w:p>
        </w:tc>
        <w:tc>
          <w:tcPr>
            <w:tcW w:w="1160" w:type="dxa"/>
            <w:vAlign w:val="bottom"/>
            <w:tcBorders>
              <w:bottom w:val="single" w:sz="8" w:color="F2F2F2"/>
            </w:tcBorders>
            <w:shd w:val="clear" w:color="auto" w:fill="F2F2F2"/>
          </w:tcPr>
          <w:p>
            <w:pPr>
              <w:jc w:val="right"/>
              <w:ind w:right="51"/>
              <w:spacing w:after="0"/>
              <w:rPr>
                <w:sz w:val="20"/>
                <w:szCs w:val="20"/>
                <w:color w:val="auto"/>
              </w:rPr>
            </w:pPr>
            <w:r>
              <w:rPr>
                <w:rFonts w:ascii="Arial" w:cs="Arial" w:eastAsia="Arial" w:hAnsi="Arial"/>
                <w:sz w:val="14"/>
                <w:szCs w:val="14"/>
                <w:color w:val="auto"/>
              </w:rPr>
              <w:t>7,033,248</w:t>
            </w:r>
          </w:p>
        </w:tc>
        <w:tc>
          <w:tcPr>
            <w:tcW w:w="1220" w:type="dxa"/>
            <w:vAlign w:val="bottom"/>
            <w:tcBorders>
              <w:bottom w:val="single" w:sz="8" w:color="F2F2F2"/>
            </w:tcBorders>
            <w:shd w:val="clear" w:color="auto" w:fill="F2F2F2"/>
          </w:tcPr>
          <w:p>
            <w:pPr>
              <w:jc w:val="right"/>
              <w:ind w:right="111"/>
              <w:spacing w:after="0"/>
              <w:rPr>
                <w:sz w:val="20"/>
                <w:szCs w:val="20"/>
                <w:color w:val="auto"/>
              </w:rPr>
            </w:pPr>
            <w:r>
              <w:rPr>
                <w:rFonts w:ascii="Arial" w:cs="Arial" w:eastAsia="Arial" w:hAnsi="Arial"/>
                <w:sz w:val="14"/>
                <w:szCs w:val="14"/>
                <w:color w:val="auto"/>
              </w:rPr>
              <w:t>10,705,303</w:t>
            </w:r>
          </w:p>
        </w:tc>
        <w:tc>
          <w:tcPr>
            <w:tcW w:w="1040" w:type="dxa"/>
            <w:vAlign w:val="bottom"/>
            <w:tcBorders>
              <w:bottom w:val="single" w:sz="8" w:color="F2F2F2"/>
            </w:tcBorders>
            <w:shd w:val="clear" w:color="auto" w:fill="F2F2F2"/>
          </w:tcPr>
          <w:p>
            <w:pPr>
              <w:jc w:val="right"/>
              <w:ind w:right="68"/>
              <w:spacing w:after="0"/>
              <w:rPr>
                <w:sz w:val="20"/>
                <w:szCs w:val="20"/>
                <w:color w:val="auto"/>
              </w:rPr>
            </w:pPr>
            <w:r>
              <w:rPr>
                <w:rFonts w:ascii="Arial" w:cs="Arial" w:eastAsia="Arial" w:hAnsi="Arial"/>
                <w:sz w:val="14"/>
                <w:szCs w:val="14"/>
                <w:color w:val="auto"/>
              </w:rPr>
              <w:t>96.86</w:t>
            </w:r>
          </w:p>
        </w:tc>
        <w:tc>
          <w:tcPr>
            <w:tcW w:w="1040" w:type="dxa"/>
            <w:vAlign w:val="bottom"/>
            <w:tcBorders>
              <w:bottom w:val="single" w:sz="8" w:color="F2F2F2"/>
            </w:tcBorders>
            <w:shd w:val="clear" w:color="auto" w:fill="F2F2F2"/>
          </w:tcPr>
          <w:p>
            <w:pPr>
              <w:jc w:val="right"/>
              <w:ind w:right="68"/>
              <w:spacing w:after="0"/>
              <w:rPr>
                <w:sz w:val="20"/>
                <w:szCs w:val="20"/>
                <w:color w:val="auto"/>
              </w:rPr>
            </w:pPr>
            <w:r>
              <w:rPr>
                <w:rFonts w:ascii="Arial" w:cs="Arial" w:eastAsia="Arial" w:hAnsi="Arial"/>
                <w:sz w:val="14"/>
                <w:szCs w:val="14"/>
                <w:color w:val="auto"/>
              </w:rPr>
              <w:t>75.34</w:t>
            </w:r>
          </w:p>
        </w:tc>
        <w:tc>
          <w:tcPr>
            <w:tcW w:w="104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373.5</w:t>
            </w:r>
          </w:p>
        </w:tc>
        <w:tc>
          <w:tcPr>
            <w:tcW w:w="8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16.1%</w:t>
            </w:r>
          </w:p>
        </w:tc>
      </w:tr>
      <w:tr>
        <w:trPr>
          <w:trHeight w:val="248"/>
        </w:trPr>
        <w:tc>
          <w:tcPr>
            <w:tcW w:w="1420" w:type="dxa"/>
            <w:vAlign w:val="bottom"/>
          </w:tcPr>
          <w:p>
            <w:pPr>
              <w:spacing w:after="0"/>
              <w:rPr>
                <w:sz w:val="20"/>
                <w:szCs w:val="20"/>
                <w:color w:val="auto"/>
              </w:rPr>
            </w:pPr>
            <w:r>
              <w:rPr>
                <w:rFonts w:ascii="Arial" w:cs="Arial" w:eastAsia="Arial" w:hAnsi="Arial"/>
                <w:sz w:val="14"/>
                <w:szCs w:val="14"/>
                <w:color w:val="auto"/>
              </w:rPr>
              <w:t>2021</w:t>
            </w:r>
          </w:p>
        </w:tc>
        <w:tc>
          <w:tcPr>
            <w:tcW w:w="8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19,429,745</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18,445,604</w:t>
            </w: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7,034,096</w:t>
            </w:r>
          </w:p>
        </w:tc>
        <w:tc>
          <w:tcPr>
            <w:tcW w:w="1220" w:type="dxa"/>
            <w:vAlign w:val="bottom"/>
          </w:tcPr>
          <w:p>
            <w:pPr>
              <w:jc w:val="right"/>
              <w:ind w:right="111"/>
              <w:spacing w:after="0"/>
              <w:rPr>
                <w:sz w:val="20"/>
                <w:szCs w:val="20"/>
                <w:color w:val="auto"/>
              </w:rPr>
            </w:pPr>
            <w:r>
              <w:rPr>
                <w:rFonts w:ascii="Arial" w:cs="Arial" w:eastAsia="Arial" w:hAnsi="Arial"/>
                <w:sz w:val="14"/>
                <w:szCs w:val="14"/>
                <w:color w:val="auto"/>
              </w:rPr>
              <w:t>5,948,897</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93.55</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121.98</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392.1</w:t>
            </w:r>
          </w:p>
        </w:tc>
        <w:tc>
          <w:tcPr>
            <w:tcW w:w="820" w:type="dxa"/>
            <w:vAlign w:val="bottom"/>
          </w:tcPr>
          <w:p>
            <w:pPr>
              <w:jc w:val="right"/>
              <w:spacing w:after="0"/>
              <w:rPr>
                <w:sz w:val="20"/>
                <w:szCs w:val="20"/>
                <w:color w:val="auto"/>
              </w:rPr>
            </w:pPr>
            <w:r>
              <w:rPr>
                <w:rFonts w:ascii="Arial" w:cs="Arial" w:eastAsia="Arial" w:hAnsi="Arial"/>
                <w:sz w:val="14"/>
                <w:szCs w:val="14"/>
                <w:color w:val="auto"/>
              </w:rPr>
              <w:t>-44.9%</w:t>
            </w:r>
          </w:p>
        </w:tc>
      </w:tr>
      <w:tr>
        <w:trPr>
          <w:trHeight w:val="89"/>
        </w:trPr>
        <w:tc>
          <w:tcPr>
            <w:tcW w:w="1420" w:type="dxa"/>
            <w:vAlign w:val="bottom"/>
            <w:tcBorders>
              <w:bottom w:val="single" w:sz="8" w:color="376DB5"/>
            </w:tcBorders>
          </w:tcPr>
          <w:p>
            <w:pPr>
              <w:spacing w:after="0"/>
              <w:rPr>
                <w:sz w:val="7"/>
                <w:szCs w:val="7"/>
                <w:color w:val="auto"/>
              </w:rPr>
            </w:pPr>
          </w:p>
        </w:tc>
        <w:tc>
          <w:tcPr>
            <w:tcW w:w="840" w:type="dxa"/>
            <w:vAlign w:val="bottom"/>
            <w:tcBorders>
              <w:bottom w:val="single" w:sz="8" w:color="376DB5"/>
            </w:tcBorders>
          </w:tcPr>
          <w:p>
            <w:pPr>
              <w:spacing w:after="0"/>
              <w:rPr>
                <w:sz w:val="7"/>
                <w:szCs w:val="7"/>
                <w:color w:val="auto"/>
              </w:rPr>
            </w:pPr>
          </w:p>
        </w:tc>
        <w:tc>
          <w:tcPr>
            <w:tcW w:w="1220" w:type="dxa"/>
            <w:vAlign w:val="bottom"/>
            <w:tcBorders>
              <w:bottom w:val="single" w:sz="8" w:color="376DB5"/>
            </w:tcBorders>
          </w:tcPr>
          <w:p>
            <w:pPr>
              <w:spacing w:after="0"/>
              <w:rPr>
                <w:sz w:val="7"/>
                <w:szCs w:val="7"/>
                <w:color w:val="auto"/>
              </w:rPr>
            </w:pPr>
          </w:p>
        </w:tc>
        <w:tc>
          <w:tcPr>
            <w:tcW w:w="1220" w:type="dxa"/>
            <w:vAlign w:val="bottom"/>
            <w:tcBorders>
              <w:bottom w:val="single" w:sz="8" w:color="376DB5"/>
            </w:tcBorders>
          </w:tcPr>
          <w:p>
            <w:pPr>
              <w:spacing w:after="0"/>
              <w:rPr>
                <w:sz w:val="7"/>
                <w:szCs w:val="7"/>
                <w:color w:val="auto"/>
              </w:rPr>
            </w:pPr>
          </w:p>
        </w:tc>
        <w:tc>
          <w:tcPr>
            <w:tcW w:w="1160" w:type="dxa"/>
            <w:vAlign w:val="bottom"/>
            <w:tcBorders>
              <w:bottom w:val="single" w:sz="8" w:color="376DB5"/>
            </w:tcBorders>
          </w:tcPr>
          <w:p>
            <w:pPr>
              <w:spacing w:after="0"/>
              <w:rPr>
                <w:sz w:val="7"/>
                <w:szCs w:val="7"/>
                <w:color w:val="auto"/>
              </w:rPr>
            </w:pPr>
          </w:p>
        </w:tc>
        <w:tc>
          <w:tcPr>
            <w:tcW w:w="1220" w:type="dxa"/>
            <w:vAlign w:val="bottom"/>
            <w:tcBorders>
              <w:bottom w:val="single" w:sz="8" w:color="376DB5"/>
            </w:tcBorders>
          </w:tcPr>
          <w:p>
            <w:pPr>
              <w:spacing w:after="0"/>
              <w:rPr>
                <w:sz w:val="7"/>
                <w:szCs w:val="7"/>
                <w:color w:val="auto"/>
              </w:rPr>
            </w:pPr>
          </w:p>
        </w:tc>
        <w:tc>
          <w:tcPr>
            <w:tcW w:w="1040" w:type="dxa"/>
            <w:vAlign w:val="bottom"/>
            <w:tcBorders>
              <w:bottom w:val="single" w:sz="8" w:color="376DB5"/>
            </w:tcBorders>
          </w:tcPr>
          <w:p>
            <w:pPr>
              <w:spacing w:after="0"/>
              <w:rPr>
                <w:sz w:val="7"/>
                <w:szCs w:val="7"/>
                <w:color w:val="auto"/>
              </w:rPr>
            </w:pPr>
          </w:p>
        </w:tc>
        <w:tc>
          <w:tcPr>
            <w:tcW w:w="1040" w:type="dxa"/>
            <w:vAlign w:val="bottom"/>
            <w:tcBorders>
              <w:bottom w:val="single" w:sz="8" w:color="376DB5"/>
            </w:tcBorders>
          </w:tcPr>
          <w:p>
            <w:pPr>
              <w:spacing w:after="0"/>
              <w:rPr>
                <w:sz w:val="7"/>
                <w:szCs w:val="7"/>
                <w:color w:val="auto"/>
              </w:rPr>
            </w:pPr>
          </w:p>
        </w:tc>
        <w:tc>
          <w:tcPr>
            <w:tcW w:w="1040" w:type="dxa"/>
            <w:vAlign w:val="bottom"/>
            <w:tcBorders>
              <w:bottom w:val="single" w:sz="8" w:color="376DB5"/>
            </w:tcBorders>
          </w:tcPr>
          <w:p>
            <w:pPr>
              <w:spacing w:after="0"/>
              <w:rPr>
                <w:sz w:val="7"/>
                <w:szCs w:val="7"/>
                <w:color w:val="auto"/>
              </w:rPr>
            </w:pPr>
          </w:p>
        </w:tc>
        <w:tc>
          <w:tcPr>
            <w:tcW w:w="820" w:type="dxa"/>
            <w:vAlign w:val="bottom"/>
            <w:tcBorders>
              <w:bottom w:val="single" w:sz="8" w:color="376DB5"/>
            </w:tcBorders>
          </w:tcPr>
          <w:p>
            <w:pPr>
              <w:spacing w:after="0"/>
              <w:rPr>
                <w:sz w:val="7"/>
                <w:szCs w:val="7"/>
                <w:color w:val="auto"/>
              </w:rPr>
            </w:pPr>
          </w:p>
        </w:tc>
      </w:tr>
      <w:tr>
        <w:trPr>
          <w:trHeight w:val="128"/>
        </w:trPr>
        <w:tc>
          <w:tcPr>
            <w:tcW w:w="142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pacing w:after="0" w:line="22"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1"/>
          <w:szCs w:val="11"/>
          <w:color w:val="auto"/>
        </w:rPr>
      </w:pPr>
      <w:r>
        <w:rPr>
          <w:rFonts w:ascii="Arial" w:cs="Arial" w:eastAsia="Arial" w:hAnsi="Arial"/>
          <w:sz w:val="18"/>
          <w:szCs w:val="18"/>
          <w:color w:val="auto"/>
        </w:rPr>
        <w:t>NEOs included in these columns reflect the following:</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420" w:type="dxa"/>
            <w:vAlign w:val="bottom"/>
            <w:tcBorders>
              <w:top w:val="single" w:sz="8" w:color="376DB5"/>
              <w:bottom w:val="single" w:sz="8" w:color="376DB5"/>
            </w:tcBorders>
          </w:tcPr>
          <w:p>
            <w:pPr>
              <w:spacing w:after="0"/>
              <w:rPr>
                <w:sz w:val="20"/>
                <w:szCs w:val="20"/>
                <w:color w:val="auto"/>
              </w:rPr>
            </w:pPr>
            <w:r>
              <w:rPr>
                <w:rFonts w:ascii="Arial" w:cs="Arial" w:eastAsia="Arial" w:hAnsi="Arial"/>
                <w:sz w:val="14"/>
                <w:szCs w:val="14"/>
                <w:color w:val="376DB5"/>
              </w:rPr>
              <w:t>Year</w:t>
            </w:r>
          </w:p>
        </w:tc>
        <w:tc>
          <w:tcPr>
            <w:tcW w:w="1180" w:type="dxa"/>
            <w:vAlign w:val="bottom"/>
            <w:tcBorders>
              <w:top w:val="single" w:sz="8" w:color="376DB5"/>
              <w:bottom w:val="single" w:sz="8" w:color="376DB5"/>
            </w:tcBorders>
          </w:tcPr>
          <w:p>
            <w:pPr>
              <w:ind w:left="340"/>
              <w:spacing w:after="0"/>
              <w:rPr>
                <w:sz w:val="20"/>
                <w:szCs w:val="20"/>
                <w:color w:val="auto"/>
              </w:rPr>
            </w:pPr>
            <w:r>
              <w:rPr>
                <w:rFonts w:ascii="Arial" w:cs="Arial" w:eastAsia="Arial" w:hAnsi="Arial"/>
                <w:sz w:val="14"/>
                <w:szCs w:val="14"/>
                <w:color w:val="376DB5"/>
              </w:rPr>
              <w:t>PEO</w:t>
            </w:r>
          </w:p>
        </w:tc>
        <w:tc>
          <w:tcPr>
            <w:tcW w:w="460" w:type="dxa"/>
            <w:vAlign w:val="bottom"/>
            <w:tcBorders>
              <w:top w:val="single" w:sz="8" w:color="376DB5"/>
              <w:bottom w:val="single" w:sz="8" w:color="376DB5"/>
            </w:tcBorders>
          </w:tcPr>
          <w:p>
            <w:pPr>
              <w:spacing w:after="0"/>
              <w:rPr>
                <w:sz w:val="15"/>
                <w:szCs w:val="15"/>
                <w:color w:val="auto"/>
              </w:rPr>
            </w:pPr>
          </w:p>
        </w:tc>
        <w:tc>
          <w:tcPr>
            <w:tcW w:w="7960" w:type="dxa"/>
            <w:vAlign w:val="bottom"/>
            <w:tcBorders>
              <w:top w:val="single" w:sz="8" w:color="376DB5"/>
              <w:bottom w:val="single" w:sz="8" w:color="376DB5"/>
            </w:tcBorders>
          </w:tcPr>
          <w:p>
            <w:pPr>
              <w:ind w:left="360"/>
              <w:spacing w:after="0"/>
              <w:rPr>
                <w:sz w:val="20"/>
                <w:szCs w:val="20"/>
                <w:color w:val="auto"/>
              </w:rPr>
            </w:pPr>
            <w:r>
              <w:rPr>
                <w:rFonts w:ascii="Arial" w:cs="Arial" w:eastAsia="Arial" w:hAnsi="Arial"/>
                <w:sz w:val="14"/>
                <w:szCs w:val="14"/>
                <w:color w:val="376DB5"/>
              </w:rPr>
              <w:t>Non-PEO NEOs</w:t>
            </w:r>
          </w:p>
        </w:tc>
      </w:tr>
      <w:tr>
        <w:trPr>
          <w:trHeight w:val="228"/>
        </w:trPr>
        <w:tc>
          <w:tcPr>
            <w:tcW w:w="1420" w:type="dxa"/>
            <w:vAlign w:val="bottom"/>
          </w:tcPr>
          <w:p>
            <w:pPr>
              <w:spacing w:after="0"/>
              <w:rPr>
                <w:sz w:val="20"/>
                <w:szCs w:val="20"/>
                <w:color w:val="auto"/>
              </w:rPr>
            </w:pPr>
            <w:r>
              <w:rPr>
                <w:rFonts w:ascii="Arial" w:cs="Arial" w:eastAsia="Arial" w:hAnsi="Arial"/>
                <w:sz w:val="14"/>
                <w:szCs w:val="14"/>
                <w:color w:val="auto"/>
              </w:rPr>
              <w:t>2025</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Mr. Lansing </w:t>
            </w:r>
          </w:p>
        </w:tc>
        <w:tc>
          <w:tcPr>
            <w:tcW w:w="460" w:type="dxa"/>
            <w:vAlign w:val="bottom"/>
          </w:tcPr>
          <w:p>
            <w:pPr>
              <w:ind w:left="60"/>
              <w:spacing w:after="0"/>
              <w:rPr>
                <w:sz w:val="20"/>
                <w:szCs w:val="20"/>
                <w:color w:val="auto"/>
              </w:rPr>
            </w:pPr>
            <w:r>
              <w:rPr>
                <w:rFonts w:ascii="Arial" w:cs="Arial" w:eastAsia="Arial" w:hAnsi="Arial"/>
                <w:sz w:val="14"/>
                <w:szCs w:val="14"/>
                <w:color w:val="auto"/>
              </w:rPr>
              <w:t> </w:t>
            </w:r>
          </w:p>
        </w:tc>
        <w:tc>
          <w:tcPr>
            <w:tcW w:w="7960" w:type="dxa"/>
            <w:vAlign w:val="bottom"/>
          </w:tcPr>
          <w:p>
            <w:pPr>
              <w:ind w:left="360"/>
              <w:spacing w:after="0"/>
              <w:rPr>
                <w:sz w:val="20"/>
                <w:szCs w:val="20"/>
                <w:color w:val="auto"/>
              </w:rPr>
            </w:pPr>
            <w:r>
              <w:rPr>
                <w:rFonts w:ascii="Arial" w:cs="Arial" w:eastAsia="Arial" w:hAnsi="Arial"/>
                <w:sz w:val="14"/>
                <w:szCs w:val="14"/>
                <w:color w:val="auto"/>
              </w:rPr>
              <w:t>Mr. Weber, Mr. Behl, Mr. Deal, Mr. Scadina, and Mr. Wehmann</w:t>
            </w:r>
          </w:p>
        </w:tc>
      </w:tr>
      <w:tr>
        <w:trPr>
          <w:trHeight w:val="49"/>
        </w:trPr>
        <w:tc>
          <w:tcPr>
            <w:tcW w:w="14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960" w:type="dxa"/>
            <w:vAlign w:val="bottom"/>
          </w:tcPr>
          <w:p>
            <w:pPr>
              <w:spacing w:after="0"/>
              <w:rPr>
                <w:sz w:val="4"/>
                <w:szCs w:val="4"/>
                <w:color w:val="auto"/>
              </w:rPr>
            </w:pPr>
          </w:p>
        </w:tc>
      </w:tr>
      <w:tr>
        <w:trPr>
          <w:trHeight w:val="277"/>
        </w:trPr>
        <w:tc>
          <w:tcPr>
            <w:tcW w:w="142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4"/>
                <w:szCs w:val="14"/>
                <w:color w:val="auto"/>
              </w:rPr>
              <w:t>2024</w:t>
            </w:r>
          </w:p>
        </w:tc>
        <w:tc>
          <w:tcPr>
            <w:tcW w:w="1180" w:type="dxa"/>
            <w:vAlign w:val="bottom"/>
            <w:tcBorders>
              <w:bottom w:val="single" w:sz="8" w:color="F2F2F2"/>
            </w:tcBorders>
            <w:shd w:val="clear" w:color="auto" w:fill="F2F2F2"/>
          </w:tcPr>
          <w:p>
            <w:pPr>
              <w:ind w:left="340"/>
              <w:spacing w:after="0"/>
              <w:rPr>
                <w:sz w:val="20"/>
                <w:szCs w:val="20"/>
                <w:color w:val="auto"/>
              </w:rPr>
            </w:pPr>
            <w:r>
              <w:rPr>
                <w:rFonts w:ascii="Arial" w:cs="Arial" w:eastAsia="Arial" w:hAnsi="Arial"/>
                <w:sz w:val="14"/>
                <w:szCs w:val="14"/>
                <w:color w:val="auto"/>
                <w:w w:val="94"/>
              </w:rPr>
              <w:t>Mr. Lansing </w:t>
            </w:r>
          </w:p>
        </w:tc>
        <w:tc>
          <w:tcPr>
            <w:tcW w:w="46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 </w:t>
            </w:r>
          </w:p>
        </w:tc>
        <w:tc>
          <w:tcPr>
            <w:tcW w:w="7960" w:type="dxa"/>
            <w:vAlign w:val="bottom"/>
            <w:tcBorders>
              <w:bottom w:val="single" w:sz="8" w:color="F2F2F2"/>
            </w:tcBorders>
            <w:shd w:val="clear" w:color="auto" w:fill="F2F2F2"/>
          </w:tcPr>
          <w:p>
            <w:pPr>
              <w:ind w:left="360"/>
              <w:spacing w:after="0"/>
              <w:rPr>
                <w:sz w:val="20"/>
                <w:szCs w:val="20"/>
                <w:color w:val="auto"/>
              </w:rPr>
            </w:pPr>
            <w:r>
              <w:rPr>
                <w:rFonts w:ascii="Arial" w:cs="Arial" w:eastAsia="Arial" w:hAnsi="Arial"/>
                <w:sz w:val="14"/>
                <w:szCs w:val="14"/>
                <w:color w:val="auto"/>
              </w:rPr>
              <w:t>Mr. Weber, Mr. Deal, Mr. Scadina, and Mr. Wehmann</w:t>
            </w:r>
          </w:p>
        </w:tc>
      </w:tr>
      <w:tr>
        <w:trPr>
          <w:trHeight w:val="248"/>
        </w:trPr>
        <w:tc>
          <w:tcPr>
            <w:tcW w:w="1420" w:type="dxa"/>
            <w:vAlign w:val="bottom"/>
          </w:tcPr>
          <w:p>
            <w:pPr>
              <w:spacing w:after="0"/>
              <w:rPr>
                <w:sz w:val="20"/>
                <w:szCs w:val="20"/>
                <w:color w:val="auto"/>
              </w:rPr>
            </w:pPr>
            <w:r>
              <w:rPr>
                <w:rFonts w:ascii="Arial" w:cs="Arial" w:eastAsia="Arial" w:hAnsi="Arial"/>
                <w:sz w:val="14"/>
                <w:szCs w:val="14"/>
                <w:color w:val="auto"/>
              </w:rPr>
              <w:t>2023</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Mr. Lansing </w:t>
            </w:r>
          </w:p>
        </w:tc>
        <w:tc>
          <w:tcPr>
            <w:tcW w:w="460" w:type="dxa"/>
            <w:vAlign w:val="bottom"/>
          </w:tcPr>
          <w:p>
            <w:pPr>
              <w:ind w:left="60"/>
              <w:spacing w:after="0"/>
              <w:rPr>
                <w:sz w:val="20"/>
                <w:szCs w:val="20"/>
                <w:color w:val="auto"/>
              </w:rPr>
            </w:pPr>
            <w:r>
              <w:rPr>
                <w:rFonts w:ascii="Arial" w:cs="Arial" w:eastAsia="Arial" w:hAnsi="Arial"/>
                <w:sz w:val="14"/>
                <w:szCs w:val="14"/>
                <w:color w:val="auto"/>
              </w:rPr>
              <w:t> </w:t>
            </w:r>
          </w:p>
        </w:tc>
        <w:tc>
          <w:tcPr>
            <w:tcW w:w="7960" w:type="dxa"/>
            <w:vAlign w:val="bottom"/>
          </w:tcPr>
          <w:p>
            <w:pPr>
              <w:ind w:left="360"/>
              <w:spacing w:after="0"/>
              <w:rPr>
                <w:sz w:val="20"/>
                <w:szCs w:val="20"/>
                <w:color w:val="auto"/>
              </w:rPr>
            </w:pPr>
            <w:r>
              <w:rPr>
                <w:rFonts w:ascii="Arial" w:cs="Arial" w:eastAsia="Arial" w:hAnsi="Arial"/>
                <w:sz w:val="14"/>
                <w:szCs w:val="14"/>
                <w:color w:val="auto"/>
              </w:rPr>
              <w:t>Mr. Weber, Ms. Covert, Mr. Scadina, Mr. Wehmann, and Mr. McLaughlin</w:t>
            </w:r>
          </w:p>
        </w:tc>
      </w:tr>
      <w:tr>
        <w:trPr>
          <w:trHeight w:val="49"/>
        </w:trPr>
        <w:tc>
          <w:tcPr>
            <w:tcW w:w="14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960" w:type="dxa"/>
            <w:vAlign w:val="bottom"/>
          </w:tcPr>
          <w:p>
            <w:pPr>
              <w:spacing w:after="0"/>
              <w:rPr>
                <w:sz w:val="4"/>
                <w:szCs w:val="4"/>
                <w:color w:val="auto"/>
              </w:rPr>
            </w:pPr>
          </w:p>
        </w:tc>
      </w:tr>
      <w:tr>
        <w:trPr>
          <w:trHeight w:val="277"/>
        </w:trPr>
        <w:tc>
          <w:tcPr>
            <w:tcW w:w="142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4"/>
                <w:szCs w:val="14"/>
                <w:color w:val="auto"/>
              </w:rPr>
              <w:t>2022</w:t>
            </w:r>
          </w:p>
        </w:tc>
        <w:tc>
          <w:tcPr>
            <w:tcW w:w="1180" w:type="dxa"/>
            <w:vAlign w:val="bottom"/>
            <w:tcBorders>
              <w:bottom w:val="single" w:sz="8" w:color="F2F2F2"/>
            </w:tcBorders>
            <w:shd w:val="clear" w:color="auto" w:fill="F2F2F2"/>
          </w:tcPr>
          <w:p>
            <w:pPr>
              <w:ind w:left="340"/>
              <w:spacing w:after="0"/>
              <w:rPr>
                <w:sz w:val="20"/>
                <w:szCs w:val="20"/>
                <w:color w:val="auto"/>
              </w:rPr>
            </w:pPr>
            <w:r>
              <w:rPr>
                <w:rFonts w:ascii="Arial" w:cs="Arial" w:eastAsia="Arial" w:hAnsi="Arial"/>
                <w:sz w:val="14"/>
                <w:szCs w:val="14"/>
                <w:color w:val="auto"/>
                <w:w w:val="94"/>
              </w:rPr>
              <w:t>Mr. Lansing </w:t>
            </w:r>
          </w:p>
        </w:tc>
        <w:tc>
          <w:tcPr>
            <w:tcW w:w="46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 </w:t>
            </w:r>
          </w:p>
        </w:tc>
        <w:tc>
          <w:tcPr>
            <w:tcW w:w="7960" w:type="dxa"/>
            <w:vAlign w:val="bottom"/>
            <w:tcBorders>
              <w:bottom w:val="single" w:sz="8" w:color="F2F2F2"/>
            </w:tcBorders>
            <w:shd w:val="clear" w:color="auto" w:fill="F2F2F2"/>
          </w:tcPr>
          <w:p>
            <w:pPr>
              <w:ind w:left="360"/>
              <w:spacing w:after="0"/>
              <w:rPr>
                <w:sz w:val="20"/>
                <w:szCs w:val="20"/>
                <w:color w:val="auto"/>
              </w:rPr>
            </w:pPr>
            <w:r>
              <w:rPr>
                <w:rFonts w:ascii="Arial" w:cs="Arial" w:eastAsia="Arial" w:hAnsi="Arial"/>
                <w:sz w:val="14"/>
                <w:szCs w:val="14"/>
                <w:color w:val="auto"/>
              </w:rPr>
              <w:t>Mr. McLaughlin, Ms. Covert, Mr. Scadina, Mr. Wehmann, and Mr. Moldt</w:t>
            </w:r>
          </w:p>
        </w:tc>
      </w:tr>
      <w:tr>
        <w:trPr>
          <w:trHeight w:val="248"/>
        </w:trPr>
        <w:tc>
          <w:tcPr>
            <w:tcW w:w="1420" w:type="dxa"/>
            <w:vAlign w:val="bottom"/>
          </w:tcPr>
          <w:p>
            <w:pPr>
              <w:spacing w:after="0"/>
              <w:rPr>
                <w:sz w:val="20"/>
                <w:szCs w:val="20"/>
                <w:color w:val="auto"/>
              </w:rPr>
            </w:pPr>
            <w:r>
              <w:rPr>
                <w:rFonts w:ascii="Arial" w:cs="Arial" w:eastAsia="Arial" w:hAnsi="Arial"/>
                <w:sz w:val="14"/>
                <w:szCs w:val="14"/>
                <w:color w:val="auto"/>
              </w:rPr>
              <w:t>2021</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Mr. Lansing </w:t>
            </w:r>
          </w:p>
        </w:tc>
        <w:tc>
          <w:tcPr>
            <w:tcW w:w="460" w:type="dxa"/>
            <w:vAlign w:val="bottom"/>
          </w:tcPr>
          <w:p>
            <w:pPr>
              <w:ind w:left="60"/>
              <w:spacing w:after="0"/>
              <w:rPr>
                <w:sz w:val="20"/>
                <w:szCs w:val="20"/>
                <w:color w:val="auto"/>
              </w:rPr>
            </w:pPr>
            <w:r>
              <w:rPr>
                <w:rFonts w:ascii="Arial" w:cs="Arial" w:eastAsia="Arial" w:hAnsi="Arial"/>
                <w:sz w:val="14"/>
                <w:szCs w:val="14"/>
                <w:color w:val="auto"/>
              </w:rPr>
              <w:t> </w:t>
            </w:r>
          </w:p>
        </w:tc>
        <w:tc>
          <w:tcPr>
            <w:tcW w:w="7960" w:type="dxa"/>
            <w:vAlign w:val="bottom"/>
          </w:tcPr>
          <w:p>
            <w:pPr>
              <w:ind w:left="360"/>
              <w:spacing w:after="0"/>
              <w:rPr>
                <w:sz w:val="20"/>
                <w:szCs w:val="20"/>
                <w:color w:val="auto"/>
              </w:rPr>
            </w:pPr>
            <w:r>
              <w:rPr>
                <w:rFonts w:ascii="Arial" w:cs="Arial" w:eastAsia="Arial" w:hAnsi="Arial"/>
                <w:sz w:val="14"/>
                <w:szCs w:val="14"/>
                <w:color w:val="auto"/>
              </w:rPr>
              <w:t>Mr. McLaughlin, Ms. Covert, Mr. Wehmann, and Mr. Moldt</w:t>
            </w:r>
          </w:p>
        </w:tc>
      </w:tr>
      <w:tr>
        <w:trPr>
          <w:trHeight w:val="49"/>
        </w:trPr>
        <w:tc>
          <w:tcPr>
            <w:tcW w:w="1420" w:type="dxa"/>
            <w:vAlign w:val="bottom"/>
            <w:tcBorders>
              <w:bottom w:val="single" w:sz="8" w:color="376DB5"/>
            </w:tcBorders>
          </w:tcPr>
          <w:p>
            <w:pPr>
              <w:spacing w:after="0"/>
              <w:rPr>
                <w:sz w:val="4"/>
                <w:szCs w:val="4"/>
                <w:color w:val="auto"/>
              </w:rPr>
            </w:pPr>
          </w:p>
        </w:tc>
        <w:tc>
          <w:tcPr>
            <w:tcW w:w="1180" w:type="dxa"/>
            <w:vAlign w:val="bottom"/>
            <w:tcBorders>
              <w:bottom w:val="single" w:sz="8" w:color="376DB5"/>
            </w:tcBorders>
          </w:tcPr>
          <w:p>
            <w:pPr>
              <w:spacing w:after="0"/>
              <w:rPr>
                <w:sz w:val="4"/>
                <w:szCs w:val="4"/>
                <w:color w:val="auto"/>
              </w:rPr>
            </w:pPr>
          </w:p>
        </w:tc>
        <w:tc>
          <w:tcPr>
            <w:tcW w:w="460" w:type="dxa"/>
            <w:vAlign w:val="bottom"/>
            <w:tcBorders>
              <w:bottom w:val="single" w:sz="8" w:color="376DB5"/>
            </w:tcBorders>
          </w:tcPr>
          <w:p>
            <w:pPr>
              <w:spacing w:after="0"/>
              <w:rPr>
                <w:sz w:val="4"/>
                <w:szCs w:val="4"/>
                <w:color w:val="auto"/>
              </w:rPr>
            </w:pPr>
          </w:p>
        </w:tc>
        <w:tc>
          <w:tcPr>
            <w:tcW w:w="7960" w:type="dxa"/>
            <w:vAlign w:val="bottom"/>
            <w:tcBorders>
              <w:bottom w:val="single" w:sz="8" w:color="376DB5"/>
            </w:tcBorders>
          </w:tcPr>
          <w:p>
            <w:pPr>
              <w:spacing w:after="0"/>
              <w:rPr>
                <w:sz w:val="4"/>
                <w:szCs w:val="4"/>
                <w:color w:val="auto"/>
              </w:rPr>
            </w:pPr>
          </w:p>
        </w:tc>
      </w:tr>
    </w:tbl>
    <w:p>
      <w:pPr>
        <w:spacing w:after="0" w:line="103" w:lineRule="exact"/>
        <w:rPr>
          <w:sz w:val="20"/>
          <w:szCs w:val="20"/>
          <w:color w:val="auto"/>
        </w:rPr>
      </w:pPr>
    </w:p>
    <w:p>
      <w:pPr>
        <w:jc w:val="both"/>
        <w:ind w:left="540" w:hanging="424"/>
        <w:spacing w:after="0" w:line="246"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amounts shown in the “Summary Compensation Table Total for PEO” column and the “Compensation Actually Paid to PEO” column for fiscal year 2024 were updated from the amounts reported in the proxy statement for the 2025 annual meeting of stockholders to reflect that, during fiscal 2024, we paid $239,172 in filing fees and related preparation fees on behalf of Mr. Lansing for HSR compliance.</w:t>
      </w:r>
    </w:p>
    <w:p>
      <w:pPr>
        <w:spacing w:after="0" w:line="2" w:lineRule="exact"/>
        <w:rPr>
          <w:sz w:val="20"/>
          <w:szCs w:val="20"/>
          <w:color w:val="auto"/>
        </w:rPr>
      </w:pPr>
    </w:p>
    <w:p>
      <w:pPr>
        <w:ind w:left="540" w:right="20" w:hanging="424"/>
        <w:spacing w:after="0" w:line="258" w:lineRule="auto"/>
        <w:tabs>
          <w:tab w:leader="none" w:pos="540" w:val="left"/>
        </w:tabs>
        <w:numPr>
          <w:ilvl w:val="0"/>
          <w:numId w:val="71"/>
        </w:numPr>
        <w:rPr>
          <w:rFonts w:ascii="Arial" w:cs="Arial" w:eastAsia="Arial" w:hAnsi="Arial"/>
          <w:sz w:val="11"/>
          <w:szCs w:val="11"/>
          <w:color w:val="auto"/>
        </w:rPr>
      </w:pPr>
      <w:r>
        <w:rPr>
          <w:rFonts w:ascii="Arial" w:cs="Arial" w:eastAsia="Arial" w:hAnsi="Arial"/>
          <w:sz w:val="18"/>
          <w:szCs w:val="18"/>
          <w:color w:val="auto"/>
        </w:rPr>
        <w:t>Amounts reflect the total compensation for our PEO, and the average total compensation of our Non-PEO NEOs, as reported in the Summary Compensation Table for each applicable fiscal year.</w:t>
      </w:r>
    </w:p>
    <w:p>
      <w:pPr>
        <w:jc w:val="both"/>
        <w:ind w:left="540" w:hanging="424"/>
        <w:spacing w:after="0"/>
        <w:tabs>
          <w:tab w:leader="none" w:pos="540" w:val="left"/>
        </w:tabs>
        <w:numPr>
          <w:ilvl w:val="0"/>
          <w:numId w:val="71"/>
        </w:numPr>
        <w:rPr>
          <w:rFonts w:ascii="Arial" w:cs="Arial" w:eastAsia="Arial" w:hAnsi="Arial"/>
          <w:sz w:val="11"/>
          <w:szCs w:val="11"/>
          <w:color w:val="auto"/>
        </w:rPr>
      </w:pPr>
      <w:r>
        <w:rPr>
          <w:rFonts w:ascii="Arial" w:cs="Arial" w:eastAsia="Arial" w:hAnsi="Arial"/>
          <w:sz w:val="18"/>
          <w:szCs w:val="18"/>
          <w:color w:val="auto"/>
        </w:rPr>
        <w:t>The amounts shown for “Compensation Actually Paid” have been calculated in accordance with Item 402(v) and do not reflect compensation actually earned, realized or received by the Company’s PEO and Non-PEO NEOs. In accordance with Item 402(v) requirements, the fair values of unvested and outstanding equity awards were remeasured as of the end of each fiscal year, and as of each vesting date, during the fiscal years displayed in the tables below. For MSUs with a relative total shareholder return (“TSR”) metric, the fair values as of each measurement date (prior to the end of the performance period) were determined using a Monte Carlo simulation pricing model, with assumptions and methodologies that are generally consistent with those used to estimate the fair value of the awards at grant under U.S. GAAP. The range of estimates used in the Monte Carlo calculations are as follows:</w:t>
      </w:r>
    </w:p>
    <w:p>
      <w:pPr>
        <w:spacing w:after="0" w:line="4" w:lineRule="exact"/>
        <w:rPr>
          <w:rFonts w:ascii="Arial" w:cs="Arial" w:eastAsia="Arial" w:hAnsi="Arial"/>
          <w:sz w:val="11"/>
          <w:szCs w:val="11"/>
          <w:color w:val="auto"/>
        </w:rPr>
      </w:pPr>
    </w:p>
    <w:p>
      <w:pPr>
        <w:ind w:left="760" w:hanging="204"/>
        <w:spacing w:after="0"/>
        <w:tabs>
          <w:tab w:leader="none" w:pos="7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for fiscal 2025, expected volatility between 37.0% - 38.1% and risk-free interest rate between 3.60% - 4.15%;</w:t>
      </w:r>
    </w:p>
    <w:p>
      <w:pPr>
        <w:spacing w:after="0" w:line="26" w:lineRule="exact"/>
        <w:rPr>
          <w:rFonts w:ascii="Arial" w:cs="Arial" w:eastAsia="Arial" w:hAnsi="Arial"/>
          <w:sz w:val="18"/>
          <w:szCs w:val="18"/>
          <w:color w:val="auto"/>
        </w:rPr>
      </w:pPr>
    </w:p>
    <w:p>
      <w:pPr>
        <w:ind w:left="800" w:hanging="244"/>
        <w:spacing w:after="0"/>
        <w:tabs>
          <w:tab w:leader="none" w:pos="8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for fiscal 2024, expected volatility between 36.4% - 40.9% and risk-free interest rate between 3.58% - 4.87%;</w:t>
      </w:r>
    </w:p>
    <w:p>
      <w:pPr>
        <w:spacing w:after="0" w:line="36" w:lineRule="exact"/>
        <w:rPr>
          <w:rFonts w:ascii="Arial" w:cs="Arial" w:eastAsia="Arial" w:hAnsi="Arial"/>
          <w:sz w:val="18"/>
          <w:szCs w:val="18"/>
          <w:color w:val="auto"/>
        </w:rPr>
      </w:pPr>
    </w:p>
    <w:p>
      <w:pPr>
        <w:ind w:left="840" w:hanging="284"/>
        <w:spacing w:after="0"/>
        <w:tabs>
          <w:tab w:leader="none" w:pos="8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for fiscal 2023, expected volatility between 36.6% - 41.1% and risk-free interest rate between 4.53% - 5.49%;</w:t>
      </w:r>
    </w:p>
    <w:p>
      <w:pPr>
        <w:spacing w:after="0" w:line="31" w:lineRule="exact"/>
        <w:rPr>
          <w:rFonts w:ascii="Arial" w:cs="Arial" w:eastAsia="Arial" w:hAnsi="Arial"/>
          <w:sz w:val="18"/>
          <w:szCs w:val="18"/>
          <w:color w:val="auto"/>
        </w:rPr>
      </w:pPr>
    </w:p>
    <w:p>
      <w:pPr>
        <w:ind w:left="860" w:hanging="304"/>
        <w:spacing w:after="0"/>
        <w:tabs>
          <w:tab w:leader="none" w:pos="8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for fiscal 2022, expected volatility 44.2% and risk-free interest rate between 3.20% - 4.19%; and</w:t>
      </w:r>
    </w:p>
    <w:p>
      <w:pPr>
        <w:spacing w:after="0" w:line="26" w:lineRule="exact"/>
        <w:rPr>
          <w:rFonts w:ascii="Arial" w:cs="Arial" w:eastAsia="Arial" w:hAnsi="Arial"/>
          <w:sz w:val="18"/>
          <w:szCs w:val="18"/>
          <w:color w:val="auto"/>
        </w:rPr>
      </w:pPr>
    </w:p>
    <w:p>
      <w:pPr>
        <w:ind w:left="820" w:hanging="264"/>
        <w:spacing w:after="0"/>
        <w:tabs>
          <w:tab w:leader="none" w:pos="8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for fiscal 2021, expected volatility 42.7% and risk-free interest rate between 0.05% - 0.32%.</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78</w:t>
      </w:r>
    </w:p>
    <w:p>
      <w:pPr>
        <w:sectPr>
          <w:pgSz w:w="11900" w:h="16838" w:orient="portrait"/>
          <w:cols w:equalWidth="0" w:num="1">
            <w:col w:w="11140"/>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jc w:val="both"/>
        <w:ind w:left="560" w:right="20"/>
        <w:spacing w:after="0" w:line="255" w:lineRule="auto"/>
        <w:rPr>
          <w:sz w:val="20"/>
          <w:szCs w:val="20"/>
          <w:color w:val="auto"/>
        </w:rPr>
      </w:pPr>
      <w:r>
        <w:rPr>
          <w:rFonts w:ascii="Arial" w:cs="Arial" w:eastAsia="Arial" w:hAnsi="Arial"/>
          <w:sz w:val="18"/>
          <w:szCs w:val="18"/>
          <w:color w:val="auto"/>
        </w:rPr>
        <w:t>For PSUs, which have metrics related to Adjusted Revenue and Adjusted EBITDA, the fair values reflect the probable outcome of the performance vesting conditions as of each measurement date.</w:t>
      </w:r>
    </w:p>
    <w:p>
      <w:pPr>
        <w:spacing w:after="0" w:line="2" w:lineRule="exact"/>
        <w:rPr>
          <w:sz w:val="20"/>
          <w:szCs w:val="20"/>
          <w:color w:val="auto"/>
        </w:rPr>
      </w:pPr>
    </w:p>
    <w:p>
      <w:pPr>
        <w:jc w:val="both"/>
        <w:ind w:left="560" w:right="20"/>
        <w:spacing w:after="0" w:line="252" w:lineRule="auto"/>
        <w:rPr>
          <w:sz w:val="20"/>
          <w:szCs w:val="20"/>
          <w:color w:val="auto"/>
        </w:rPr>
      </w:pPr>
      <w:r>
        <w:rPr>
          <w:rFonts w:ascii="Arial" w:cs="Arial" w:eastAsia="Arial" w:hAnsi="Arial"/>
          <w:sz w:val="18"/>
          <w:szCs w:val="18"/>
          <w:color w:val="auto"/>
        </w:rPr>
        <w:t>For a discussion of the assumptions made in the valuation of these awards at grant, see Note 13 to the Consolidated Financial Statements included in our Annual Report on Form 10-K filed with the SEC on November 7, 2025.</w:t>
      </w:r>
    </w:p>
    <w:p>
      <w:pPr>
        <w:spacing w:after="0" w:line="1" w:lineRule="exact"/>
        <w:rPr>
          <w:sz w:val="20"/>
          <w:szCs w:val="20"/>
          <w:color w:val="auto"/>
        </w:rPr>
      </w:pPr>
    </w:p>
    <w:p>
      <w:pPr>
        <w:jc w:val="both"/>
        <w:ind w:left="560"/>
        <w:spacing w:after="0" w:line="247" w:lineRule="auto"/>
        <w:rPr>
          <w:sz w:val="20"/>
          <w:szCs w:val="20"/>
          <w:color w:val="auto"/>
        </w:rPr>
      </w:pPr>
      <w:r>
        <w:rPr>
          <w:rFonts w:ascii="Arial" w:cs="Arial" w:eastAsia="Arial" w:hAnsi="Arial"/>
          <w:sz w:val="18"/>
          <w:szCs w:val="18"/>
          <w:color w:val="auto"/>
        </w:rPr>
        <w:t>For each fiscal year reflected, the “Compensation Actually Paid” to the PEO and the average “Compensation Actually Paid” to the Non-PEO NEOs reflect the following adjustments made to the total compensation amounts reported in the Summary Compensation Table for each applicable fiscal year, computed in accordance with Item 402(v) of Regulation S-K. None of our NEOs participate in a pension plan; therefore, no adjustment from the Summary Compensation Table total related to pension value was made.</w:t>
      </w:r>
    </w:p>
    <w:p>
      <w:pPr>
        <w:spacing w:after="0" w:line="106"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79</w:t>
      </w:r>
    </w:p>
    <w:p>
      <w:pPr>
        <w:sectPr>
          <w:pgSz w:w="11900" w:h="16838" w:orient="portrait"/>
          <w:cols w:equalWidth="0" w:num="1">
            <w:col w:w="11140"/>
          </w:cols>
          <w:pgMar w:left="320" w:top="482"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540" w:type="dxa"/>
            <w:vAlign w:val="bottom"/>
            <w:gridSpan w:val="3"/>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20" w:type="dxa"/>
            <w:vAlign w:val="bottom"/>
            <w:gridSpan w:val="2"/>
            <w:shd w:val="clear" w:color="auto" w:fill="F2F2F2"/>
          </w:tcPr>
          <w:p>
            <w:pPr>
              <w:ind w:left="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80"/>
              <w:spacing w:after="0"/>
              <w:rPr>
                <w:sz w:val="20"/>
                <w:szCs w:val="20"/>
                <w:color w:val="auto"/>
              </w:rPr>
            </w:pPr>
            <w:r>
              <w:rPr>
                <w:rFonts w:ascii="Arial" w:cs="Arial" w:eastAsia="Arial" w:hAnsi="Arial"/>
                <w:sz w:val="18"/>
                <w:szCs w:val="18"/>
                <w:color w:val="auto"/>
              </w:rPr>
              <w:t>Charter</w:t>
            </w:r>
          </w:p>
        </w:tc>
        <w:tc>
          <w:tcPr>
            <w:tcW w:w="1240" w:type="dxa"/>
            <w:vAlign w:val="bottom"/>
            <w:shd w:val="clear" w:color="auto" w:fill="F2F2F2"/>
          </w:tcPr>
          <w:p>
            <w:pPr>
              <w:ind w:left="120"/>
              <w:spacing w:after="0"/>
              <w:rPr>
                <w:sz w:val="20"/>
                <w:szCs w:val="20"/>
                <w:color w:val="auto"/>
              </w:rPr>
            </w:pPr>
            <w:r>
              <w:rPr>
                <w:rFonts w:ascii="Arial" w:cs="Arial" w:eastAsia="Arial" w:hAnsi="Arial"/>
                <w:sz w:val="18"/>
                <w:szCs w:val="18"/>
                <w:color w:val="auto"/>
              </w:rPr>
              <w:t>Stock</w:t>
            </w:r>
          </w:p>
        </w:tc>
        <w:tc>
          <w:tcPr>
            <w:tcW w:w="1380" w:type="dxa"/>
            <w:vAlign w:val="bottom"/>
            <w:shd w:val="clear" w:color="auto" w:fill="F2F2F2"/>
          </w:tcPr>
          <w:p>
            <w:pPr>
              <w:ind w:left="4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540" w:type="dxa"/>
            <w:vAlign w:val="bottom"/>
            <w:gridSpan w:val="3"/>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20" w:type="dxa"/>
            <w:vAlign w:val="bottom"/>
            <w:gridSpan w:val="2"/>
            <w:shd w:val="clear" w:color="auto" w:fill="F2F2F2"/>
          </w:tcPr>
          <w:p>
            <w:pPr>
              <w:ind w:left="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80"/>
              <w:spacing w:after="0" w:line="202" w:lineRule="exact"/>
              <w:rPr>
                <w:sz w:val="20"/>
                <w:szCs w:val="20"/>
                <w:color w:val="auto"/>
              </w:rPr>
            </w:pPr>
            <w:r>
              <w:rPr>
                <w:rFonts w:ascii="Arial" w:cs="Arial" w:eastAsia="Arial" w:hAnsi="Arial"/>
                <w:sz w:val="18"/>
                <w:szCs w:val="18"/>
                <w:color w:val="auto"/>
              </w:rPr>
              <w:t>Amendments</w:t>
            </w:r>
          </w:p>
        </w:tc>
        <w:tc>
          <w:tcPr>
            <w:tcW w:w="124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Ownership</w:t>
            </w:r>
          </w:p>
        </w:tc>
        <w:tc>
          <w:tcPr>
            <w:tcW w:w="1380" w:type="dxa"/>
            <w:vAlign w:val="bottom"/>
            <w:shd w:val="clear" w:color="auto" w:fill="F2F2F2"/>
          </w:tcPr>
          <w:p>
            <w:pPr>
              <w:ind w:left="40"/>
              <w:spacing w:after="0" w:line="202" w:lineRule="exact"/>
              <w:rPr>
                <w:sz w:val="20"/>
                <w:szCs w:val="20"/>
                <w:color w:val="auto"/>
              </w:rPr>
            </w:pPr>
            <w:r>
              <w:rPr>
                <w:rFonts w:ascii="Arial" w:cs="Arial" w:eastAsia="Arial" w:hAnsi="Arial"/>
                <w:sz w:val="18"/>
                <w:szCs w:val="18"/>
                <w:color w:val="auto"/>
              </w:rPr>
              <w:t>Matters</w:t>
            </w:r>
          </w:p>
        </w:tc>
        <w:tc>
          <w:tcPr>
            <w:tcW w:w="0" w:type="dxa"/>
            <w:vAlign w:val="bottom"/>
          </w:tcPr>
          <w:p>
            <w:pPr>
              <w:spacing w:after="0"/>
              <w:rPr>
                <w:sz w:val="1"/>
                <w:szCs w:val="1"/>
                <w:color w:val="auto"/>
              </w:rPr>
            </w:pPr>
          </w:p>
        </w:tc>
      </w:tr>
      <w:tr>
        <w:trPr>
          <w:trHeight w:val="228"/>
        </w:trPr>
        <w:tc>
          <w:tcPr>
            <w:tcW w:w="1420" w:type="dxa"/>
            <w:vAlign w:val="bottom"/>
            <w:shd w:val="clear" w:color="auto" w:fill="F2F2F2"/>
          </w:tcPr>
          <w:p>
            <w:pPr>
              <w:spacing w:after="0"/>
              <w:rPr>
                <w:sz w:val="19"/>
                <w:szCs w:val="19"/>
                <w:color w:val="auto"/>
              </w:rPr>
            </w:pPr>
          </w:p>
        </w:tc>
        <w:tc>
          <w:tcPr>
            <w:tcW w:w="1000" w:type="dxa"/>
            <w:vAlign w:val="bottom"/>
            <w:shd w:val="clear" w:color="auto" w:fill="F2F2F2"/>
          </w:tcPr>
          <w:p>
            <w:pPr>
              <w:spacing w:after="0"/>
              <w:rPr>
                <w:sz w:val="19"/>
                <w:szCs w:val="19"/>
                <w:color w:val="auto"/>
              </w:rPr>
            </w:pPr>
          </w:p>
        </w:tc>
        <w:tc>
          <w:tcPr>
            <w:tcW w:w="1460" w:type="dxa"/>
            <w:vAlign w:val="bottom"/>
            <w:shd w:val="clear" w:color="auto" w:fill="F2F2F2"/>
          </w:tcPr>
          <w:p>
            <w:pPr>
              <w:spacing w:after="0"/>
              <w:rPr>
                <w:sz w:val="19"/>
                <w:szCs w:val="19"/>
                <w:color w:val="auto"/>
              </w:rPr>
            </w:pPr>
          </w:p>
        </w:tc>
        <w:tc>
          <w:tcPr>
            <w:tcW w:w="1540" w:type="dxa"/>
            <w:vAlign w:val="bottom"/>
            <w:gridSpan w:val="3"/>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380" w:type="dxa"/>
            <w:vAlign w:val="bottom"/>
            <w:shd w:val="clear" w:color="auto" w:fill="F2F2F2"/>
          </w:tcPr>
          <w:p>
            <w:pPr>
              <w:spacing w:after="0"/>
              <w:rPr>
                <w:sz w:val="19"/>
                <w:szCs w:val="19"/>
                <w:color w:val="auto"/>
              </w:rPr>
            </w:pPr>
          </w:p>
        </w:tc>
        <w:tc>
          <w:tcPr>
            <w:tcW w:w="1240" w:type="dxa"/>
            <w:vAlign w:val="bottom"/>
            <w:shd w:val="clear" w:color="auto" w:fill="F2F2F2"/>
          </w:tcPr>
          <w:p>
            <w:pPr>
              <w:spacing w:after="0"/>
              <w:rPr>
                <w:sz w:val="19"/>
                <w:szCs w:val="19"/>
                <w:color w:val="auto"/>
              </w:rPr>
            </w:pPr>
          </w:p>
        </w:tc>
        <w:tc>
          <w:tcPr>
            <w:tcW w:w="1360" w:type="dxa"/>
            <w:vAlign w:val="bottom"/>
            <w:shd w:val="clear" w:color="auto" w:fill="F2F2F2"/>
          </w:tcPr>
          <w:p>
            <w:pPr>
              <w:spacing w:after="0"/>
              <w:rPr>
                <w:sz w:val="19"/>
                <w:szCs w:val="19"/>
                <w:color w:val="auto"/>
              </w:rPr>
            </w:pPr>
          </w:p>
        </w:tc>
        <w:tc>
          <w:tcPr>
            <w:tcW w:w="1240" w:type="dxa"/>
            <w:vAlign w:val="bottom"/>
            <w:shd w:val="clear" w:color="auto" w:fill="F2F2F2"/>
          </w:tcPr>
          <w:p>
            <w:pPr>
              <w:spacing w:after="0"/>
              <w:rPr>
                <w:sz w:val="19"/>
                <w:szCs w:val="19"/>
                <w:color w:val="auto"/>
              </w:rPr>
            </w:pPr>
          </w:p>
        </w:tc>
        <w:tc>
          <w:tcPr>
            <w:tcW w:w="138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420" w:type="dxa"/>
            <w:vAlign w:val="bottom"/>
            <w:tcBorders>
              <w:top w:val="single" w:sz="8" w:color="F2F2F2"/>
              <w:bottom w:val="single" w:sz="8" w:color="376DB5"/>
            </w:tcBorders>
          </w:tcPr>
          <w:p>
            <w:pPr>
              <w:spacing w:after="0"/>
              <w:rPr>
                <w:sz w:val="12"/>
                <w:szCs w:val="12"/>
                <w:color w:val="auto"/>
              </w:rPr>
            </w:pPr>
          </w:p>
        </w:tc>
        <w:tc>
          <w:tcPr>
            <w:tcW w:w="1000" w:type="dxa"/>
            <w:vAlign w:val="bottom"/>
            <w:tcBorders>
              <w:top w:val="single" w:sz="8" w:color="F2F2F2"/>
              <w:bottom w:val="single" w:sz="8" w:color="376DB5"/>
            </w:tcBorders>
          </w:tcPr>
          <w:p>
            <w:pPr>
              <w:spacing w:after="0"/>
              <w:rPr>
                <w:sz w:val="12"/>
                <w:szCs w:val="12"/>
                <w:color w:val="auto"/>
              </w:rPr>
            </w:pPr>
          </w:p>
        </w:tc>
        <w:tc>
          <w:tcPr>
            <w:tcW w:w="1460" w:type="dxa"/>
            <w:vAlign w:val="bottom"/>
            <w:tcBorders>
              <w:top w:val="single" w:sz="8" w:color="F2F2F2"/>
              <w:bottom w:val="single" w:sz="8" w:color="376DB5"/>
            </w:tcBorders>
          </w:tcPr>
          <w:p>
            <w:pPr>
              <w:spacing w:after="0"/>
              <w:rPr>
                <w:sz w:val="12"/>
                <w:szCs w:val="12"/>
                <w:color w:val="auto"/>
              </w:rPr>
            </w:pPr>
          </w:p>
        </w:tc>
        <w:tc>
          <w:tcPr>
            <w:tcW w:w="520" w:type="dxa"/>
            <w:vAlign w:val="bottom"/>
            <w:tcBorders>
              <w:top w:val="single" w:sz="8" w:color="376DB5"/>
              <w:bottom w:val="single" w:sz="8" w:color="376DB5"/>
            </w:tcBorders>
          </w:tcPr>
          <w:p>
            <w:pPr>
              <w:spacing w:after="0"/>
              <w:rPr>
                <w:sz w:val="12"/>
                <w:szCs w:val="12"/>
                <w:color w:val="auto"/>
              </w:rPr>
            </w:pPr>
          </w:p>
        </w:tc>
        <w:tc>
          <w:tcPr>
            <w:tcW w:w="300" w:type="dxa"/>
            <w:vAlign w:val="bottom"/>
            <w:tcBorders>
              <w:top w:val="single" w:sz="8" w:color="376DB5"/>
              <w:bottom w:val="single" w:sz="8" w:color="376DB5"/>
            </w:tcBorders>
          </w:tcPr>
          <w:p>
            <w:pPr>
              <w:spacing w:after="0"/>
              <w:rPr>
                <w:sz w:val="12"/>
                <w:szCs w:val="12"/>
                <w:color w:val="auto"/>
              </w:rPr>
            </w:pPr>
          </w:p>
        </w:tc>
        <w:tc>
          <w:tcPr>
            <w:tcW w:w="720" w:type="dxa"/>
            <w:vAlign w:val="bottom"/>
            <w:tcBorders>
              <w:top w:val="single" w:sz="8" w:color="F2F2F2"/>
              <w:bottom w:val="single" w:sz="8" w:color="376DB5"/>
            </w:tcBorders>
          </w:tcPr>
          <w:p>
            <w:pPr>
              <w:spacing w:after="0"/>
              <w:rPr>
                <w:sz w:val="12"/>
                <w:szCs w:val="12"/>
                <w:color w:val="auto"/>
              </w:rPr>
            </w:pPr>
          </w:p>
        </w:tc>
        <w:tc>
          <w:tcPr>
            <w:tcW w:w="380" w:type="dxa"/>
            <w:vAlign w:val="bottom"/>
            <w:tcBorders>
              <w:top w:val="single" w:sz="8" w:color="F2F2F2"/>
              <w:bottom w:val="single" w:sz="8" w:color="376DB5"/>
            </w:tcBorders>
          </w:tcPr>
          <w:p>
            <w:pPr>
              <w:spacing w:after="0"/>
              <w:rPr>
                <w:sz w:val="12"/>
                <w:szCs w:val="12"/>
                <w:color w:val="auto"/>
              </w:rPr>
            </w:pPr>
          </w:p>
        </w:tc>
        <w:tc>
          <w:tcPr>
            <w:tcW w:w="1240" w:type="dxa"/>
            <w:vAlign w:val="bottom"/>
            <w:tcBorders>
              <w:top w:val="single" w:sz="8" w:color="F2F2F2"/>
              <w:bottom w:val="single" w:sz="8" w:color="376DB5"/>
            </w:tcBorders>
          </w:tcPr>
          <w:p>
            <w:pPr>
              <w:spacing w:after="0"/>
              <w:rPr>
                <w:sz w:val="12"/>
                <w:szCs w:val="12"/>
                <w:color w:val="auto"/>
              </w:rPr>
            </w:pPr>
          </w:p>
        </w:tc>
        <w:tc>
          <w:tcPr>
            <w:tcW w:w="1360" w:type="dxa"/>
            <w:vAlign w:val="bottom"/>
            <w:tcBorders>
              <w:top w:val="single" w:sz="8" w:color="F2F2F2"/>
              <w:bottom w:val="single" w:sz="8" w:color="376DB5"/>
            </w:tcBorders>
          </w:tcPr>
          <w:p>
            <w:pPr>
              <w:spacing w:after="0"/>
              <w:rPr>
                <w:sz w:val="12"/>
                <w:szCs w:val="12"/>
                <w:color w:val="auto"/>
              </w:rPr>
            </w:pPr>
          </w:p>
        </w:tc>
        <w:tc>
          <w:tcPr>
            <w:tcW w:w="1240" w:type="dxa"/>
            <w:vAlign w:val="bottom"/>
            <w:tcBorders>
              <w:top w:val="single" w:sz="8" w:color="F2F2F2"/>
              <w:bottom w:val="single" w:sz="8" w:color="376DB5"/>
            </w:tcBorders>
          </w:tcPr>
          <w:p>
            <w:pPr>
              <w:spacing w:after="0"/>
              <w:rPr>
                <w:sz w:val="12"/>
                <w:szCs w:val="12"/>
                <w:color w:val="auto"/>
              </w:rPr>
            </w:pPr>
          </w:p>
        </w:tc>
        <w:tc>
          <w:tcPr>
            <w:tcW w:w="1380" w:type="dxa"/>
            <w:vAlign w:val="bottom"/>
            <w:tcBorders>
              <w:top w:val="single" w:sz="8" w:color="F2F2F2"/>
              <w:bottom w:val="single" w:sz="8" w:color="376DB5"/>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Borders>
              <w:bottom w:val="single" w:sz="8" w:color="376DB5"/>
            </w:tcBorders>
          </w:tcPr>
          <w:p>
            <w:pPr>
              <w:spacing w:after="0"/>
              <w:rPr>
                <w:sz w:val="19"/>
                <w:szCs w:val="19"/>
                <w:color w:val="auto"/>
              </w:rPr>
            </w:pPr>
          </w:p>
        </w:tc>
        <w:tc>
          <w:tcPr>
            <w:tcW w:w="720" w:type="dxa"/>
            <w:vAlign w:val="bottom"/>
            <w:tcBorders>
              <w:bottom w:val="single" w:sz="8" w:color="376DB5"/>
            </w:tcBorders>
          </w:tcPr>
          <w:p>
            <w:pPr>
              <w:spacing w:after="0"/>
              <w:rPr>
                <w:sz w:val="19"/>
                <w:szCs w:val="19"/>
                <w:color w:val="auto"/>
              </w:rPr>
            </w:pPr>
          </w:p>
        </w:tc>
        <w:tc>
          <w:tcPr>
            <w:tcW w:w="380" w:type="dxa"/>
            <w:vAlign w:val="bottom"/>
            <w:tcBorders>
              <w:bottom w:val="single" w:sz="8" w:color="376DB5"/>
            </w:tcBorders>
          </w:tcPr>
          <w:p>
            <w:pPr>
              <w:spacing w:after="0"/>
              <w:rPr>
                <w:sz w:val="19"/>
                <w:szCs w:val="19"/>
                <w:color w:val="auto"/>
              </w:rPr>
            </w:pPr>
          </w:p>
        </w:tc>
        <w:tc>
          <w:tcPr>
            <w:tcW w:w="1240" w:type="dxa"/>
            <w:vAlign w:val="bottom"/>
            <w:tcBorders>
              <w:bottom w:val="single" w:sz="8" w:color="376DB5"/>
            </w:tcBorders>
          </w:tcPr>
          <w:p>
            <w:pPr>
              <w:spacing w:after="0"/>
              <w:rPr>
                <w:sz w:val="19"/>
                <w:szCs w:val="19"/>
                <w:color w:val="auto"/>
              </w:rPr>
            </w:pPr>
          </w:p>
        </w:tc>
        <w:tc>
          <w:tcPr>
            <w:tcW w:w="1360" w:type="dxa"/>
            <w:vAlign w:val="bottom"/>
            <w:tcBorders>
              <w:bottom w:val="single" w:sz="8" w:color="376DB5"/>
            </w:tcBorders>
          </w:tcPr>
          <w:p>
            <w:pPr>
              <w:jc w:val="right"/>
              <w:ind w:right="370"/>
              <w:spacing w:after="0"/>
              <w:rPr>
                <w:sz w:val="20"/>
                <w:szCs w:val="20"/>
                <w:color w:val="auto"/>
              </w:rPr>
            </w:pPr>
            <w:r>
              <w:rPr>
                <w:rFonts w:ascii="Arial" w:cs="Arial" w:eastAsia="Arial" w:hAnsi="Arial"/>
                <w:sz w:val="18"/>
                <w:szCs w:val="18"/>
                <w:color w:val="376DB5"/>
              </w:rPr>
              <w:t>PEO</w:t>
            </w:r>
          </w:p>
        </w:tc>
        <w:tc>
          <w:tcPr>
            <w:tcW w:w="1240" w:type="dxa"/>
            <w:vAlign w:val="bottom"/>
            <w:tcBorders>
              <w:bottom w:val="single" w:sz="8" w:color="376DB5"/>
            </w:tcBorders>
          </w:tcPr>
          <w:p>
            <w:pPr>
              <w:spacing w:after="0"/>
              <w:rPr>
                <w:sz w:val="19"/>
                <w:szCs w:val="19"/>
                <w:color w:val="auto"/>
              </w:rPr>
            </w:pPr>
          </w:p>
        </w:tc>
        <w:tc>
          <w:tcPr>
            <w:tcW w:w="1380" w:type="dxa"/>
            <w:vAlign w:val="bottom"/>
            <w:tcBorders>
              <w:bottom w:val="single" w:sz="8" w:color="376DB5"/>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376DB5"/>
              </w:rPr>
              <w:t>Fiscal</w:t>
            </w:r>
          </w:p>
        </w:tc>
        <w:tc>
          <w:tcPr>
            <w:tcW w:w="380" w:type="dxa"/>
            <w:vAlign w:val="bottom"/>
          </w:tcPr>
          <w:p>
            <w:pPr>
              <w:spacing w:after="0"/>
              <w:rPr>
                <w:sz w:val="18"/>
                <w:szCs w:val="18"/>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376DB5"/>
              </w:rPr>
              <w:t>Fiscal</w:t>
            </w:r>
          </w:p>
        </w:tc>
        <w:tc>
          <w:tcPr>
            <w:tcW w:w="1360" w:type="dxa"/>
            <w:vAlign w:val="bottom"/>
          </w:tcPr>
          <w:p>
            <w:pPr>
              <w:jc w:val="right"/>
              <w:ind w:right="330"/>
              <w:spacing w:after="0"/>
              <w:rPr>
                <w:sz w:val="20"/>
                <w:szCs w:val="20"/>
                <w:color w:val="auto"/>
              </w:rPr>
            </w:pPr>
            <w:r>
              <w:rPr>
                <w:rFonts w:ascii="Arial" w:cs="Arial" w:eastAsia="Arial" w:hAnsi="Arial"/>
                <w:sz w:val="18"/>
                <w:szCs w:val="18"/>
                <w:color w:val="376DB5"/>
              </w:rPr>
              <w:t>Fiscal</w:t>
            </w:r>
          </w:p>
        </w:tc>
        <w:tc>
          <w:tcPr>
            <w:tcW w:w="1240" w:type="dxa"/>
            <w:vAlign w:val="bottom"/>
          </w:tcPr>
          <w:p>
            <w:pPr>
              <w:jc w:val="right"/>
              <w:ind w:right="250"/>
              <w:spacing w:after="0"/>
              <w:rPr>
                <w:sz w:val="20"/>
                <w:szCs w:val="20"/>
                <w:color w:val="auto"/>
              </w:rPr>
            </w:pPr>
            <w:r>
              <w:rPr>
                <w:rFonts w:ascii="Arial" w:cs="Arial" w:eastAsia="Arial" w:hAnsi="Arial"/>
                <w:sz w:val="18"/>
                <w:szCs w:val="18"/>
                <w:color w:val="376DB5"/>
              </w:rPr>
              <w:t>Fiscal</w:t>
            </w:r>
          </w:p>
        </w:tc>
        <w:tc>
          <w:tcPr>
            <w:tcW w:w="1380" w:type="dxa"/>
            <w:vAlign w:val="bottom"/>
          </w:tcPr>
          <w:p>
            <w:pPr>
              <w:jc w:val="right"/>
              <w:ind w:right="310"/>
              <w:spacing w:after="0"/>
              <w:rPr>
                <w:sz w:val="20"/>
                <w:szCs w:val="20"/>
                <w:color w:val="auto"/>
              </w:rPr>
            </w:pPr>
            <w:r>
              <w:rPr>
                <w:rFonts w:ascii="Arial" w:cs="Arial" w:eastAsia="Arial" w:hAnsi="Arial"/>
                <w:sz w:val="18"/>
                <w:szCs w:val="18"/>
                <w:color w:val="376DB5"/>
              </w:rPr>
              <w:t>Fiscal</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4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376DB5"/>
              </w:rPr>
              <w:t>2025</w:t>
            </w:r>
          </w:p>
        </w:tc>
        <w:tc>
          <w:tcPr>
            <w:tcW w:w="380" w:type="dxa"/>
            <w:vAlign w:val="bottom"/>
          </w:tcPr>
          <w:p>
            <w:pPr>
              <w:spacing w:after="0"/>
              <w:rPr>
                <w:sz w:val="17"/>
                <w:szCs w:val="17"/>
                <w:color w:val="auto"/>
              </w:rPr>
            </w:pPr>
          </w:p>
        </w:tc>
        <w:tc>
          <w:tcPr>
            <w:tcW w:w="1240" w:type="dxa"/>
            <w:vAlign w:val="bottom"/>
          </w:tcPr>
          <w:p>
            <w:pPr>
              <w:jc w:val="right"/>
              <w:ind w:right="330"/>
              <w:spacing w:after="0" w:line="202" w:lineRule="exact"/>
              <w:rPr>
                <w:sz w:val="20"/>
                <w:szCs w:val="20"/>
                <w:color w:val="auto"/>
              </w:rPr>
            </w:pPr>
            <w:r>
              <w:rPr>
                <w:rFonts w:ascii="Arial" w:cs="Arial" w:eastAsia="Arial" w:hAnsi="Arial"/>
                <w:sz w:val="18"/>
                <w:szCs w:val="18"/>
                <w:color w:val="376DB5"/>
              </w:rPr>
              <w:t>2024</w:t>
            </w:r>
          </w:p>
        </w:tc>
        <w:tc>
          <w:tcPr>
            <w:tcW w:w="1360" w:type="dxa"/>
            <w:vAlign w:val="bottom"/>
          </w:tcPr>
          <w:p>
            <w:pPr>
              <w:jc w:val="right"/>
              <w:ind w:right="370"/>
              <w:spacing w:after="0" w:line="202" w:lineRule="exact"/>
              <w:rPr>
                <w:sz w:val="20"/>
                <w:szCs w:val="20"/>
                <w:color w:val="auto"/>
              </w:rPr>
            </w:pPr>
            <w:r>
              <w:rPr>
                <w:rFonts w:ascii="Arial" w:cs="Arial" w:eastAsia="Arial" w:hAnsi="Arial"/>
                <w:sz w:val="18"/>
                <w:szCs w:val="18"/>
                <w:color w:val="376DB5"/>
              </w:rPr>
              <w:t>2023</w:t>
            </w:r>
          </w:p>
        </w:tc>
        <w:tc>
          <w:tcPr>
            <w:tcW w:w="1240" w:type="dxa"/>
            <w:vAlign w:val="bottom"/>
          </w:tcPr>
          <w:p>
            <w:pPr>
              <w:jc w:val="right"/>
              <w:ind w:right="290"/>
              <w:spacing w:after="0" w:line="202" w:lineRule="exact"/>
              <w:rPr>
                <w:sz w:val="20"/>
                <w:szCs w:val="20"/>
                <w:color w:val="auto"/>
              </w:rPr>
            </w:pPr>
            <w:r>
              <w:rPr>
                <w:rFonts w:ascii="Arial" w:cs="Arial" w:eastAsia="Arial" w:hAnsi="Arial"/>
                <w:sz w:val="18"/>
                <w:szCs w:val="18"/>
                <w:color w:val="376DB5"/>
              </w:rPr>
              <w:t>2022</w:t>
            </w:r>
          </w:p>
        </w:tc>
        <w:tc>
          <w:tcPr>
            <w:tcW w:w="1380" w:type="dxa"/>
            <w:vAlign w:val="bottom"/>
          </w:tcPr>
          <w:p>
            <w:pPr>
              <w:jc w:val="right"/>
              <w:ind w:right="330"/>
              <w:spacing w:after="0" w:line="202" w:lineRule="exact"/>
              <w:rPr>
                <w:sz w:val="20"/>
                <w:szCs w:val="20"/>
                <w:color w:val="auto"/>
              </w:rPr>
            </w:pPr>
            <w:r>
              <w:rPr>
                <w:rFonts w:ascii="Arial" w:cs="Arial" w:eastAsia="Arial" w:hAnsi="Arial"/>
                <w:sz w:val="18"/>
                <w:szCs w:val="18"/>
                <w:color w:val="376DB5"/>
              </w:rPr>
              <w:t>2021</w:t>
            </w:r>
          </w:p>
        </w:tc>
        <w:tc>
          <w:tcPr>
            <w:tcW w:w="0" w:type="dxa"/>
            <w:vAlign w:val="bottom"/>
          </w:tcPr>
          <w:p>
            <w:pPr>
              <w:spacing w:after="0"/>
              <w:rPr>
                <w:sz w:val="1"/>
                <w:szCs w:val="1"/>
                <w:color w:val="auto"/>
              </w:rPr>
            </w:pPr>
          </w:p>
        </w:tc>
      </w:tr>
      <w:tr>
        <w:trPr>
          <w:trHeight w:val="239"/>
        </w:trPr>
        <w:tc>
          <w:tcPr>
            <w:tcW w:w="1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40" w:type="dxa"/>
            <w:vAlign w:val="bottom"/>
            <w:gridSpan w:val="3"/>
          </w:tcPr>
          <w:p>
            <w:pPr>
              <w:jc w:val="right"/>
              <w:ind w:right="110"/>
              <w:spacing w:after="0"/>
              <w:rPr>
                <w:sz w:val="20"/>
                <w:szCs w:val="20"/>
                <w:color w:val="auto"/>
              </w:rPr>
            </w:pPr>
            <w:r>
              <w:rPr>
                <w:rFonts w:ascii="Arial" w:cs="Arial" w:eastAsia="Arial" w:hAnsi="Arial"/>
                <w:sz w:val="18"/>
                <w:szCs w:val="18"/>
                <w:color w:val="376DB5"/>
              </w:rPr>
              <w:t>($)</w:t>
            </w:r>
          </w:p>
        </w:tc>
        <w:tc>
          <w:tcPr>
            <w:tcW w:w="38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376DB5"/>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376DB5"/>
              </w:rPr>
              <w:t>($)</w:t>
            </w:r>
          </w:p>
        </w:tc>
        <w:tc>
          <w:tcPr>
            <w:tcW w:w="1240" w:type="dxa"/>
            <w:vAlign w:val="bottom"/>
          </w:tcPr>
          <w:p>
            <w:pPr>
              <w:jc w:val="right"/>
              <w:ind w:right="370"/>
              <w:spacing w:after="0"/>
              <w:rPr>
                <w:sz w:val="20"/>
                <w:szCs w:val="20"/>
                <w:color w:val="auto"/>
              </w:rPr>
            </w:pPr>
            <w:r>
              <w:rPr>
                <w:rFonts w:ascii="Arial" w:cs="Arial" w:eastAsia="Arial" w:hAnsi="Arial"/>
                <w:sz w:val="18"/>
                <w:szCs w:val="18"/>
                <w:color w:val="376DB5"/>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376DB5"/>
              </w:rPr>
              <w:t>($)</w:t>
            </w:r>
          </w:p>
        </w:tc>
        <w:tc>
          <w:tcPr>
            <w:tcW w:w="0" w:type="dxa"/>
            <w:vAlign w:val="bottom"/>
          </w:tcPr>
          <w:p>
            <w:pPr>
              <w:spacing w:after="0"/>
              <w:rPr>
                <w:sz w:val="1"/>
                <w:szCs w:val="1"/>
                <w:color w:val="auto"/>
              </w:rPr>
            </w:pPr>
          </w:p>
        </w:tc>
      </w:tr>
      <w:tr>
        <w:trPr>
          <w:trHeight w:val="50"/>
        </w:trPr>
        <w:tc>
          <w:tcPr>
            <w:tcW w:w="3880" w:type="dxa"/>
            <w:vAlign w:val="bottom"/>
            <w:tcBorders>
              <w:bottom w:val="single" w:sz="8" w:color="376DB5"/>
            </w:tcBorders>
            <w:gridSpan w:val="3"/>
          </w:tcPr>
          <w:p>
            <w:pPr>
              <w:spacing w:after="0"/>
              <w:rPr>
                <w:sz w:val="4"/>
                <w:szCs w:val="4"/>
                <w:color w:val="auto"/>
              </w:rPr>
            </w:pPr>
          </w:p>
        </w:tc>
        <w:tc>
          <w:tcPr>
            <w:tcW w:w="820" w:type="dxa"/>
            <w:vAlign w:val="bottom"/>
            <w:tcBorders>
              <w:bottom w:val="single" w:sz="8" w:color="376DB5"/>
            </w:tcBorders>
            <w:gridSpan w:val="2"/>
          </w:tcPr>
          <w:p>
            <w:pPr>
              <w:spacing w:after="0"/>
              <w:rPr>
                <w:sz w:val="4"/>
                <w:szCs w:val="4"/>
                <w:color w:val="auto"/>
              </w:rPr>
            </w:pPr>
          </w:p>
        </w:tc>
        <w:tc>
          <w:tcPr>
            <w:tcW w:w="1100" w:type="dxa"/>
            <w:vAlign w:val="bottom"/>
            <w:tcBorders>
              <w:bottom w:val="single" w:sz="8" w:color="376DB5"/>
            </w:tcBorders>
            <w:gridSpan w:val="2"/>
          </w:tcPr>
          <w:p>
            <w:pPr>
              <w:spacing w:after="0"/>
              <w:rPr>
                <w:sz w:val="4"/>
                <w:szCs w:val="4"/>
                <w:color w:val="auto"/>
              </w:rPr>
            </w:pPr>
          </w:p>
        </w:tc>
        <w:tc>
          <w:tcPr>
            <w:tcW w:w="1240" w:type="dxa"/>
            <w:vAlign w:val="bottom"/>
            <w:tcBorders>
              <w:bottom w:val="single" w:sz="8" w:color="376DB5"/>
            </w:tcBorders>
          </w:tcPr>
          <w:p>
            <w:pPr>
              <w:spacing w:after="0"/>
              <w:rPr>
                <w:sz w:val="4"/>
                <w:szCs w:val="4"/>
                <w:color w:val="auto"/>
              </w:rPr>
            </w:pPr>
          </w:p>
        </w:tc>
        <w:tc>
          <w:tcPr>
            <w:tcW w:w="1360" w:type="dxa"/>
            <w:vAlign w:val="bottom"/>
            <w:tcBorders>
              <w:bottom w:val="single" w:sz="8" w:color="376DB5"/>
            </w:tcBorders>
          </w:tcPr>
          <w:p>
            <w:pPr>
              <w:spacing w:after="0"/>
              <w:rPr>
                <w:sz w:val="4"/>
                <w:szCs w:val="4"/>
                <w:color w:val="auto"/>
              </w:rPr>
            </w:pPr>
          </w:p>
        </w:tc>
        <w:tc>
          <w:tcPr>
            <w:tcW w:w="1240" w:type="dxa"/>
            <w:vAlign w:val="bottom"/>
            <w:tcBorders>
              <w:bottom w:val="single" w:sz="8" w:color="376DB5"/>
            </w:tcBorders>
          </w:tcPr>
          <w:p>
            <w:pPr>
              <w:spacing w:after="0"/>
              <w:rPr>
                <w:sz w:val="4"/>
                <w:szCs w:val="4"/>
                <w:color w:val="auto"/>
              </w:rPr>
            </w:pPr>
          </w:p>
        </w:tc>
        <w:tc>
          <w:tcPr>
            <w:tcW w:w="1380" w:type="dxa"/>
            <w:vAlign w:val="bottom"/>
            <w:tcBorders>
              <w:bottom w:val="single" w:sz="8" w:color="376DB5"/>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3880" w:type="dxa"/>
            <w:vAlign w:val="bottom"/>
            <w:gridSpan w:val="3"/>
          </w:tcPr>
          <w:p>
            <w:pPr>
              <w:spacing w:after="0"/>
              <w:rPr>
                <w:sz w:val="20"/>
                <w:szCs w:val="20"/>
                <w:color w:val="auto"/>
              </w:rPr>
            </w:pPr>
            <w:r>
              <w:rPr>
                <w:rFonts w:ascii="Arial" w:cs="Arial" w:eastAsia="Arial" w:hAnsi="Arial"/>
                <w:sz w:val="18"/>
                <w:szCs w:val="18"/>
                <w:b w:val="1"/>
                <w:bCs w:val="1"/>
                <w:color w:val="auto"/>
              </w:rPr>
              <w:t>Summary Compensation Table Total for PEO</w:t>
            </w:r>
          </w:p>
        </w:tc>
        <w:tc>
          <w:tcPr>
            <w:tcW w:w="19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36,045,267</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35,560,535</w:t>
            </w: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66,349,962</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18,913,781</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19,429,745</w:t>
            </w:r>
          </w:p>
        </w:tc>
        <w:tc>
          <w:tcPr>
            <w:tcW w:w="0" w:type="dxa"/>
            <w:vAlign w:val="bottom"/>
          </w:tcPr>
          <w:p>
            <w:pPr>
              <w:spacing w:after="0"/>
              <w:rPr>
                <w:sz w:val="1"/>
                <w:szCs w:val="1"/>
                <w:color w:val="auto"/>
              </w:rPr>
            </w:pPr>
          </w:p>
        </w:tc>
      </w:tr>
      <w:tr>
        <w:trPr>
          <w:trHeight w:val="37"/>
        </w:trPr>
        <w:tc>
          <w:tcPr>
            <w:tcW w:w="3880" w:type="dxa"/>
            <w:vAlign w:val="bottom"/>
            <w:gridSpan w:val="3"/>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0"/>
        </w:trPr>
        <w:tc>
          <w:tcPr>
            <w:tcW w:w="3880" w:type="dxa"/>
            <w:vAlign w:val="bottom"/>
            <w:gridSpan w:val="3"/>
            <w:shd w:val="clear" w:color="auto" w:fill="F2F2F2"/>
          </w:tcPr>
          <w:p>
            <w:pPr>
              <w:ind w:left="180"/>
              <w:spacing w:after="0"/>
              <w:rPr>
                <w:sz w:val="20"/>
                <w:szCs w:val="20"/>
                <w:color w:val="auto"/>
              </w:rPr>
            </w:pPr>
            <w:r>
              <w:rPr>
                <w:rFonts w:ascii="Arial" w:cs="Arial" w:eastAsia="Arial" w:hAnsi="Arial"/>
                <w:sz w:val="18"/>
                <w:szCs w:val="18"/>
                <w:color w:val="auto"/>
              </w:rPr>
              <w:t>Less: Grant Date Fair Value of Stock Awards</w:t>
            </w:r>
          </w:p>
        </w:tc>
        <w:tc>
          <w:tcPr>
            <w:tcW w:w="520" w:type="dxa"/>
            <w:vAlign w:val="bottom"/>
            <w:shd w:val="clear" w:color="auto" w:fill="F2F2F2"/>
          </w:tcPr>
          <w:p>
            <w:pPr>
              <w:spacing w:after="0"/>
              <w:rPr>
                <w:sz w:val="24"/>
                <w:szCs w:val="24"/>
                <w:color w:val="auto"/>
              </w:rPr>
            </w:pPr>
          </w:p>
        </w:tc>
        <w:tc>
          <w:tcPr>
            <w:tcW w:w="1400" w:type="dxa"/>
            <w:vAlign w:val="bottom"/>
            <w:gridSpan w:val="3"/>
            <w:vMerge w:val="restart"/>
            <w:shd w:val="clear" w:color="auto" w:fill="F2F2F2"/>
          </w:tcPr>
          <w:p>
            <w:pPr>
              <w:jc w:val="right"/>
              <w:ind w:right="50"/>
              <w:spacing w:after="0"/>
              <w:rPr>
                <w:sz w:val="20"/>
                <w:szCs w:val="20"/>
                <w:color w:val="auto"/>
              </w:rPr>
            </w:pPr>
            <w:r>
              <w:rPr>
                <w:rFonts w:ascii="Arial" w:cs="Arial" w:eastAsia="Arial" w:hAnsi="Arial"/>
                <w:sz w:val="18"/>
                <w:szCs w:val="18"/>
                <w:color w:val="auto"/>
              </w:rPr>
              <w:t>(34,091,860)</w:t>
            </w:r>
          </w:p>
        </w:tc>
        <w:tc>
          <w:tcPr>
            <w:tcW w:w="124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(33,311,064)</w:t>
            </w:r>
          </w:p>
        </w:tc>
        <w:tc>
          <w:tcPr>
            <w:tcW w:w="1360" w:type="dxa"/>
            <w:vAlign w:val="bottom"/>
            <w:vMerge w:val="restart"/>
            <w:shd w:val="clear" w:color="auto" w:fill="F2F2F2"/>
          </w:tcPr>
          <w:p>
            <w:pPr>
              <w:jc w:val="right"/>
              <w:ind w:right="30"/>
              <w:spacing w:after="0"/>
              <w:rPr>
                <w:sz w:val="20"/>
                <w:szCs w:val="20"/>
                <w:color w:val="auto"/>
              </w:rPr>
            </w:pPr>
            <w:r>
              <w:rPr>
                <w:rFonts w:ascii="Arial" w:cs="Arial" w:eastAsia="Arial" w:hAnsi="Arial"/>
                <w:sz w:val="18"/>
                <w:szCs w:val="18"/>
                <w:color w:val="auto"/>
              </w:rPr>
              <w:t>(48,996,329)</w:t>
            </w:r>
          </w:p>
        </w:tc>
        <w:tc>
          <w:tcPr>
            <w:tcW w:w="124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(16,942,011)</w:t>
            </w:r>
          </w:p>
        </w:tc>
        <w:tc>
          <w:tcPr>
            <w:tcW w:w="138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(17,458,576)</w:t>
            </w:r>
          </w:p>
        </w:tc>
        <w:tc>
          <w:tcPr>
            <w:tcW w:w="0" w:type="dxa"/>
            <w:vAlign w:val="bottom"/>
          </w:tcPr>
          <w:p>
            <w:pPr>
              <w:spacing w:after="0"/>
              <w:rPr>
                <w:sz w:val="1"/>
                <w:szCs w:val="1"/>
                <w:color w:val="auto"/>
              </w:rPr>
            </w:pPr>
          </w:p>
        </w:tc>
      </w:tr>
      <w:tr>
        <w:trPr>
          <w:trHeight w:val="131"/>
        </w:trPr>
        <w:tc>
          <w:tcPr>
            <w:tcW w:w="3880" w:type="dxa"/>
            <w:vAlign w:val="bottom"/>
            <w:gridSpan w:val="3"/>
            <w:vMerge w:val="restart"/>
            <w:shd w:val="clear" w:color="auto" w:fill="F2F2F2"/>
          </w:tcPr>
          <w:p>
            <w:pPr>
              <w:ind w:left="360"/>
              <w:spacing w:after="0"/>
              <w:rPr>
                <w:sz w:val="20"/>
                <w:szCs w:val="20"/>
                <w:color w:val="auto"/>
              </w:rPr>
            </w:pPr>
            <w:r>
              <w:rPr>
                <w:rFonts w:ascii="Arial" w:cs="Arial" w:eastAsia="Arial" w:hAnsi="Arial"/>
                <w:sz w:val="18"/>
                <w:szCs w:val="18"/>
                <w:color w:val="auto"/>
              </w:rPr>
              <w:t>Granted in Covered Fiscal Year</w:t>
            </w:r>
          </w:p>
        </w:tc>
        <w:tc>
          <w:tcPr>
            <w:tcW w:w="520" w:type="dxa"/>
            <w:vAlign w:val="bottom"/>
            <w:shd w:val="clear" w:color="auto" w:fill="F2F2F2"/>
          </w:tcPr>
          <w:p>
            <w:pPr>
              <w:spacing w:after="0"/>
              <w:rPr>
                <w:sz w:val="11"/>
                <w:szCs w:val="11"/>
                <w:color w:val="auto"/>
              </w:rPr>
            </w:pPr>
          </w:p>
        </w:tc>
        <w:tc>
          <w:tcPr>
            <w:tcW w:w="1400" w:type="dxa"/>
            <w:vAlign w:val="bottom"/>
            <w:gridSpan w:val="3"/>
            <w:vMerge w:val="continue"/>
            <w:shd w:val="clear" w:color="auto" w:fill="F2F2F2"/>
          </w:tcPr>
          <w:p>
            <w:pPr>
              <w:spacing w:after="0"/>
              <w:rPr>
                <w:sz w:val="11"/>
                <w:szCs w:val="11"/>
                <w:color w:val="auto"/>
              </w:rPr>
            </w:pPr>
          </w:p>
        </w:tc>
        <w:tc>
          <w:tcPr>
            <w:tcW w:w="1240" w:type="dxa"/>
            <w:vAlign w:val="bottom"/>
            <w:vMerge w:val="continue"/>
            <w:shd w:val="clear" w:color="auto" w:fill="F2F2F2"/>
          </w:tcPr>
          <w:p>
            <w:pPr>
              <w:spacing w:after="0"/>
              <w:rPr>
                <w:sz w:val="11"/>
                <w:szCs w:val="11"/>
                <w:color w:val="auto"/>
              </w:rPr>
            </w:pPr>
          </w:p>
        </w:tc>
        <w:tc>
          <w:tcPr>
            <w:tcW w:w="1360" w:type="dxa"/>
            <w:vAlign w:val="bottom"/>
            <w:vMerge w:val="continue"/>
            <w:shd w:val="clear" w:color="auto" w:fill="F2F2F2"/>
          </w:tcPr>
          <w:p>
            <w:pPr>
              <w:spacing w:after="0"/>
              <w:rPr>
                <w:sz w:val="11"/>
                <w:szCs w:val="11"/>
                <w:color w:val="auto"/>
              </w:rPr>
            </w:pPr>
          </w:p>
        </w:tc>
        <w:tc>
          <w:tcPr>
            <w:tcW w:w="1240" w:type="dxa"/>
            <w:vAlign w:val="bottom"/>
            <w:vMerge w:val="continue"/>
            <w:shd w:val="clear" w:color="auto" w:fill="F2F2F2"/>
          </w:tcPr>
          <w:p>
            <w:pPr>
              <w:spacing w:after="0"/>
              <w:rPr>
                <w:sz w:val="11"/>
                <w:szCs w:val="11"/>
                <w:color w:val="auto"/>
              </w:rPr>
            </w:pPr>
          </w:p>
        </w:tc>
        <w:tc>
          <w:tcPr>
            <w:tcW w:w="1380" w:type="dxa"/>
            <w:vAlign w:val="bottom"/>
            <w:vMerge w:val="continue"/>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80" w:type="dxa"/>
            <w:vAlign w:val="bottom"/>
            <w:gridSpan w:val="3"/>
            <w:vMerge w:val="continue"/>
            <w:shd w:val="clear" w:color="auto" w:fill="F2F2F2"/>
          </w:tcPr>
          <w:p>
            <w:pPr>
              <w:spacing w:after="0"/>
              <w:rPr>
                <w:sz w:val="9"/>
                <w:szCs w:val="9"/>
                <w:color w:val="auto"/>
              </w:rPr>
            </w:pPr>
          </w:p>
        </w:tc>
        <w:tc>
          <w:tcPr>
            <w:tcW w:w="520" w:type="dxa"/>
            <w:vAlign w:val="bottom"/>
            <w:shd w:val="clear" w:color="auto" w:fill="F2F2F2"/>
          </w:tcPr>
          <w:p>
            <w:pPr>
              <w:spacing w:after="0"/>
              <w:rPr>
                <w:sz w:val="9"/>
                <w:szCs w:val="9"/>
                <w:color w:val="auto"/>
              </w:rPr>
            </w:pPr>
          </w:p>
        </w:tc>
        <w:tc>
          <w:tcPr>
            <w:tcW w:w="300" w:type="dxa"/>
            <w:vAlign w:val="bottom"/>
            <w:shd w:val="clear" w:color="auto" w:fill="F2F2F2"/>
          </w:tcPr>
          <w:p>
            <w:pPr>
              <w:spacing w:after="0"/>
              <w:rPr>
                <w:sz w:val="9"/>
                <w:szCs w:val="9"/>
                <w:color w:val="auto"/>
              </w:rPr>
            </w:pPr>
          </w:p>
        </w:tc>
        <w:tc>
          <w:tcPr>
            <w:tcW w:w="720" w:type="dxa"/>
            <w:vAlign w:val="bottom"/>
            <w:shd w:val="clear" w:color="auto" w:fill="F2F2F2"/>
          </w:tcPr>
          <w:p>
            <w:pPr>
              <w:spacing w:after="0"/>
              <w:rPr>
                <w:sz w:val="9"/>
                <w:szCs w:val="9"/>
                <w:color w:val="auto"/>
              </w:rPr>
            </w:pPr>
          </w:p>
        </w:tc>
        <w:tc>
          <w:tcPr>
            <w:tcW w:w="380" w:type="dxa"/>
            <w:vAlign w:val="bottom"/>
            <w:shd w:val="clear" w:color="auto" w:fill="F2F2F2"/>
          </w:tcPr>
          <w:p>
            <w:pPr>
              <w:spacing w:after="0"/>
              <w:rPr>
                <w:sz w:val="9"/>
                <w:szCs w:val="9"/>
                <w:color w:val="auto"/>
              </w:rPr>
            </w:pPr>
          </w:p>
        </w:tc>
        <w:tc>
          <w:tcPr>
            <w:tcW w:w="1240" w:type="dxa"/>
            <w:vAlign w:val="bottom"/>
            <w:shd w:val="clear" w:color="auto" w:fill="F2F2F2"/>
          </w:tcPr>
          <w:p>
            <w:pPr>
              <w:spacing w:after="0"/>
              <w:rPr>
                <w:sz w:val="9"/>
                <w:szCs w:val="9"/>
                <w:color w:val="auto"/>
              </w:rPr>
            </w:pPr>
          </w:p>
        </w:tc>
        <w:tc>
          <w:tcPr>
            <w:tcW w:w="1360" w:type="dxa"/>
            <w:vAlign w:val="bottom"/>
            <w:shd w:val="clear" w:color="auto" w:fill="F2F2F2"/>
          </w:tcPr>
          <w:p>
            <w:pPr>
              <w:spacing w:after="0"/>
              <w:rPr>
                <w:sz w:val="9"/>
                <w:szCs w:val="9"/>
                <w:color w:val="auto"/>
              </w:rPr>
            </w:pPr>
          </w:p>
        </w:tc>
        <w:tc>
          <w:tcPr>
            <w:tcW w:w="1240" w:type="dxa"/>
            <w:vAlign w:val="bottom"/>
            <w:shd w:val="clear" w:color="auto" w:fill="F2F2F2"/>
          </w:tcPr>
          <w:p>
            <w:pPr>
              <w:spacing w:after="0"/>
              <w:rPr>
                <w:sz w:val="9"/>
                <w:szCs w:val="9"/>
                <w:color w:val="auto"/>
              </w:rPr>
            </w:pPr>
          </w:p>
        </w:tc>
        <w:tc>
          <w:tcPr>
            <w:tcW w:w="138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880" w:type="dxa"/>
            <w:vAlign w:val="bottom"/>
            <w:gridSpan w:val="3"/>
            <w:shd w:val="clear" w:color="auto" w:fill="F2F2F2"/>
          </w:tcPr>
          <w:p>
            <w:pPr>
              <w:spacing w:after="0"/>
              <w:rPr>
                <w:sz w:val="17"/>
                <w:szCs w:val="17"/>
                <w:color w:val="auto"/>
              </w:rPr>
            </w:pPr>
          </w:p>
        </w:tc>
        <w:tc>
          <w:tcPr>
            <w:tcW w:w="520" w:type="dxa"/>
            <w:vAlign w:val="bottom"/>
            <w:shd w:val="clear" w:color="auto" w:fill="F2F2F2"/>
          </w:tcPr>
          <w:p>
            <w:pPr>
              <w:spacing w:after="0"/>
              <w:rPr>
                <w:sz w:val="17"/>
                <w:szCs w:val="17"/>
                <w:color w:val="auto"/>
              </w:rPr>
            </w:pPr>
          </w:p>
        </w:tc>
        <w:tc>
          <w:tcPr>
            <w:tcW w:w="300" w:type="dxa"/>
            <w:vAlign w:val="bottom"/>
            <w:shd w:val="clear" w:color="auto" w:fill="F2F2F2"/>
          </w:tcPr>
          <w:p>
            <w:pPr>
              <w:spacing w:after="0"/>
              <w:rPr>
                <w:sz w:val="17"/>
                <w:szCs w:val="17"/>
                <w:color w:val="auto"/>
              </w:rPr>
            </w:pPr>
          </w:p>
        </w:tc>
        <w:tc>
          <w:tcPr>
            <w:tcW w:w="720" w:type="dxa"/>
            <w:vAlign w:val="bottom"/>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1240" w:type="dxa"/>
            <w:vAlign w:val="bottom"/>
            <w:shd w:val="clear" w:color="auto" w:fill="F2F2F2"/>
          </w:tcPr>
          <w:p>
            <w:pPr>
              <w:spacing w:after="0"/>
              <w:rPr>
                <w:sz w:val="17"/>
                <w:szCs w:val="17"/>
                <w:color w:val="auto"/>
              </w:rPr>
            </w:pPr>
          </w:p>
        </w:tc>
        <w:tc>
          <w:tcPr>
            <w:tcW w:w="1360" w:type="dxa"/>
            <w:vAlign w:val="bottom"/>
            <w:shd w:val="clear" w:color="auto" w:fill="F2F2F2"/>
          </w:tcPr>
          <w:p>
            <w:pPr>
              <w:spacing w:after="0"/>
              <w:rPr>
                <w:sz w:val="17"/>
                <w:szCs w:val="17"/>
                <w:color w:val="auto"/>
              </w:rPr>
            </w:pPr>
          </w:p>
        </w:tc>
        <w:tc>
          <w:tcPr>
            <w:tcW w:w="1240" w:type="dxa"/>
            <w:vAlign w:val="bottom"/>
            <w:shd w:val="clear" w:color="auto" w:fill="F2F2F2"/>
          </w:tcPr>
          <w:p>
            <w:pPr>
              <w:spacing w:after="0"/>
              <w:rPr>
                <w:sz w:val="17"/>
                <w:szCs w:val="17"/>
                <w:color w:val="auto"/>
              </w:rPr>
            </w:pPr>
          </w:p>
        </w:tc>
        <w:tc>
          <w:tcPr>
            <w:tcW w:w="138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400"/>
        </w:trPr>
        <w:tc>
          <w:tcPr>
            <w:tcW w:w="3880" w:type="dxa"/>
            <w:vAlign w:val="bottom"/>
            <w:gridSpan w:val="3"/>
          </w:tcPr>
          <w:p>
            <w:pPr>
              <w:ind w:left="180"/>
              <w:spacing w:after="0"/>
              <w:rPr>
                <w:sz w:val="20"/>
                <w:szCs w:val="20"/>
                <w:color w:val="auto"/>
              </w:rPr>
            </w:pPr>
            <w:r>
              <w:rPr>
                <w:rFonts w:ascii="Arial" w:cs="Arial" w:eastAsia="Arial" w:hAnsi="Arial"/>
                <w:sz w:val="18"/>
                <w:szCs w:val="18"/>
                <w:color w:val="auto"/>
              </w:rPr>
              <w:t>Less: Grant Date Fair Value of Option Awards</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ind w:right="30"/>
              <w:spacing w:after="0"/>
              <w:rPr>
                <w:sz w:val="20"/>
                <w:szCs w:val="20"/>
                <w:color w:val="auto"/>
              </w:rPr>
            </w:pPr>
            <w:r>
              <w:rPr>
                <w:rFonts w:ascii="Arial" w:cs="Arial" w:eastAsia="Arial" w:hAnsi="Arial"/>
                <w:sz w:val="18"/>
                <w:szCs w:val="18"/>
                <w:color w:val="auto"/>
              </w:rPr>
              <w:t>(15,347,003)</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3880" w:type="dxa"/>
            <w:vAlign w:val="bottom"/>
            <w:gridSpan w:val="3"/>
            <w:vMerge w:val="restart"/>
          </w:tcPr>
          <w:p>
            <w:pPr>
              <w:ind w:left="360"/>
              <w:spacing w:after="0"/>
              <w:rPr>
                <w:sz w:val="20"/>
                <w:szCs w:val="20"/>
                <w:color w:val="auto"/>
              </w:rPr>
            </w:pPr>
            <w:r>
              <w:rPr>
                <w:rFonts w:ascii="Arial" w:cs="Arial" w:eastAsia="Arial" w:hAnsi="Arial"/>
                <w:sz w:val="18"/>
                <w:szCs w:val="18"/>
                <w:color w:val="auto"/>
              </w:rPr>
              <w:t>Granted in Covered Fiscal Year</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8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660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66040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96" w:lineRule="exact"/>
        <w:rPr>
          <w:sz w:val="20"/>
          <w:szCs w:val="20"/>
          <w:color w:val="auto"/>
        </w:rPr>
      </w:pPr>
    </w:p>
    <w:p>
      <w:pPr>
        <w:ind w:left="480" w:right="460" w:hanging="179"/>
        <w:spacing w:after="0" w:line="253" w:lineRule="auto"/>
        <w:rPr>
          <w:sz w:val="20"/>
          <w:szCs w:val="20"/>
          <w:color w:val="auto"/>
        </w:rPr>
      </w:pPr>
      <w:r>
        <w:rPr>
          <w:rFonts w:ascii="Arial" w:cs="Arial" w:eastAsia="Arial" w:hAnsi="Arial"/>
          <w:sz w:val="18"/>
          <w:szCs w:val="18"/>
          <w:color w:val="auto"/>
        </w:rPr>
        <w:t>Add: Fair Value at Covered Fiscal Year-End of Outstanding Unvested Awards Granted in Covered Fiscal Year</w:t>
      </w:r>
    </w:p>
    <w:p>
      <w:pPr>
        <w:spacing w:after="0" w:line="385" w:lineRule="exact"/>
        <w:rPr>
          <w:sz w:val="20"/>
          <w:szCs w:val="20"/>
          <w:color w:val="auto"/>
        </w:rPr>
      </w:pPr>
    </w:p>
    <w:p>
      <w:pPr>
        <w:ind w:left="480" w:right="80" w:hanging="179"/>
        <w:spacing w:after="0" w:line="253" w:lineRule="auto"/>
        <w:rPr>
          <w:sz w:val="20"/>
          <w:szCs w:val="20"/>
          <w:color w:val="auto"/>
        </w:rPr>
      </w:pPr>
      <w:r>
        <w:rPr>
          <w:rFonts w:ascii="Arial" w:cs="Arial" w:eastAsia="Arial" w:hAnsi="Arial"/>
          <w:sz w:val="18"/>
          <w:szCs w:val="18"/>
          <w:color w:val="auto"/>
        </w:rPr>
        <w:t>Add: Fair Value at Vesting of Awards Granted in Covered Fiscal Year that Vested During Covered Fiscal Year</w:t>
      </w:r>
    </w:p>
    <w:p>
      <w:pPr>
        <w:spacing w:after="0" w:line="277" w:lineRule="exact"/>
        <w:rPr>
          <w:sz w:val="20"/>
          <w:szCs w:val="20"/>
          <w:color w:val="auto"/>
        </w:rPr>
      </w:pPr>
    </w:p>
    <w:p>
      <w:pPr>
        <w:ind w:left="480" w:hanging="179"/>
        <w:spacing w:after="0" w:line="247" w:lineRule="auto"/>
        <w:rPr>
          <w:sz w:val="20"/>
          <w:szCs w:val="20"/>
          <w:color w:val="auto"/>
        </w:rPr>
      </w:pPr>
      <w:r>
        <w:rPr>
          <w:rFonts w:ascii="Arial" w:cs="Arial" w:eastAsia="Arial" w:hAnsi="Arial"/>
          <w:sz w:val="18"/>
          <w:szCs w:val="18"/>
          <w:color w:val="auto"/>
        </w:rPr>
        <w:t>Add/Subtract: Change in Fair Value from End of Prior Fiscal Year to End of Covered Fiscal Year of Awards Granted in Prior Fiscal Years That Were Unvested at End of Covered Fiscal Year</w:t>
      </w:r>
    </w:p>
    <w:p>
      <w:pPr>
        <w:spacing w:after="0" w:line="174" w:lineRule="exact"/>
        <w:rPr>
          <w:sz w:val="20"/>
          <w:szCs w:val="20"/>
          <w:color w:val="auto"/>
        </w:rPr>
      </w:pPr>
    </w:p>
    <w:p>
      <w:pPr>
        <w:ind w:left="480" w:right="40" w:hanging="179"/>
        <w:spacing w:after="0" w:line="244" w:lineRule="auto"/>
        <w:rPr>
          <w:sz w:val="20"/>
          <w:szCs w:val="20"/>
          <w:color w:val="auto"/>
        </w:rPr>
      </w:pPr>
      <w:r>
        <w:rPr>
          <w:rFonts w:ascii="Arial" w:cs="Arial" w:eastAsia="Arial" w:hAnsi="Arial"/>
          <w:sz w:val="18"/>
          <w:szCs w:val="18"/>
          <w:color w:val="auto"/>
        </w:rPr>
        <w:t>Add: Change in Fair Value from End of Prior Fiscal Year to Vesting Date of Awards Granted in Prior Fiscal Years For Which All Applicable Vesting Conditions Were Satisfied During Covered Fiscal Year</w:t>
      </w:r>
    </w:p>
    <w:p>
      <w:pPr>
        <w:spacing w:after="0" w:line="176" w:lineRule="exact"/>
        <w:rPr>
          <w:sz w:val="20"/>
          <w:szCs w:val="20"/>
          <w:color w:val="auto"/>
        </w:rPr>
      </w:pPr>
    </w:p>
    <w:p>
      <w:pPr>
        <w:ind w:left="480" w:right="60" w:hanging="179"/>
        <w:spacing w:after="0" w:line="247" w:lineRule="auto"/>
        <w:rPr>
          <w:sz w:val="20"/>
          <w:szCs w:val="20"/>
          <w:color w:val="auto"/>
        </w:rPr>
      </w:pPr>
      <w:r>
        <w:rPr>
          <w:rFonts w:ascii="Arial" w:cs="Arial" w:eastAsia="Arial" w:hAnsi="Arial"/>
          <w:sz w:val="18"/>
          <w:szCs w:val="18"/>
          <w:color w:val="auto"/>
        </w:rPr>
        <w:t>Less: Fair Value as of Prior Fiscal Year-End of Awards Granted in Prior Fiscal Years That Failed to Meet Applicable Vesting Conditions During Covered Fiscal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ind w:left="120"/>
        <w:spacing w:after="0"/>
        <w:tabs>
          <w:tab w:leader="none" w:pos="1400" w:val="left"/>
          <w:tab w:leader="none" w:pos="2720" w:val="left"/>
          <w:tab w:leader="none" w:pos="4040" w:val="left"/>
          <w:tab w:leader="none" w:pos="5380" w:val="left"/>
        </w:tabs>
        <w:rPr>
          <w:sz w:val="20"/>
          <w:szCs w:val="20"/>
          <w:color w:val="auto"/>
        </w:rPr>
      </w:pPr>
      <w:r>
        <w:rPr>
          <w:rFonts w:ascii="Arial" w:cs="Arial" w:eastAsia="Arial" w:hAnsi="Arial"/>
          <w:sz w:val="18"/>
          <w:szCs w:val="18"/>
          <w:color w:val="auto"/>
        </w:rPr>
        <w:t>21,034,108</w:t>
      </w:r>
      <w:r>
        <w:rPr>
          <w:sz w:val="20"/>
          <w:szCs w:val="20"/>
          <w:color w:val="auto"/>
        </w:rPr>
        <w:tab/>
      </w:r>
      <w:r>
        <w:rPr>
          <w:rFonts w:ascii="Arial" w:cs="Arial" w:eastAsia="Arial" w:hAnsi="Arial"/>
          <w:sz w:val="18"/>
          <w:szCs w:val="18"/>
          <w:color w:val="auto"/>
        </w:rPr>
        <w:t>79,637,186</w:t>
      </w:r>
      <w:r>
        <w:rPr>
          <w:sz w:val="20"/>
          <w:szCs w:val="20"/>
          <w:color w:val="auto"/>
        </w:rPr>
        <w:tab/>
      </w:r>
      <w:r>
        <w:rPr>
          <w:rFonts w:ascii="Arial" w:cs="Arial" w:eastAsia="Arial" w:hAnsi="Arial"/>
          <w:sz w:val="18"/>
          <w:szCs w:val="18"/>
          <w:color w:val="auto"/>
        </w:rPr>
        <w:t>96,247,570</w:t>
      </w:r>
      <w:r>
        <w:rPr>
          <w:sz w:val="20"/>
          <w:szCs w:val="20"/>
          <w:color w:val="auto"/>
        </w:rPr>
        <w:tab/>
      </w:r>
      <w:r>
        <w:rPr>
          <w:rFonts w:ascii="Arial" w:cs="Arial" w:eastAsia="Arial" w:hAnsi="Arial"/>
          <w:sz w:val="18"/>
          <w:szCs w:val="18"/>
          <w:color w:val="auto"/>
        </w:rPr>
        <w:t>23,898,368</w:t>
      </w:r>
      <w:r>
        <w:rPr>
          <w:sz w:val="20"/>
          <w:szCs w:val="20"/>
          <w:color w:val="auto"/>
        </w:rPr>
        <w:tab/>
      </w:r>
      <w:r>
        <w:rPr>
          <w:rFonts w:ascii="Arial" w:cs="Arial" w:eastAsia="Arial" w:hAnsi="Arial"/>
          <w:sz w:val="17"/>
          <w:szCs w:val="17"/>
          <w:color w:val="auto"/>
        </w:rPr>
        <w:t>14,491,303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40"/>
        <w:spacing w:after="0"/>
        <w:tabs>
          <w:tab w:leader="none" w:pos="2120" w:val="left"/>
          <w:tab w:leader="none" w:pos="3440" w:val="left"/>
          <w:tab w:leader="none" w:pos="4760" w:val="left"/>
          <w:tab w:leader="none" w:pos="6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274955</wp:posOffset>
            </wp:positionV>
            <wp:extent cx="6995160" cy="6515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1300" w:val="left"/>
          <w:tab w:leader="none" w:pos="2720" w:val="left"/>
          <w:tab w:leader="none" w:pos="4140" w:val="left"/>
          <w:tab w:leader="none" w:pos="5360" w:val="left"/>
        </w:tabs>
        <w:rPr>
          <w:sz w:val="20"/>
          <w:szCs w:val="20"/>
          <w:color w:val="auto"/>
        </w:rPr>
      </w:pPr>
      <w:r>
        <w:rPr>
          <w:rFonts w:ascii="Arial" w:cs="Arial" w:eastAsia="Arial" w:hAnsi="Arial"/>
          <w:sz w:val="18"/>
          <w:szCs w:val="18"/>
          <w:color w:val="auto"/>
        </w:rPr>
        <w:t>(76,442,428)</w:t>
      </w:r>
      <w:r>
        <w:rPr>
          <w:sz w:val="20"/>
          <w:szCs w:val="20"/>
          <w:color w:val="auto"/>
        </w:rPr>
        <w:tab/>
      </w:r>
      <w:r>
        <w:rPr>
          <w:rFonts w:ascii="Arial" w:cs="Arial" w:eastAsia="Arial" w:hAnsi="Arial"/>
          <w:sz w:val="18"/>
          <w:szCs w:val="18"/>
          <w:color w:val="auto"/>
        </w:rPr>
        <w:t>167,553,343</w:t>
      </w:r>
      <w:r>
        <w:rPr>
          <w:sz w:val="20"/>
          <w:szCs w:val="20"/>
          <w:color w:val="auto"/>
        </w:rPr>
        <w:tab/>
      </w:r>
      <w:r>
        <w:rPr>
          <w:rFonts w:ascii="Arial" w:cs="Arial" w:eastAsia="Arial" w:hAnsi="Arial"/>
          <w:sz w:val="18"/>
          <w:szCs w:val="18"/>
          <w:color w:val="auto"/>
        </w:rPr>
        <w:t>39,425,963</w:t>
      </w:r>
      <w:r>
        <w:rPr>
          <w:sz w:val="20"/>
          <w:szCs w:val="20"/>
          <w:color w:val="auto"/>
        </w:rPr>
        <w:tab/>
      </w:r>
      <w:r>
        <w:rPr>
          <w:rFonts w:ascii="Arial" w:cs="Arial" w:eastAsia="Arial" w:hAnsi="Arial"/>
          <w:sz w:val="18"/>
          <w:szCs w:val="18"/>
          <w:color w:val="auto"/>
        </w:rPr>
        <w:t>3,472,867</w:t>
      </w:r>
      <w:r>
        <w:rPr>
          <w:sz w:val="20"/>
          <w:szCs w:val="20"/>
          <w:color w:val="auto"/>
        </w:rPr>
        <w:tab/>
      </w:r>
      <w:r>
        <w:rPr>
          <w:rFonts w:ascii="Arial" w:cs="Arial" w:eastAsia="Arial" w:hAnsi="Arial"/>
          <w:sz w:val="17"/>
          <w:szCs w:val="17"/>
          <w:color w:val="auto"/>
        </w:rPr>
        <w:t>(5,508,726)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spacing w:after="0"/>
        <w:tabs>
          <w:tab w:leader="none" w:pos="1400" w:val="left"/>
          <w:tab w:leader="none" w:pos="2720" w:val="left"/>
          <w:tab w:leader="none" w:pos="4280" w:val="left"/>
          <w:tab w:leader="none" w:pos="5480" w:val="left"/>
        </w:tabs>
        <w:rPr>
          <w:sz w:val="20"/>
          <w:szCs w:val="20"/>
          <w:color w:val="auto"/>
        </w:rPr>
      </w:pPr>
      <w:r>
        <w:rPr>
          <w:rFonts w:ascii="Arial" w:cs="Arial" w:eastAsia="Arial" w:hAnsi="Arial"/>
          <w:sz w:val="18"/>
          <w:szCs w:val="18"/>
          <w:color w:val="auto"/>
        </w:rPr>
        <w:t>14,521,630</w:t>
      </w:r>
      <w:r>
        <w:rPr>
          <w:sz w:val="20"/>
          <w:szCs w:val="20"/>
          <w:color w:val="auto"/>
        </w:rPr>
        <w:tab/>
      </w:r>
      <w:r>
        <w:rPr>
          <w:rFonts w:ascii="Arial" w:cs="Arial" w:eastAsia="Arial" w:hAnsi="Arial"/>
          <w:sz w:val="18"/>
          <w:szCs w:val="18"/>
          <w:color w:val="auto"/>
        </w:rPr>
        <w:t>18,603,564</w:t>
      </w:r>
      <w:r>
        <w:rPr>
          <w:sz w:val="20"/>
          <w:szCs w:val="20"/>
          <w:color w:val="auto"/>
        </w:rPr>
        <w:tab/>
      </w:r>
      <w:r>
        <w:rPr>
          <w:rFonts w:ascii="Arial" w:cs="Arial" w:eastAsia="Arial" w:hAnsi="Arial"/>
          <w:sz w:val="18"/>
          <w:szCs w:val="18"/>
          <w:color w:val="auto"/>
        </w:rPr>
        <w:t>17,474,214</w:t>
      </w:r>
      <w:r>
        <w:rPr>
          <w:sz w:val="20"/>
          <w:szCs w:val="20"/>
          <w:color w:val="auto"/>
        </w:rPr>
        <w:tab/>
      </w:r>
      <w:r>
        <w:rPr>
          <w:rFonts w:ascii="Arial" w:cs="Arial" w:eastAsia="Arial" w:hAnsi="Arial"/>
          <w:sz w:val="18"/>
          <w:szCs w:val="18"/>
          <w:color w:val="auto"/>
        </w:rPr>
        <w:t>201,749</w:t>
      </w:r>
      <w:r>
        <w:rPr>
          <w:sz w:val="20"/>
          <w:szCs w:val="20"/>
          <w:color w:val="auto"/>
        </w:rPr>
        <w:tab/>
      </w:r>
      <w:r>
        <w:rPr>
          <w:rFonts w:ascii="Arial" w:cs="Arial" w:eastAsia="Arial" w:hAnsi="Arial"/>
          <w:sz w:val="17"/>
          <w:szCs w:val="17"/>
          <w:color w:val="auto"/>
        </w:rPr>
        <w:t>7,491,858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334645</wp:posOffset>
            </wp:positionV>
            <wp:extent cx="6995160" cy="6515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40"/>
        <w:spacing w:after="0"/>
        <w:tabs>
          <w:tab w:leader="none" w:pos="2120" w:val="left"/>
          <w:tab w:leader="none" w:pos="3440" w:val="left"/>
          <w:tab w:leader="none" w:pos="4760" w:val="left"/>
          <w:tab w:leader="none" w:pos="6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522" w:lineRule="exact"/>
        <w:rPr>
          <w:sz w:val="20"/>
          <w:szCs w:val="20"/>
          <w:color w:val="auto"/>
        </w:rPr>
      </w:pPr>
    </w:p>
    <w:p>
      <w:pPr>
        <w:sectPr>
          <w:pgSz w:w="11900" w:h="16838" w:orient="portrait"/>
          <w:cols w:equalWidth="0" w:num="2">
            <w:col w:w="4420" w:space="340"/>
            <w:col w:w="6380"/>
          </w:cols>
          <w:pgMar w:left="320" w:top="482" w:right="439" w:bottom="1440" w:gutter="0" w:footer="0" w:header="0"/>
          <w:type w:val="continuous"/>
        </w:sectPr>
      </w:pPr>
    </w:p>
    <w:p>
      <w:pPr>
        <w:ind w:left="300"/>
        <w:spacing w:after="0"/>
        <w:rPr>
          <w:sz w:val="20"/>
          <w:szCs w:val="20"/>
          <w:color w:val="auto"/>
        </w:rPr>
      </w:pPr>
      <w:r>
        <w:rPr>
          <w:rFonts w:ascii="Arial" w:cs="Arial" w:eastAsia="Arial" w:hAnsi="Arial"/>
          <w:sz w:val="18"/>
          <w:szCs w:val="18"/>
          <w:color w:val="auto"/>
        </w:rPr>
        <w:t>Add: Value of Dividends or other Earnings Paid on</w:t>
      </w:r>
    </w:p>
    <w:p>
      <w:pPr>
        <w:spacing w:after="0" w:line="9" w:lineRule="exact"/>
        <w:rPr>
          <w:sz w:val="20"/>
          <w:szCs w:val="20"/>
          <w:color w:val="auto"/>
        </w:rPr>
      </w:pPr>
    </w:p>
    <w:p>
      <w:pPr>
        <w:ind w:left="480"/>
        <w:spacing w:after="0"/>
        <w:tabs>
          <w:tab w:leader="none" w:pos="5580" w:val="left"/>
          <w:tab w:leader="none" w:pos="6880" w:val="left"/>
          <w:tab w:leader="none" w:pos="8200" w:val="left"/>
          <w:tab w:leader="none" w:pos="9520" w:val="left"/>
          <w:tab w:leader="none" w:pos="10860" w:val="left"/>
        </w:tabs>
        <w:rPr>
          <w:sz w:val="20"/>
          <w:szCs w:val="20"/>
          <w:color w:val="auto"/>
        </w:rPr>
      </w:pPr>
      <w:r>
        <w:rPr>
          <w:rFonts w:ascii="Arial" w:cs="Arial" w:eastAsia="Arial" w:hAnsi="Arial"/>
          <w:sz w:val="18"/>
          <w:szCs w:val="18"/>
          <w:color w:val="auto"/>
        </w:rPr>
        <w:t>Stock or Option Awards not Otherwise Reflected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ind w:left="480"/>
        <w:spacing w:after="0"/>
        <w:rPr>
          <w:sz w:val="20"/>
          <w:szCs w:val="20"/>
          <w:color w:val="auto"/>
        </w:rPr>
      </w:pPr>
      <w:r>
        <w:rPr>
          <w:rFonts w:ascii="Arial" w:cs="Arial" w:eastAsia="Arial" w:hAnsi="Arial"/>
          <w:sz w:val="18"/>
          <w:szCs w:val="18"/>
          <w:color w:val="auto"/>
        </w:rPr>
        <w:t>in Total Compensation for Covered Fiscal Year</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336"/>
        </w:trPr>
        <w:tc>
          <w:tcPr>
            <w:tcW w:w="4400" w:type="dxa"/>
            <w:vAlign w:val="bottom"/>
            <w:shd w:val="clear" w:color="auto" w:fill="F2F2F2"/>
          </w:tcPr>
          <w:p>
            <w:pPr>
              <w:spacing w:after="0"/>
              <w:rPr>
                <w:sz w:val="20"/>
                <w:szCs w:val="20"/>
                <w:color w:val="auto"/>
              </w:rPr>
            </w:pPr>
            <w:r>
              <w:rPr>
                <w:rFonts w:ascii="Arial" w:cs="Arial" w:eastAsia="Arial" w:hAnsi="Arial"/>
                <w:sz w:val="18"/>
                <w:szCs w:val="18"/>
                <w:b w:val="1"/>
                <w:bCs w:val="1"/>
                <w:color w:val="auto"/>
              </w:rPr>
              <w:t>Compensation Actually Paid to PEO</w:t>
            </w:r>
          </w:p>
        </w:tc>
        <w:tc>
          <w:tcPr>
            <w:tcW w:w="2720" w:type="dxa"/>
            <w:vAlign w:val="bottom"/>
            <w:shd w:val="clear" w:color="auto" w:fill="F2F2F2"/>
          </w:tcPr>
          <w:p>
            <w:pPr>
              <w:jc w:val="right"/>
              <w:ind w:right="70"/>
              <w:spacing w:after="0"/>
              <w:rPr>
                <w:sz w:val="20"/>
                <w:szCs w:val="20"/>
                <w:color w:val="auto"/>
              </w:rPr>
            </w:pPr>
            <w:r>
              <w:rPr>
                <w:rFonts w:ascii="Arial" w:cs="Arial" w:eastAsia="Arial" w:hAnsi="Arial"/>
                <w:sz w:val="18"/>
                <w:szCs w:val="18"/>
                <w:b w:val="1"/>
                <w:bCs w:val="1"/>
                <w:color w:val="auto"/>
              </w:rPr>
              <w:t>(38,933,283)   268,043,565</w:t>
            </w:r>
          </w:p>
        </w:tc>
        <w:tc>
          <w:tcPr>
            <w:tcW w:w="1360" w:type="dxa"/>
            <w:vAlign w:val="bottom"/>
            <w:shd w:val="clear" w:color="auto" w:fill="F2F2F2"/>
          </w:tcPr>
          <w:p>
            <w:pPr>
              <w:jc w:val="right"/>
              <w:ind w:right="110"/>
              <w:spacing w:after="0"/>
              <w:rPr>
                <w:sz w:val="20"/>
                <w:szCs w:val="20"/>
                <w:color w:val="auto"/>
              </w:rPr>
            </w:pPr>
            <w:r>
              <w:rPr>
                <w:rFonts w:ascii="Arial" w:cs="Arial" w:eastAsia="Arial" w:hAnsi="Arial"/>
                <w:sz w:val="18"/>
                <w:szCs w:val="18"/>
                <w:b w:val="1"/>
                <w:bCs w:val="1"/>
                <w:color w:val="auto"/>
              </w:rPr>
              <w:t>155,154,377</w:t>
            </w:r>
          </w:p>
        </w:tc>
        <w:tc>
          <w:tcPr>
            <w:tcW w:w="1340" w:type="dxa"/>
            <w:vAlign w:val="bottom"/>
            <w:shd w:val="clear" w:color="auto" w:fill="F2F2F2"/>
          </w:tcPr>
          <w:p>
            <w:pPr>
              <w:jc w:val="right"/>
              <w:ind w:right="130"/>
              <w:spacing w:after="0"/>
              <w:rPr>
                <w:sz w:val="20"/>
                <w:szCs w:val="20"/>
                <w:color w:val="auto"/>
              </w:rPr>
            </w:pPr>
            <w:r>
              <w:rPr>
                <w:rFonts w:ascii="Arial" w:cs="Arial" w:eastAsia="Arial" w:hAnsi="Arial"/>
                <w:sz w:val="18"/>
                <w:szCs w:val="18"/>
                <w:b w:val="1"/>
                <w:bCs w:val="1"/>
                <w:color w:val="auto"/>
              </w:rPr>
              <w:t>29,544,755</w:t>
            </w: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b w:val="1"/>
                <w:bCs w:val="1"/>
                <w:color w:val="auto"/>
              </w:rPr>
              <w:t>18,445,604</w:t>
            </w:r>
          </w:p>
        </w:tc>
      </w:tr>
      <w:tr>
        <w:trPr>
          <w:trHeight w:val="83"/>
        </w:trPr>
        <w:tc>
          <w:tcPr>
            <w:tcW w:w="4400" w:type="dxa"/>
            <w:vAlign w:val="bottom"/>
            <w:tcBorders>
              <w:bottom w:val="single" w:sz="8" w:color="376DB5"/>
            </w:tcBorders>
            <w:shd w:val="clear" w:color="auto" w:fill="F2F2F2"/>
          </w:tcPr>
          <w:p>
            <w:pPr>
              <w:spacing w:after="0"/>
              <w:rPr>
                <w:sz w:val="7"/>
                <w:szCs w:val="7"/>
                <w:color w:val="auto"/>
              </w:rPr>
            </w:pPr>
          </w:p>
        </w:tc>
        <w:tc>
          <w:tcPr>
            <w:tcW w:w="2720" w:type="dxa"/>
            <w:vAlign w:val="bottom"/>
            <w:tcBorders>
              <w:bottom w:val="single" w:sz="8" w:color="376DB5"/>
            </w:tcBorders>
            <w:shd w:val="clear" w:color="auto" w:fill="F2F2F2"/>
          </w:tcPr>
          <w:p>
            <w:pPr>
              <w:spacing w:after="0"/>
              <w:rPr>
                <w:sz w:val="7"/>
                <w:szCs w:val="7"/>
                <w:color w:val="auto"/>
              </w:rPr>
            </w:pPr>
          </w:p>
        </w:tc>
        <w:tc>
          <w:tcPr>
            <w:tcW w:w="1360" w:type="dxa"/>
            <w:vAlign w:val="bottom"/>
            <w:tcBorders>
              <w:bottom w:val="single" w:sz="8" w:color="376DB5"/>
            </w:tcBorders>
            <w:shd w:val="clear" w:color="auto" w:fill="F2F2F2"/>
          </w:tcPr>
          <w:p>
            <w:pPr>
              <w:spacing w:after="0"/>
              <w:rPr>
                <w:sz w:val="7"/>
                <w:szCs w:val="7"/>
                <w:color w:val="auto"/>
              </w:rPr>
            </w:pPr>
          </w:p>
        </w:tc>
        <w:tc>
          <w:tcPr>
            <w:tcW w:w="1340" w:type="dxa"/>
            <w:vAlign w:val="bottom"/>
            <w:tcBorders>
              <w:bottom w:val="single" w:sz="8" w:color="376DB5"/>
            </w:tcBorders>
            <w:shd w:val="clear" w:color="auto" w:fill="F2F2F2"/>
          </w:tcPr>
          <w:p>
            <w:pPr>
              <w:spacing w:after="0"/>
              <w:rPr>
                <w:sz w:val="7"/>
                <w:szCs w:val="7"/>
                <w:color w:val="auto"/>
              </w:rPr>
            </w:pPr>
          </w:p>
        </w:tc>
        <w:tc>
          <w:tcPr>
            <w:tcW w:w="1200" w:type="dxa"/>
            <w:vAlign w:val="bottom"/>
            <w:tcBorders>
              <w:bottom w:val="single" w:sz="8" w:color="376DB5"/>
            </w:tcBorders>
            <w:shd w:val="clear" w:color="auto" w:fill="F2F2F2"/>
          </w:tcPr>
          <w:p>
            <w:pPr>
              <w:spacing w:after="0"/>
              <w:rPr>
                <w:sz w:val="7"/>
                <w:szCs w:val="7"/>
                <w:color w:val="auto"/>
              </w:rPr>
            </w:pPr>
          </w:p>
        </w:tc>
      </w:tr>
    </w:tbl>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80</w:t>
      </w:r>
    </w:p>
    <w:p>
      <w:pPr>
        <w:sectPr>
          <w:pgSz w:w="11900" w:h="16838" w:orient="portrait"/>
          <w:cols w:equalWidth="0" w:num="1">
            <w:col w:w="11140"/>
          </w:cols>
          <w:pgMar w:left="320" w:top="482" w:right="4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340" w:type="dxa"/>
            <w:vAlign w:val="bottom"/>
            <w:gridSpan w:val="3"/>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860" w:type="dxa"/>
            <w:vAlign w:val="bottom"/>
            <w:gridSpan w:val="2"/>
            <w:shd w:val="clear" w:color="auto" w:fill="F2F2F2"/>
          </w:tcPr>
          <w:p>
            <w:pPr>
              <w:ind w:left="280"/>
              <w:spacing w:after="0"/>
              <w:rPr>
                <w:sz w:val="20"/>
                <w:szCs w:val="20"/>
                <w:color w:val="auto"/>
              </w:rPr>
            </w:pPr>
            <w:r>
              <w:rPr>
                <w:rFonts w:ascii="Arial" w:cs="Arial" w:eastAsia="Arial" w:hAnsi="Arial"/>
                <w:sz w:val="18"/>
                <w:szCs w:val="18"/>
                <w:color w:val="auto"/>
              </w:rPr>
              <w:t>Audit Committee</w:t>
            </w:r>
          </w:p>
        </w:tc>
        <w:tc>
          <w:tcPr>
            <w:tcW w:w="1420" w:type="dxa"/>
            <w:vAlign w:val="bottom"/>
            <w:gridSpan w:val="2"/>
            <w:shd w:val="clear" w:color="auto" w:fill="F2F2F2"/>
          </w:tcPr>
          <w:p>
            <w:pPr>
              <w:ind w:left="40"/>
              <w:spacing w:after="0"/>
              <w:rPr>
                <w:sz w:val="20"/>
                <w:szCs w:val="20"/>
                <w:color w:val="auto"/>
              </w:rPr>
            </w:pPr>
            <w:r>
              <w:rPr>
                <w:rFonts w:ascii="Arial" w:cs="Arial" w:eastAsia="Arial" w:hAnsi="Arial"/>
                <w:sz w:val="18"/>
                <w:szCs w:val="18"/>
                <w:color w:val="auto"/>
              </w:rPr>
              <w:t>Charter</w:t>
            </w:r>
          </w:p>
        </w:tc>
        <w:tc>
          <w:tcPr>
            <w:tcW w:w="1080" w:type="dxa"/>
            <w:vAlign w:val="bottom"/>
            <w:shd w:val="clear" w:color="auto" w:fill="F2F2F2"/>
          </w:tcPr>
          <w:p>
            <w:pPr>
              <w:ind w:left="20"/>
              <w:spacing w:after="0"/>
              <w:rPr>
                <w:sz w:val="20"/>
                <w:szCs w:val="20"/>
                <w:color w:val="auto"/>
              </w:rPr>
            </w:pPr>
            <w:r>
              <w:rPr>
                <w:rFonts w:ascii="Arial" w:cs="Arial" w:eastAsia="Arial" w:hAnsi="Arial"/>
                <w:sz w:val="18"/>
                <w:szCs w:val="18"/>
                <w:color w:val="auto"/>
              </w:rPr>
              <w:t>Stock</w:t>
            </w:r>
          </w:p>
        </w:tc>
        <w:tc>
          <w:tcPr>
            <w:tcW w:w="560" w:type="dxa"/>
            <w:vAlign w:val="bottom"/>
            <w:shd w:val="clear" w:color="auto" w:fill="F2F2F2"/>
          </w:tcPr>
          <w:p>
            <w:pPr>
              <w:ind w:left="100"/>
              <w:spacing w:after="0"/>
              <w:rPr>
                <w:sz w:val="20"/>
                <w:szCs w:val="20"/>
                <w:color w:val="auto"/>
              </w:rPr>
            </w:pPr>
            <w:r>
              <w:rPr>
                <w:rFonts w:ascii="Arial" w:cs="Arial" w:eastAsia="Arial" w:hAnsi="Arial"/>
                <w:sz w:val="18"/>
                <w:szCs w:val="18"/>
                <w:color w:val="auto"/>
                <w:w w:val="97"/>
              </w:rPr>
              <w:t>Other</w:t>
            </w:r>
          </w:p>
        </w:tc>
        <w:tc>
          <w:tcPr>
            <w:tcW w:w="8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340" w:type="dxa"/>
            <w:vAlign w:val="bottom"/>
            <w:gridSpan w:val="3"/>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060" w:type="dxa"/>
            <w:vAlign w:val="bottom"/>
            <w:shd w:val="clear" w:color="auto" w:fill="F2F2F2"/>
          </w:tcPr>
          <w:p>
            <w:pPr>
              <w:ind w:left="280"/>
              <w:spacing w:after="0" w:line="202" w:lineRule="exact"/>
              <w:rPr>
                <w:sz w:val="20"/>
                <w:szCs w:val="20"/>
                <w:color w:val="auto"/>
              </w:rPr>
            </w:pPr>
            <w:r>
              <w:rPr>
                <w:rFonts w:ascii="Arial" w:cs="Arial" w:eastAsia="Arial" w:hAnsi="Arial"/>
                <w:sz w:val="18"/>
                <w:szCs w:val="18"/>
                <w:color w:val="auto"/>
              </w:rPr>
              <w:t>Matters</w:t>
            </w:r>
          </w:p>
        </w:tc>
        <w:tc>
          <w:tcPr>
            <w:tcW w:w="800" w:type="dxa"/>
            <w:vAlign w:val="bottom"/>
            <w:shd w:val="clear" w:color="auto" w:fill="F2F2F2"/>
          </w:tcPr>
          <w:p>
            <w:pPr>
              <w:spacing w:after="0"/>
              <w:rPr>
                <w:sz w:val="17"/>
                <w:szCs w:val="17"/>
                <w:color w:val="auto"/>
              </w:rPr>
            </w:pPr>
          </w:p>
        </w:tc>
        <w:tc>
          <w:tcPr>
            <w:tcW w:w="1420" w:type="dxa"/>
            <w:vAlign w:val="bottom"/>
            <w:gridSpan w:val="2"/>
            <w:shd w:val="clear" w:color="auto" w:fill="F2F2F2"/>
          </w:tcPr>
          <w:p>
            <w:pPr>
              <w:ind w:left="40"/>
              <w:spacing w:after="0" w:line="202" w:lineRule="exact"/>
              <w:rPr>
                <w:sz w:val="20"/>
                <w:szCs w:val="20"/>
                <w:color w:val="auto"/>
              </w:rPr>
            </w:pPr>
            <w:r>
              <w:rPr>
                <w:rFonts w:ascii="Arial" w:cs="Arial" w:eastAsia="Arial" w:hAnsi="Arial"/>
                <w:sz w:val="18"/>
                <w:szCs w:val="18"/>
                <w:color w:val="auto"/>
              </w:rPr>
              <w:t>Amendments</w:t>
            </w:r>
          </w:p>
        </w:tc>
        <w:tc>
          <w:tcPr>
            <w:tcW w:w="1080" w:type="dxa"/>
            <w:vAlign w:val="bottom"/>
            <w:shd w:val="clear" w:color="auto" w:fill="F2F2F2"/>
          </w:tcPr>
          <w:p>
            <w:pPr>
              <w:ind w:left="20"/>
              <w:spacing w:after="0" w:line="202" w:lineRule="exact"/>
              <w:rPr>
                <w:sz w:val="20"/>
                <w:szCs w:val="20"/>
                <w:color w:val="auto"/>
              </w:rPr>
            </w:pPr>
            <w:r>
              <w:rPr>
                <w:rFonts w:ascii="Arial" w:cs="Arial" w:eastAsia="Arial" w:hAnsi="Arial"/>
                <w:sz w:val="18"/>
                <w:szCs w:val="18"/>
                <w:color w:val="auto"/>
              </w:rPr>
              <w:t>Ownership</w:t>
            </w:r>
          </w:p>
        </w:tc>
        <w:tc>
          <w:tcPr>
            <w:tcW w:w="1440" w:type="dxa"/>
            <w:vAlign w:val="bottom"/>
            <w:gridSpan w:val="2"/>
            <w:shd w:val="clear" w:color="auto" w:fill="F2F2F2"/>
          </w:tcPr>
          <w:p>
            <w:pPr>
              <w:ind w:left="100"/>
              <w:spacing w:after="0" w:line="202" w:lineRule="exact"/>
              <w:rPr>
                <w:sz w:val="20"/>
                <w:szCs w:val="20"/>
                <w:color w:val="auto"/>
              </w:rPr>
            </w:pPr>
            <w:r>
              <w:rPr>
                <w:rFonts w:ascii="Arial" w:cs="Arial" w:eastAsia="Arial" w:hAnsi="Arial"/>
                <w:sz w:val="18"/>
                <w:szCs w:val="18"/>
                <w:color w:val="auto"/>
              </w:rPr>
              <w:t>Matters</w:t>
            </w:r>
          </w:p>
        </w:tc>
        <w:tc>
          <w:tcPr>
            <w:tcW w:w="0" w:type="dxa"/>
            <w:vAlign w:val="bottom"/>
          </w:tcPr>
          <w:p>
            <w:pPr>
              <w:spacing w:after="0"/>
              <w:rPr>
                <w:sz w:val="1"/>
                <w:szCs w:val="1"/>
                <w:color w:val="auto"/>
              </w:rPr>
            </w:pPr>
          </w:p>
        </w:tc>
      </w:tr>
      <w:tr>
        <w:trPr>
          <w:trHeight w:val="228"/>
        </w:trPr>
        <w:tc>
          <w:tcPr>
            <w:tcW w:w="1420" w:type="dxa"/>
            <w:vAlign w:val="bottom"/>
            <w:shd w:val="clear" w:color="auto" w:fill="F2F2F2"/>
          </w:tcPr>
          <w:p>
            <w:pPr>
              <w:spacing w:after="0"/>
              <w:rPr>
                <w:sz w:val="19"/>
                <w:szCs w:val="19"/>
                <w:color w:val="auto"/>
              </w:rPr>
            </w:pPr>
          </w:p>
        </w:tc>
        <w:tc>
          <w:tcPr>
            <w:tcW w:w="1000" w:type="dxa"/>
            <w:vAlign w:val="bottom"/>
            <w:shd w:val="clear" w:color="auto" w:fill="F2F2F2"/>
          </w:tcPr>
          <w:p>
            <w:pPr>
              <w:spacing w:after="0"/>
              <w:rPr>
                <w:sz w:val="19"/>
                <w:szCs w:val="19"/>
                <w:color w:val="auto"/>
              </w:rPr>
            </w:pPr>
          </w:p>
        </w:tc>
        <w:tc>
          <w:tcPr>
            <w:tcW w:w="1460" w:type="dxa"/>
            <w:vAlign w:val="bottom"/>
            <w:shd w:val="clear" w:color="auto" w:fill="F2F2F2"/>
          </w:tcPr>
          <w:p>
            <w:pPr>
              <w:spacing w:after="0"/>
              <w:rPr>
                <w:sz w:val="19"/>
                <w:szCs w:val="19"/>
                <w:color w:val="auto"/>
              </w:rPr>
            </w:pPr>
          </w:p>
        </w:tc>
        <w:tc>
          <w:tcPr>
            <w:tcW w:w="1340" w:type="dxa"/>
            <w:vAlign w:val="bottom"/>
            <w:gridSpan w:val="3"/>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060" w:type="dxa"/>
            <w:vAlign w:val="bottom"/>
            <w:shd w:val="clear" w:color="auto" w:fill="F2F2F2"/>
          </w:tcPr>
          <w:p>
            <w:pPr>
              <w:spacing w:after="0"/>
              <w:rPr>
                <w:sz w:val="19"/>
                <w:szCs w:val="19"/>
                <w:color w:val="auto"/>
              </w:rPr>
            </w:pPr>
          </w:p>
        </w:tc>
        <w:tc>
          <w:tcPr>
            <w:tcW w:w="800" w:type="dxa"/>
            <w:vAlign w:val="bottom"/>
            <w:shd w:val="clear" w:color="auto" w:fill="F2F2F2"/>
          </w:tcPr>
          <w:p>
            <w:pPr>
              <w:spacing w:after="0"/>
              <w:rPr>
                <w:sz w:val="19"/>
                <w:szCs w:val="19"/>
                <w:color w:val="auto"/>
              </w:rPr>
            </w:pPr>
          </w:p>
        </w:tc>
        <w:tc>
          <w:tcPr>
            <w:tcW w:w="220" w:type="dxa"/>
            <w:vAlign w:val="bottom"/>
            <w:shd w:val="clear" w:color="auto" w:fill="F2F2F2"/>
          </w:tcPr>
          <w:p>
            <w:pPr>
              <w:spacing w:after="0"/>
              <w:rPr>
                <w:sz w:val="19"/>
                <w:szCs w:val="19"/>
                <w:color w:val="auto"/>
              </w:rPr>
            </w:pPr>
          </w:p>
        </w:tc>
        <w:tc>
          <w:tcPr>
            <w:tcW w:w="1200" w:type="dxa"/>
            <w:vAlign w:val="bottom"/>
            <w:shd w:val="clear" w:color="auto" w:fill="F2F2F2"/>
          </w:tcPr>
          <w:p>
            <w:pPr>
              <w:spacing w:after="0"/>
              <w:rPr>
                <w:sz w:val="19"/>
                <w:szCs w:val="19"/>
                <w:color w:val="auto"/>
              </w:rPr>
            </w:pPr>
          </w:p>
        </w:tc>
        <w:tc>
          <w:tcPr>
            <w:tcW w:w="1080" w:type="dxa"/>
            <w:vAlign w:val="bottom"/>
            <w:shd w:val="clear" w:color="auto" w:fill="F2F2F2"/>
          </w:tcPr>
          <w:p>
            <w:pPr>
              <w:spacing w:after="0"/>
              <w:rPr>
                <w:sz w:val="19"/>
                <w:szCs w:val="19"/>
                <w:color w:val="auto"/>
              </w:rPr>
            </w:pPr>
          </w:p>
        </w:tc>
        <w:tc>
          <w:tcPr>
            <w:tcW w:w="560" w:type="dxa"/>
            <w:vAlign w:val="bottom"/>
            <w:shd w:val="clear" w:color="auto" w:fill="F2F2F2"/>
          </w:tcPr>
          <w:p>
            <w:pPr>
              <w:spacing w:after="0"/>
              <w:rPr>
                <w:sz w:val="19"/>
                <w:szCs w:val="19"/>
                <w:color w:val="auto"/>
              </w:rPr>
            </w:pPr>
          </w:p>
        </w:tc>
        <w:tc>
          <w:tcPr>
            <w:tcW w:w="88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420" w:type="dxa"/>
            <w:vAlign w:val="bottom"/>
            <w:tcBorders>
              <w:top w:val="single" w:sz="8" w:color="F2F2F2"/>
              <w:bottom w:val="single" w:sz="8" w:color="376DB5"/>
            </w:tcBorders>
          </w:tcPr>
          <w:p>
            <w:pPr>
              <w:spacing w:after="0"/>
              <w:rPr>
                <w:sz w:val="12"/>
                <w:szCs w:val="12"/>
                <w:color w:val="auto"/>
              </w:rPr>
            </w:pPr>
          </w:p>
        </w:tc>
        <w:tc>
          <w:tcPr>
            <w:tcW w:w="1000" w:type="dxa"/>
            <w:vAlign w:val="bottom"/>
            <w:tcBorders>
              <w:top w:val="single" w:sz="8" w:color="F2F2F2"/>
              <w:bottom w:val="single" w:sz="8" w:color="376DB5"/>
            </w:tcBorders>
          </w:tcPr>
          <w:p>
            <w:pPr>
              <w:spacing w:after="0"/>
              <w:rPr>
                <w:sz w:val="12"/>
                <w:szCs w:val="12"/>
                <w:color w:val="auto"/>
              </w:rPr>
            </w:pPr>
          </w:p>
        </w:tc>
        <w:tc>
          <w:tcPr>
            <w:tcW w:w="1460" w:type="dxa"/>
            <w:vAlign w:val="bottom"/>
            <w:tcBorders>
              <w:top w:val="single" w:sz="8" w:color="F2F2F2"/>
              <w:bottom w:val="single" w:sz="8" w:color="376DB5"/>
            </w:tcBorders>
          </w:tcPr>
          <w:p>
            <w:pPr>
              <w:spacing w:after="0"/>
              <w:rPr>
                <w:sz w:val="12"/>
                <w:szCs w:val="12"/>
                <w:color w:val="auto"/>
              </w:rPr>
            </w:pPr>
          </w:p>
        </w:tc>
        <w:tc>
          <w:tcPr>
            <w:tcW w:w="820" w:type="dxa"/>
            <w:vAlign w:val="bottom"/>
            <w:tcBorders>
              <w:top w:val="single" w:sz="8" w:color="376DB5"/>
              <w:bottom w:val="single" w:sz="8" w:color="376DB5"/>
            </w:tcBorders>
          </w:tcPr>
          <w:p>
            <w:pPr>
              <w:spacing w:after="0"/>
              <w:rPr>
                <w:sz w:val="12"/>
                <w:szCs w:val="12"/>
                <w:color w:val="auto"/>
              </w:rPr>
            </w:pPr>
          </w:p>
        </w:tc>
        <w:tc>
          <w:tcPr>
            <w:tcW w:w="260" w:type="dxa"/>
            <w:vAlign w:val="bottom"/>
            <w:tcBorders>
              <w:top w:val="single" w:sz="8" w:color="F2F2F2"/>
              <w:bottom w:val="single" w:sz="8" w:color="376DB5"/>
            </w:tcBorders>
          </w:tcPr>
          <w:p>
            <w:pPr>
              <w:spacing w:after="0"/>
              <w:rPr>
                <w:sz w:val="12"/>
                <w:szCs w:val="12"/>
                <w:color w:val="auto"/>
              </w:rPr>
            </w:pPr>
          </w:p>
        </w:tc>
        <w:tc>
          <w:tcPr>
            <w:tcW w:w="260" w:type="dxa"/>
            <w:vAlign w:val="bottom"/>
            <w:tcBorders>
              <w:top w:val="single" w:sz="8" w:color="F2F2F2"/>
              <w:bottom w:val="single" w:sz="8" w:color="376DB5"/>
            </w:tcBorders>
          </w:tcPr>
          <w:p>
            <w:pPr>
              <w:spacing w:after="0"/>
              <w:rPr>
                <w:sz w:val="12"/>
                <w:szCs w:val="12"/>
                <w:color w:val="auto"/>
              </w:rPr>
            </w:pPr>
          </w:p>
        </w:tc>
        <w:tc>
          <w:tcPr>
            <w:tcW w:w="1060" w:type="dxa"/>
            <w:vAlign w:val="bottom"/>
            <w:tcBorders>
              <w:top w:val="single" w:sz="8" w:color="F2F2F2"/>
              <w:bottom w:val="single" w:sz="8" w:color="376DB5"/>
            </w:tcBorders>
          </w:tcPr>
          <w:p>
            <w:pPr>
              <w:spacing w:after="0"/>
              <w:rPr>
                <w:sz w:val="12"/>
                <w:szCs w:val="12"/>
                <w:color w:val="auto"/>
              </w:rPr>
            </w:pPr>
          </w:p>
        </w:tc>
        <w:tc>
          <w:tcPr>
            <w:tcW w:w="800" w:type="dxa"/>
            <w:vAlign w:val="bottom"/>
            <w:tcBorders>
              <w:top w:val="single" w:sz="8" w:color="F2F2F2"/>
              <w:bottom w:val="single" w:sz="8" w:color="376DB5"/>
            </w:tcBorders>
          </w:tcPr>
          <w:p>
            <w:pPr>
              <w:spacing w:after="0"/>
              <w:rPr>
                <w:sz w:val="12"/>
                <w:szCs w:val="12"/>
                <w:color w:val="auto"/>
              </w:rPr>
            </w:pPr>
          </w:p>
        </w:tc>
        <w:tc>
          <w:tcPr>
            <w:tcW w:w="220" w:type="dxa"/>
            <w:vAlign w:val="bottom"/>
            <w:tcBorders>
              <w:top w:val="single" w:sz="8" w:color="F2F2F2"/>
              <w:bottom w:val="single" w:sz="8" w:color="376DB5"/>
            </w:tcBorders>
          </w:tcPr>
          <w:p>
            <w:pPr>
              <w:spacing w:after="0"/>
              <w:rPr>
                <w:sz w:val="12"/>
                <w:szCs w:val="12"/>
                <w:color w:val="auto"/>
              </w:rPr>
            </w:pPr>
          </w:p>
        </w:tc>
        <w:tc>
          <w:tcPr>
            <w:tcW w:w="2280" w:type="dxa"/>
            <w:vAlign w:val="bottom"/>
            <w:tcBorders>
              <w:top w:val="single" w:sz="8" w:color="F2F2F2"/>
              <w:bottom w:val="single" w:sz="8" w:color="376DB5"/>
            </w:tcBorders>
            <w:gridSpan w:val="2"/>
          </w:tcPr>
          <w:p>
            <w:pPr>
              <w:spacing w:after="0"/>
              <w:rPr>
                <w:sz w:val="12"/>
                <w:szCs w:val="12"/>
                <w:color w:val="auto"/>
              </w:rPr>
            </w:pPr>
          </w:p>
        </w:tc>
        <w:tc>
          <w:tcPr>
            <w:tcW w:w="560" w:type="dxa"/>
            <w:vAlign w:val="bottom"/>
            <w:tcBorders>
              <w:top w:val="single" w:sz="8" w:color="F2F2F2"/>
              <w:bottom w:val="single" w:sz="8" w:color="376DB5"/>
            </w:tcBorders>
          </w:tcPr>
          <w:p>
            <w:pPr>
              <w:spacing w:after="0"/>
              <w:rPr>
                <w:sz w:val="12"/>
                <w:szCs w:val="12"/>
                <w:color w:val="auto"/>
              </w:rPr>
            </w:pPr>
          </w:p>
        </w:tc>
        <w:tc>
          <w:tcPr>
            <w:tcW w:w="880" w:type="dxa"/>
            <w:vAlign w:val="bottom"/>
            <w:tcBorders>
              <w:top w:val="single" w:sz="8" w:color="F2F2F2"/>
              <w:bottom w:val="single" w:sz="8" w:color="376DB5"/>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bottom w:val="single" w:sz="8" w:color="376DB5"/>
            </w:tcBorders>
          </w:tcPr>
          <w:p>
            <w:pPr>
              <w:spacing w:after="0"/>
              <w:rPr>
                <w:sz w:val="17"/>
                <w:szCs w:val="17"/>
                <w:color w:val="auto"/>
              </w:rPr>
            </w:pPr>
          </w:p>
        </w:tc>
        <w:tc>
          <w:tcPr>
            <w:tcW w:w="1060" w:type="dxa"/>
            <w:vAlign w:val="bottom"/>
            <w:tcBorders>
              <w:bottom w:val="single" w:sz="8" w:color="376DB5"/>
            </w:tcBorders>
          </w:tcPr>
          <w:p>
            <w:pPr>
              <w:spacing w:after="0"/>
              <w:rPr>
                <w:sz w:val="17"/>
                <w:szCs w:val="17"/>
                <w:color w:val="auto"/>
              </w:rPr>
            </w:pPr>
          </w:p>
        </w:tc>
        <w:tc>
          <w:tcPr>
            <w:tcW w:w="800" w:type="dxa"/>
            <w:vAlign w:val="bottom"/>
            <w:tcBorders>
              <w:bottom w:val="single" w:sz="8" w:color="376DB5"/>
            </w:tcBorders>
          </w:tcPr>
          <w:p>
            <w:pPr>
              <w:spacing w:after="0"/>
              <w:rPr>
                <w:sz w:val="17"/>
                <w:szCs w:val="17"/>
                <w:color w:val="auto"/>
              </w:rPr>
            </w:pPr>
          </w:p>
        </w:tc>
        <w:tc>
          <w:tcPr>
            <w:tcW w:w="220" w:type="dxa"/>
            <w:vAlign w:val="bottom"/>
            <w:tcBorders>
              <w:bottom w:val="single" w:sz="8" w:color="376DB5"/>
            </w:tcBorders>
          </w:tcPr>
          <w:p>
            <w:pPr>
              <w:spacing w:after="0"/>
              <w:rPr>
                <w:sz w:val="17"/>
                <w:szCs w:val="17"/>
                <w:color w:val="auto"/>
              </w:rPr>
            </w:pPr>
          </w:p>
        </w:tc>
        <w:tc>
          <w:tcPr>
            <w:tcW w:w="2280" w:type="dxa"/>
            <w:vAlign w:val="bottom"/>
            <w:tcBorders>
              <w:bottom w:val="single" w:sz="8" w:color="376DB5"/>
            </w:tcBorders>
            <w:gridSpan w:val="2"/>
          </w:tcPr>
          <w:p>
            <w:pPr>
              <w:ind w:left="40"/>
              <w:spacing w:after="0" w:line="196" w:lineRule="exact"/>
              <w:rPr>
                <w:sz w:val="20"/>
                <w:szCs w:val="20"/>
                <w:color w:val="auto"/>
              </w:rPr>
            </w:pPr>
            <w:r>
              <w:rPr>
                <w:rFonts w:ascii="Arial" w:cs="Arial" w:eastAsia="Arial" w:hAnsi="Arial"/>
                <w:sz w:val="18"/>
                <w:szCs w:val="18"/>
                <w:color w:val="376DB5"/>
              </w:rPr>
              <w:t>NON-PEO NEOS</w:t>
            </w:r>
          </w:p>
        </w:tc>
        <w:tc>
          <w:tcPr>
            <w:tcW w:w="560" w:type="dxa"/>
            <w:vAlign w:val="bottom"/>
            <w:tcBorders>
              <w:bottom w:val="single" w:sz="8" w:color="376DB5"/>
            </w:tcBorders>
          </w:tcPr>
          <w:p>
            <w:pPr>
              <w:spacing w:after="0"/>
              <w:rPr>
                <w:sz w:val="17"/>
                <w:szCs w:val="17"/>
                <w:color w:val="auto"/>
              </w:rPr>
            </w:pPr>
          </w:p>
        </w:tc>
        <w:tc>
          <w:tcPr>
            <w:tcW w:w="880" w:type="dxa"/>
            <w:vAlign w:val="bottom"/>
            <w:tcBorders>
              <w:bottom w:val="single" w:sz="8" w:color="376DB5"/>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ind w:left="160"/>
              <w:spacing w:after="0"/>
              <w:rPr>
                <w:sz w:val="20"/>
                <w:szCs w:val="20"/>
                <w:color w:val="auto"/>
              </w:rPr>
            </w:pPr>
            <w:r>
              <w:rPr>
                <w:rFonts w:ascii="Arial" w:cs="Arial" w:eastAsia="Arial" w:hAnsi="Arial"/>
                <w:sz w:val="18"/>
                <w:szCs w:val="18"/>
                <w:color w:val="376DB5"/>
              </w:rPr>
              <w:t>Fiscal</w:t>
            </w:r>
          </w:p>
        </w:tc>
        <w:tc>
          <w:tcPr>
            <w:tcW w:w="800" w:type="dxa"/>
            <w:vAlign w:val="bottom"/>
          </w:tcPr>
          <w:p>
            <w:pPr>
              <w:ind w:left="280"/>
              <w:spacing w:after="0"/>
              <w:rPr>
                <w:sz w:val="20"/>
                <w:szCs w:val="20"/>
                <w:color w:val="auto"/>
              </w:rPr>
            </w:pPr>
            <w:r>
              <w:rPr>
                <w:rFonts w:ascii="Arial" w:cs="Arial" w:eastAsia="Arial" w:hAnsi="Arial"/>
                <w:sz w:val="18"/>
                <w:szCs w:val="18"/>
                <w:color w:val="376DB5"/>
              </w:rPr>
              <w:t>Fiscal</w:t>
            </w:r>
          </w:p>
        </w:tc>
        <w:tc>
          <w:tcPr>
            <w:tcW w:w="2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376DB5"/>
              </w:rPr>
              <w:t>Fiscal</w:t>
            </w:r>
          </w:p>
        </w:tc>
        <w:tc>
          <w:tcPr>
            <w:tcW w:w="1080" w:type="dxa"/>
            <w:vAlign w:val="bottom"/>
          </w:tcPr>
          <w:p>
            <w:pPr>
              <w:ind w:left="480"/>
              <w:spacing w:after="0"/>
              <w:rPr>
                <w:sz w:val="20"/>
                <w:szCs w:val="20"/>
                <w:color w:val="auto"/>
              </w:rPr>
            </w:pPr>
            <w:r>
              <w:rPr>
                <w:rFonts w:ascii="Arial" w:cs="Arial" w:eastAsia="Arial" w:hAnsi="Arial"/>
                <w:sz w:val="18"/>
                <w:szCs w:val="18"/>
                <w:color w:val="376DB5"/>
              </w:rPr>
              <w:t>Fiscal</w:t>
            </w:r>
          </w:p>
        </w:tc>
        <w:tc>
          <w:tcPr>
            <w:tcW w:w="560" w:type="dxa"/>
            <w:vAlign w:val="bottom"/>
          </w:tcPr>
          <w:p>
            <w:pPr>
              <w:spacing w:after="0"/>
              <w:rPr>
                <w:sz w:val="18"/>
                <w:szCs w:val="18"/>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376DB5"/>
              </w:rPr>
              <w:t>Fiscal</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90"/>
              <w:spacing w:after="0" w:line="202" w:lineRule="exact"/>
              <w:rPr>
                <w:sz w:val="20"/>
                <w:szCs w:val="20"/>
                <w:color w:val="auto"/>
              </w:rPr>
            </w:pPr>
            <w:r>
              <w:rPr>
                <w:rFonts w:ascii="Arial" w:cs="Arial" w:eastAsia="Arial" w:hAnsi="Arial"/>
                <w:sz w:val="18"/>
                <w:szCs w:val="18"/>
                <w:color w:val="376DB5"/>
              </w:rPr>
              <w:t>2025</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376DB5"/>
              </w:rPr>
              <w:t>2024</w:t>
            </w:r>
          </w:p>
        </w:tc>
        <w:tc>
          <w:tcPr>
            <w:tcW w:w="220" w:type="dxa"/>
            <w:vAlign w:val="bottom"/>
          </w:tcPr>
          <w:p>
            <w:pPr>
              <w:spacing w:after="0"/>
              <w:rPr>
                <w:sz w:val="17"/>
                <w:szCs w:val="17"/>
                <w:color w:val="auto"/>
              </w:rPr>
            </w:pPr>
          </w:p>
        </w:tc>
        <w:tc>
          <w:tcPr>
            <w:tcW w:w="1200" w:type="dxa"/>
            <w:vAlign w:val="bottom"/>
          </w:tcPr>
          <w:p>
            <w:pPr>
              <w:jc w:val="right"/>
              <w:ind w:right="210"/>
              <w:spacing w:after="0" w:line="202" w:lineRule="exact"/>
              <w:rPr>
                <w:sz w:val="20"/>
                <w:szCs w:val="20"/>
                <w:color w:val="auto"/>
              </w:rPr>
            </w:pPr>
            <w:r>
              <w:rPr>
                <w:rFonts w:ascii="Arial" w:cs="Arial" w:eastAsia="Arial" w:hAnsi="Arial"/>
                <w:sz w:val="18"/>
                <w:szCs w:val="18"/>
                <w:color w:val="376DB5"/>
              </w:rPr>
              <w:t>2023</w:t>
            </w:r>
          </w:p>
        </w:tc>
        <w:tc>
          <w:tcPr>
            <w:tcW w:w="1080" w:type="dxa"/>
            <w:vAlign w:val="bottom"/>
          </w:tcPr>
          <w:p>
            <w:pPr>
              <w:jc w:val="right"/>
              <w:ind w:right="70"/>
              <w:spacing w:after="0" w:line="202" w:lineRule="exact"/>
              <w:rPr>
                <w:sz w:val="20"/>
                <w:szCs w:val="20"/>
                <w:color w:val="auto"/>
              </w:rPr>
            </w:pPr>
            <w:r>
              <w:rPr>
                <w:rFonts w:ascii="Arial" w:cs="Arial" w:eastAsia="Arial" w:hAnsi="Arial"/>
                <w:sz w:val="18"/>
                <w:szCs w:val="18"/>
                <w:color w:val="376DB5"/>
              </w:rPr>
              <w:t>2022</w:t>
            </w:r>
          </w:p>
        </w:tc>
        <w:tc>
          <w:tcPr>
            <w:tcW w:w="560" w:type="dxa"/>
            <w:vAlign w:val="bottom"/>
          </w:tcPr>
          <w:p>
            <w:pPr>
              <w:spacing w:after="0"/>
              <w:rPr>
                <w:sz w:val="17"/>
                <w:szCs w:val="17"/>
                <w:color w:val="auto"/>
              </w:rPr>
            </w:pPr>
          </w:p>
        </w:tc>
        <w:tc>
          <w:tcPr>
            <w:tcW w:w="880" w:type="dxa"/>
            <w:vAlign w:val="bottom"/>
          </w:tcPr>
          <w:p>
            <w:pPr>
              <w:jc w:val="right"/>
              <w:ind w:right="270"/>
              <w:spacing w:after="0" w:line="202" w:lineRule="exact"/>
              <w:rPr>
                <w:sz w:val="20"/>
                <w:szCs w:val="20"/>
                <w:color w:val="auto"/>
              </w:rPr>
            </w:pPr>
            <w:r>
              <w:rPr>
                <w:rFonts w:ascii="Arial" w:cs="Arial" w:eastAsia="Arial" w:hAnsi="Arial"/>
                <w:sz w:val="18"/>
                <w:szCs w:val="18"/>
                <w:color w:val="376DB5"/>
              </w:rPr>
              <w:t>2021</w:t>
            </w:r>
          </w:p>
        </w:tc>
        <w:tc>
          <w:tcPr>
            <w:tcW w:w="0" w:type="dxa"/>
            <w:vAlign w:val="bottom"/>
          </w:tcPr>
          <w:p>
            <w:pPr>
              <w:spacing w:after="0"/>
              <w:rPr>
                <w:sz w:val="1"/>
                <w:szCs w:val="1"/>
                <w:color w:val="auto"/>
              </w:rPr>
            </w:pPr>
          </w:p>
        </w:tc>
      </w:tr>
      <w:tr>
        <w:trPr>
          <w:trHeight w:val="239"/>
        </w:trPr>
        <w:tc>
          <w:tcPr>
            <w:tcW w:w="1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376DB5"/>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376DB5"/>
              </w:rPr>
              <w:t>($)</w:t>
            </w:r>
          </w:p>
        </w:tc>
        <w:tc>
          <w:tcPr>
            <w:tcW w:w="22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color w:val="376DB5"/>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376DB5"/>
              </w:rPr>
              <w:t>($)</w:t>
            </w:r>
          </w:p>
        </w:tc>
        <w:tc>
          <w:tcPr>
            <w:tcW w:w="56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color w:val="376DB5"/>
              </w:rPr>
              <w:t>($)</w:t>
            </w:r>
          </w:p>
        </w:tc>
        <w:tc>
          <w:tcPr>
            <w:tcW w:w="0" w:type="dxa"/>
            <w:vAlign w:val="bottom"/>
          </w:tcPr>
          <w:p>
            <w:pPr>
              <w:spacing w:after="0"/>
              <w:rPr>
                <w:sz w:val="1"/>
                <w:szCs w:val="1"/>
                <w:color w:val="auto"/>
              </w:rPr>
            </w:pPr>
          </w:p>
        </w:tc>
      </w:tr>
      <w:tr>
        <w:trPr>
          <w:trHeight w:val="37"/>
        </w:trPr>
        <w:tc>
          <w:tcPr>
            <w:tcW w:w="4700" w:type="dxa"/>
            <w:vAlign w:val="bottom"/>
            <w:tcBorders>
              <w:bottom w:val="single" w:sz="8" w:color="376DB5"/>
            </w:tcBorders>
            <w:gridSpan w:val="4"/>
          </w:tcPr>
          <w:p>
            <w:pPr>
              <w:spacing w:after="0"/>
              <w:rPr>
                <w:sz w:val="3"/>
                <w:szCs w:val="3"/>
                <w:color w:val="auto"/>
              </w:rPr>
            </w:pPr>
          </w:p>
        </w:tc>
        <w:tc>
          <w:tcPr>
            <w:tcW w:w="260" w:type="dxa"/>
            <w:vAlign w:val="bottom"/>
            <w:tcBorders>
              <w:bottom w:val="single" w:sz="8" w:color="376DB5"/>
            </w:tcBorders>
          </w:tcPr>
          <w:p>
            <w:pPr>
              <w:spacing w:after="0"/>
              <w:rPr>
                <w:sz w:val="3"/>
                <w:szCs w:val="3"/>
                <w:color w:val="auto"/>
              </w:rPr>
            </w:pPr>
          </w:p>
        </w:tc>
        <w:tc>
          <w:tcPr>
            <w:tcW w:w="260" w:type="dxa"/>
            <w:vAlign w:val="bottom"/>
            <w:tcBorders>
              <w:bottom w:val="single" w:sz="8" w:color="376DB5"/>
            </w:tcBorders>
          </w:tcPr>
          <w:p>
            <w:pPr>
              <w:spacing w:after="0"/>
              <w:rPr>
                <w:sz w:val="3"/>
                <w:szCs w:val="3"/>
                <w:color w:val="auto"/>
              </w:rPr>
            </w:pPr>
          </w:p>
        </w:tc>
        <w:tc>
          <w:tcPr>
            <w:tcW w:w="1060" w:type="dxa"/>
            <w:vAlign w:val="bottom"/>
            <w:tcBorders>
              <w:bottom w:val="single" w:sz="8" w:color="376DB5"/>
            </w:tcBorders>
          </w:tcPr>
          <w:p>
            <w:pPr>
              <w:spacing w:after="0"/>
              <w:rPr>
                <w:sz w:val="3"/>
                <w:szCs w:val="3"/>
                <w:color w:val="auto"/>
              </w:rPr>
            </w:pPr>
          </w:p>
        </w:tc>
        <w:tc>
          <w:tcPr>
            <w:tcW w:w="800" w:type="dxa"/>
            <w:vAlign w:val="bottom"/>
            <w:tcBorders>
              <w:bottom w:val="single" w:sz="8" w:color="376DB5"/>
            </w:tcBorders>
          </w:tcPr>
          <w:p>
            <w:pPr>
              <w:spacing w:after="0"/>
              <w:rPr>
                <w:sz w:val="3"/>
                <w:szCs w:val="3"/>
                <w:color w:val="auto"/>
              </w:rPr>
            </w:pPr>
          </w:p>
        </w:tc>
        <w:tc>
          <w:tcPr>
            <w:tcW w:w="220" w:type="dxa"/>
            <w:vAlign w:val="bottom"/>
            <w:tcBorders>
              <w:bottom w:val="single" w:sz="8" w:color="376DB5"/>
            </w:tcBorders>
          </w:tcPr>
          <w:p>
            <w:pPr>
              <w:spacing w:after="0"/>
              <w:rPr>
                <w:sz w:val="3"/>
                <w:szCs w:val="3"/>
                <w:color w:val="auto"/>
              </w:rPr>
            </w:pPr>
          </w:p>
        </w:tc>
        <w:tc>
          <w:tcPr>
            <w:tcW w:w="1200" w:type="dxa"/>
            <w:vAlign w:val="bottom"/>
            <w:tcBorders>
              <w:bottom w:val="single" w:sz="8" w:color="376DB5"/>
            </w:tcBorders>
          </w:tcPr>
          <w:p>
            <w:pPr>
              <w:spacing w:after="0"/>
              <w:rPr>
                <w:sz w:val="3"/>
                <w:szCs w:val="3"/>
                <w:color w:val="auto"/>
              </w:rPr>
            </w:pPr>
          </w:p>
        </w:tc>
        <w:tc>
          <w:tcPr>
            <w:tcW w:w="1080" w:type="dxa"/>
            <w:vAlign w:val="bottom"/>
            <w:tcBorders>
              <w:bottom w:val="single" w:sz="8" w:color="376DB5"/>
            </w:tcBorders>
          </w:tcPr>
          <w:p>
            <w:pPr>
              <w:spacing w:after="0"/>
              <w:rPr>
                <w:sz w:val="3"/>
                <w:szCs w:val="3"/>
                <w:color w:val="auto"/>
              </w:rPr>
            </w:pPr>
          </w:p>
        </w:tc>
        <w:tc>
          <w:tcPr>
            <w:tcW w:w="560" w:type="dxa"/>
            <w:vAlign w:val="bottom"/>
            <w:tcBorders>
              <w:bottom w:val="single" w:sz="8" w:color="376DB5"/>
            </w:tcBorders>
          </w:tcPr>
          <w:p>
            <w:pPr>
              <w:spacing w:after="0"/>
              <w:rPr>
                <w:sz w:val="3"/>
                <w:szCs w:val="3"/>
                <w:color w:val="auto"/>
              </w:rPr>
            </w:pPr>
          </w:p>
        </w:tc>
        <w:tc>
          <w:tcPr>
            <w:tcW w:w="880" w:type="dxa"/>
            <w:vAlign w:val="bottom"/>
            <w:tcBorders>
              <w:bottom w:val="single" w:sz="8" w:color="376DB5"/>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5220" w:type="dxa"/>
            <w:vAlign w:val="bottom"/>
            <w:gridSpan w:val="6"/>
          </w:tcPr>
          <w:p>
            <w:pPr>
              <w:spacing w:after="0"/>
              <w:rPr>
                <w:sz w:val="20"/>
                <w:szCs w:val="20"/>
                <w:color w:val="auto"/>
              </w:rPr>
            </w:pPr>
            <w:r>
              <w:rPr>
                <w:rFonts w:ascii="Arial" w:cs="Arial" w:eastAsia="Arial" w:hAnsi="Arial"/>
                <w:sz w:val="18"/>
                <w:szCs w:val="18"/>
                <w:b w:val="1"/>
                <w:bCs w:val="1"/>
                <w:color w:val="auto"/>
              </w:rPr>
              <w:t>Average of Summary Compensation Table Total for</w:t>
            </w:r>
          </w:p>
        </w:tc>
        <w:tc>
          <w:tcPr>
            <w:tcW w:w="10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7,222,497</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7,768,677</w:t>
            </w: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7,236,681</w:t>
            </w:r>
          </w:p>
        </w:tc>
        <w:tc>
          <w:tcPr>
            <w:tcW w:w="1640" w:type="dxa"/>
            <w:vAlign w:val="bottom"/>
            <w:gridSpan w:val="2"/>
            <w:vMerge w:val="restart"/>
          </w:tcPr>
          <w:p>
            <w:pPr>
              <w:jc w:val="right"/>
              <w:ind w:right="330"/>
              <w:spacing w:after="0"/>
              <w:rPr>
                <w:sz w:val="20"/>
                <w:szCs w:val="20"/>
                <w:color w:val="auto"/>
              </w:rPr>
            </w:pPr>
            <w:r>
              <w:rPr>
                <w:rFonts w:ascii="Arial" w:cs="Arial" w:eastAsia="Arial" w:hAnsi="Arial"/>
                <w:sz w:val="18"/>
                <w:szCs w:val="18"/>
                <w:b w:val="1"/>
                <w:bCs w:val="1"/>
                <w:color w:val="auto"/>
              </w:rPr>
              <w:t>7,033,248</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7"/>
              </w:rPr>
              <w:t>7,034,096</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Non-PEO NEOs</w:t>
            </w:r>
          </w:p>
        </w:tc>
        <w:tc>
          <w:tcPr>
            <w:tcW w:w="10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4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26670</wp:posOffset>
            </wp:positionV>
            <wp:extent cx="6995160" cy="3943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39433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31" w:lineRule="exact"/>
        <w:rPr>
          <w:sz w:val="20"/>
          <w:szCs w:val="20"/>
          <w:color w:val="auto"/>
        </w:rPr>
      </w:pPr>
    </w:p>
    <w:p>
      <w:pPr>
        <w:ind w:left="480" w:right="300" w:hanging="179"/>
        <w:spacing w:after="0" w:line="271" w:lineRule="auto"/>
        <w:rPr>
          <w:sz w:val="20"/>
          <w:szCs w:val="20"/>
          <w:color w:val="auto"/>
        </w:rPr>
      </w:pPr>
      <w:r>
        <w:rPr>
          <w:rFonts w:ascii="Arial" w:cs="Arial" w:eastAsia="Arial" w:hAnsi="Arial"/>
          <w:sz w:val="18"/>
          <w:szCs w:val="18"/>
          <w:color w:val="auto"/>
        </w:rPr>
        <w:t>Less: Grant Date Fair Value of Stock Awards Granted in Covered Fiscal Year</w:t>
      </w:r>
    </w:p>
    <w:p>
      <w:pPr>
        <w:spacing w:after="0" w:line="154" w:lineRule="exact"/>
        <w:rPr>
          <w:sz w:val="20"/>
          <w:szCs w:val="20"/>
          <w:color w:val="auto"/>
        </w:rPr>
      </w:pPr>
    </w:p>
    <w:p>
      <w:pPr>
        <w:ind w:left="480" w:right="220" w:hanging="179"/>
        <w:spacing w:after="0" w:line="271" w:lineRule="auto"/>
        <w:rPr>
          <w:sz w:val="20"/>
          <w:szCs w:val="20"/>
          <w:color w:val="auto"/>
        </w:rPr>
      </w:pPr>
      <w:r>
        <w:rPr>
          <w:rFonts w:ascii="Arial" w:cs="Arial" w:eastAsia="Arial" w:hAnsi="Arial"/>
          <w:sz w:val="18"/>
          <w:szCs w:val="18"/>
          <w:color w:val="auto"/>
        </w:rPr>
        <w:t>Less: Grant Date Fair Value of Option Awards Granted in Covered Fiscal Year</w:t>
      </w:r>
    </w:p>
    <w:p>
      <w:pPr>
        <w:spacing w:after="0" w:line="154" w:lineRule="exact"/>
        <w:rPr>
          <w:sz w:val="20"/>
          <w:szCs w:val="20"/>
          <w:color w:val="auto"/>
        </w:rPr>
      </w:pPr>
    </w:p>
    <w:p>
      <w:pPr>
        <w:ind w:left="480" w:right="60" w:hanging="179"/>
        <w:spacing w:after="0" w:line="301" w:lineRule="auto"/>
        <w:rPr>
          <w:sz w:val="20"/>
          <w:szCs w:val="20"/>
          <w:color w:val="auto"/>
        </w:rPr>
      </w:pPr>
      <w:r>
        <w:rPr>
          <w:rFonts w:ascii="Arial" w:cs="Arial" w:eastAsia="Arial" w:hAnsi="Arial"/>
          <w:sz w:val="17"/>
          <w:szCs w:val="17"/>
          <w:color w:val="auto"/>
        </w:rPr>
        <w:t>Add: Fair Value at Covered Fiscal Year-End of Outstanding Unvested Awards Granted in Covered Fiscal Year</w:t>
      </w:r>
    </w:p>
    <w:p>
      <w:pPr>
        <w:spacing w:after="0" w:line="131" w:lineRule="exact"/>
        <w:rPr>
          <w:sz w:val="20"/>
          <w:szCs w:val="20"/>
          <w:color w:val="auto"/>
        </w:rPr>
      </w:pPr>
    </w:p>
    <w:p>
      <w:pPr>
        <w:ind w:left="480" w:right="200" w:hanging="179"/>
        <w:spacing w:after="0" w:line="301" w:lineRule="auto"/>
        <w:rPr>
          <w:sz w:val="20"/>
          <w:szCs w:val="20"/>
          <w:color w:val="auto"/>
        </w:rPr>
      </w:pPr>
      <w:r>
        <w:rPr>
          <w:rFonts w:ascii="Arial" w:cs="Arial" w:eastAsia="Arial" w:hAnsi="Arial"/>
          <w:sz w:val="17"/>
          <w:szCs w:val="17"/>
          <w:color w:val="auto"/>
        </w:rPr>
        <w:t>Add: Fair Value at Vesting of Awards Granted in Covered Fiscal Year That Vested During Covered Fiscal Year</w:t>
      </w:r>
    </w:p>
    <w:p>
      <w:pPr>
        <w:spacing w:after="0" w:line="131" w:lineRule="exact"/>
        <w:rPr>
          <w:sz w:val="20"/>
          <w:szCs w:val="20"/>
          <w:color w:val="auto"/>
        </w:rPr>
      </w:pPr>
    </w:p>
    <w:p>
      <w:pPr>
        <w:ind w:left="480" w:hanging="179"/>
        <w:spacing w:after="0" w:line="247" w:lineRule="auto"/>
        <w:rPr>
          <w:sz w:val="20"/>
          <w:szCs w:val="20"/>
          <w:color w:val="auto"/>
        </w:rPr>
      </w:pPr>
      <w:r>
        <w:rPr>
          <w:rFonts w:ascii="Arial" w:cs="Arial" w:eastAsia="Arial" w:hAnsi="Arial"/>
          <w:sz w:val="18"/>
          <w:szCs w:val="18"/>
          <w:color w:val="auto"/>
        </w:rPr>
        <w:t>Add/Subtract: Change in Fair Value from End of Prior Fiscal Year to End of Covered Fiscal Year of Awards Granted in Prior Fiscal Years That Were Unvested at End of Covered Fiscal Year</w:t>
      </w:r>
    </w:p>
    <w:p>
      <w:pPr>
        <w:spacing w:after="0" w:line="174" w:lineRule="exact"/>
        <w:rPr>
          <w:sz w:val="20"/>
          <w:szCs w:val="20"/>
          <w:color w:val="auto"/>
        </w:rPr>
      </w:pPr>
    </w:p>
    <w:p>
      <w:pPr>
        <w:ind w:left="480" w:right="40" w:hanging="179"/>
        <w:spacing w:after="0" w:line="247" w:lineRule="auto"/>
        <w:rPr>
          <w:sz w:val="20"/>
          <w:szCs w:val="20"/>
          <w:color w:val="auto"/>
        </w:rPr>
      </w:pPr>
      <w:r>
        <w:rPr>
          <w:rFonts w:ascii="Arial" w:cs="Arial" w:eastAsia="Arial" w:hAnsi="Arial"/>
          <w:sz w:val="18"/>
          <w:szCs w:val="18"/>
          <w:color w:val="auto"/>
        </w:rPr>
        <w:t>Add: Change in Fair Value from End of Prior Fiscal Year to Vesting Date of Awards Granted in Prior Fiscal Years For Which All Applicable Vesting Conditions Were Satisfied During Covered Fiscal Year</w:t>
      </w:r>
    </w:p>
    <w:p>
      <w:pPr>
        <w:spacing w:after="0" w:line="174" w:lineRule="exact"/>
        <w:rPr>
          <w:sz w:val="20"/>
          <w:szCs w:val="20"/>
          <w:color w:val="auto"/>
        </w:rPr>
      </w:pPr>
    </w:p>
    <w:p>
      <w:pPr>
        <w:ind w:left="480" w:right="360" w:hanging="179"/>
        <w:spacing w:after="0" w:line="247" w:lineRule="auto"/>
        <w:rPr>
          <w:sz w:val="20"/>
          <w:szCs w:val="20"/>
          <w:color w:val="auto"/>
        </w:rPr>
      </w:pPr>
      <w:r>
        <w:rPr>
          <w:rFonts w:ascii="Arial" w:cs="Arial" w:eastAsia="Arial" w:hAnsi="Arial"/>
          <w:sz w:val="18"/>
          <w:szCs w:val="18"/>
          <w:color w:val="auto"/>
        </w:rPr>
        <w:t>Less: Fair Value as of Prior Fiscal Year-End of Awards Granted in Prior Fiscal Years That Failed to Meet Applicable Vesting Conditions During Covered Fiscal Year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tabs>
          <w:tab w:leader="none" w:pos="1180" w:val="left"/>
          <w:tab w:leader="none" w:pos="2360" w:val="left"/>
          <w:tab w:leader="none" w:pos="3600" w:val="left"/>
          <w:tab w:leader="none" w:pos="4820" w:val="left"/>
        </w:tabs>
        <w:rPr>
          <w:sz w:val="20"/>
          <w:szCs w:val="20"/>
          <w:color w:val="auto"/>
        </w:rPr>
      </w:pPr>
      <w:r>
        <w:rPr>
          <w:rFonts w:ascii="Arial" w:cs="Arial" w:eastAsia="Arial" w:hAnsi="Arial"/>
          <w:sz w:val="18"/>
          <w:szCs w:val="18"/>
          <w:color w:val="auto"/>
        </w:rPr>
        <w:t>(6,480,497)</w:t>
        <w:tab/>
        <w:t>(6,996,111)</w:t>
        <w:tab/>
        <w:t>(6,578,189)</w:t>
      </w:r>
      <w:r>
        <w:rPr>
          <w:sz w:val="20"/>
          <w:szCs w:val="20"/>
          <w:color w:val="auto"/>
        </w:rPr>
        <w:tab/>
      </w:r>
      <w:r>
        <w:rPr>
          <w:rFonts w:ascii="Arial" w:cs="Arial" w:eastAsia="Arial" w:hAnsi="Arial"/>
          <w:sz w:val="18"/>
          <w:szCs w:val="18"/>
          <w:color w:val="auto"/>
        </w:rPr>
        <w:t>(6,293,097)</w:t>
      </w:r>
      <w:r>
        <w:rPr>
          <w:sz w:val="20"/>
          <w:szCs w:val="20"/>
          <w:color w:val="auto"/>
        </w:rPr>
        <w:tab/>
      </w:r>
      <w:r>
        <w:rPr>
          <w:rFonts w:ascii="Arial" w:cs="Arial" w:eastAsia="Arial" w:hAnsi="Arial"/>
          <w:sz w:val="17"/>
          <w:szCs w:val="17"/>
          <w:color w:val="auto"/>
        </w:rPr>
        <w:t>(6,235,329)</w:t>
      </w:r>
    </w:p>
    <w:p>
      <w:pPr>
        <w:spacing w:after="0" w:line="200" w:lineRule="exact"/>
        <w:rPr>
          <w:sz w:val="20"/>
          <w:szCs w:val="20"/>
          <w:color w:val="auto"/>
        </w:rPr>
      </w:pPr>
    </w:p>
    <w:p>
      <w:pPr>
        <w:spacing w:after="0" w:line="214" w:lineRule="exact"/>
        <w:rPr>
          <w:sz w:val="20"/>
          <w:szCs w:val="20"/>
          <w:color w:val="auto"/>
        </w:rPr>
      </w:pPr>
    </w:p>
    <w:p>
      <w:pPr>
        <w:jc w:val="both"/>
        <w:ind w:left="740"/>
        <w:spacing w:after="0"/>
        <w:tabs>
          <w:tab w:leader="none" w:pos="1900" w:val="left"/>
          <w:tab w:leader="none" w:pos="3100" w:val="left"/>
          <w:tab w:leader="none" w:pos="4340" w:val="left"/>
          <w:tab w:leader="none" w:pos="5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-3291205</wp:posOffset>
            </wp:positionH>
            <wp:positionV relativeFrom="paragraph">
              <wp:posOffset>146050</wp:posOffset>
            </wp:positionV>
            <wp:extent cx="6995160" cy="3943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394335"/>
                    </a:xfrm>
                    <a:prstGeom prst="rect">
                      <a:avLst/>
                    </a:prstGeom>
                    <a:noFill/>
                  </pic:spPr>
                </pic:pic>
              </a:graphicData>
            </a:graphic>
          </wp:anchor>
        </w:drawing>
      </w:r>
    </w:p>
    <w:p>
      <w:pPr>
        <w:spacing w:after="0" w:line="394" w:lineRule="exact"/>
        <w:rPr>
          <w:sz w:val="20"/>
          <w:szCs w:val="20"/>
          <w:color w:val="auto"/>
        </w:rPr>
      </w:pPr>
    </w:p>
    <w:p>
      <w:pPr>
        <w:ind w:left="120"/>
        <w:spacing w:after="0"/>
        <w:tabs>
          <w:tab w:leader="none" w:pos="1180" w:val="left"/>
          <w:tab w:leader="none" w:pos="2480" w:val="left"/>
          <w:tab w:leader="none" w:pos="3720" w:val="left"/>
          <w:tab w:leader="none" w:pos="4940" w:val="left"/>
        </w:tabs>
        <w:rPr>
          <w:sz w:val="20"/>
          <w:szCs w:val="20"/>
          <w:color w:val="auto"/>
        </w:rPr>
      </w:pPr>
      <w:r>
        <w:rPr>
          <w:rFonts w:ascii="Arial" w:cs="Arial" w:eastAsia="Arial" w:hAnsi="Arial"/>
          <w:sz w:val="18"/>
          <w:szCs w:val="18"/>
          <w:color w:val="auto"/>
        </w:rPr>
        <w:t>3,156,994</w:t>
        <w:tab/>
        <w:t>16,725,693</w:t>
      </w:r>
      <w:r>
        <w:rPr>
          <w:sz w:val="20"/>
          <w:szCs w:val="20"/>
          <w:color w:val="auto"/>
        </w:rPr>
        <w:tab/>
      </w:r>
      <w:r>
        <w:rPr>
          <w:rFonts w:ascii="Arial" w:cs="Arial" w:eastAsia="Arial" w:hAnsi="Arial"/>
          <w:sz w:val="18"/>
          <w:szCs w:val="18"/>
          <w:color w:val="auto"/>
        </w:rPr>
        <w:t>9,468,316</w:t>
      </w:r>
      <w:r>
        <w:rPr>
          <w:sz w:val="20"/>
          <w:szCs w:val="20"/>
          <w:color w:val="auto"/>
        </w:rPr>
        <w:tab/>
      </w:r>
      <w:r>
        <w:rPr>
          <w:rFonts w:ascii="Arial" w:cs="Arial" w:eastAsia="Arial" w:hAnsi="Arial"/>
          <w:sz w:val="18"/>
          <w:szCs w:val="18"/>
          <w:color w:val="auto"/>
        </w:rPr>
        <w:t>8,877,029</w:t>
      </w:r>
      <w:r>
        <w:rPr>
          <w:sz w:val="20"/>
          <w:szCs w:val="20"/>
          <w:color w:val="auto"/>
        </w:rPr>
        <w:tab/>
      </w:r>
      <w:r>
        <w:rPr>
          <w:rFonts w:ascii="Arial" w:cs="Arial" w:eastAsia="Arial" w:hAnsi="Arial"/>
          <w:sz w:val="17"/>
          <w:szCs w:val="17"/>
          <w:color w:val="auto"/>
        </w:rPr>
        <w:t>5,175,567</w:t>
      </w:r>
    </w:p>
    <w:p>
      <w:pPr>
        <w:spacing w:after="0" w:line="200" w:lineRule="exact"/>
        <w:rPr>
          <w:sz w:val="20"/>
          <w:szCs w:val="20"/>
          <w:color w:val="auto"/>
        </w:rPr>
      </w:pPr>
    </w:p>
    <w:p>
      <w:pPr>
        <w:spacing w:after="0" w:line="214" w:lineRule="exact"/>
        <w:rPr>
          <w:sz w:val="20"/>
          <w:szCs w:val="20"/>
          <w:color w:val="auto"/>
        </w:rPr>
      </w:pPr>
    </w:p>
    <w:p>
      <w:pPr>
        <w:jc w:val="both"/>
        <w:ind w:left="740"/>
        <w:spacing w:after="0"/>
        <w:tabs>
          <w:tab w:leader="none" w:pos="1900" w:val="left"/>
          <w:tab w:leader="none" w:pos="3100" w:val="left"/>
          <w:tab w:leader="none" w:pos="4340" w:val="left"/>
          <w:tab w:leader="none" w:pos="5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-3291205</wp:posOffset>
            </wp:positionH>
            <wp:positionV relativeFrom="paragraph">
              <wp:posOffset>146050</wp:posOffset>
            </wp:positionV>
            <wp:extent cx="6995160" cy="6515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65151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tabs>
          <w:tab w:leader="none" w:pos="1180" w:val="left"/>
          <w:tab w:leader="none" w:pos="2480" w:val="left"/>
          <w:tab w:leader="none" w:pos="3860" w:val="left"/>
          <w:tab w:leader="none" w:pos="4980" w:val="left"/>
        </w:tabs>
        <w:rPr>
          <w:sz w:val="20"/>
          <w:szCs w:val="20"/>
          <w:color w:val="auto"/>
        </w:rPr>
      </w:pPr>
      <w:r>
        <w:rPr>
          <w:rFonts w:ascii="Arial" w:cs="Arial" w:eastAsia="Arial" w:hAnsi="Arial"/>
          <w:sz w:val="18"/>
          <w:szCs w:val="18"/>
          <w:color w:val="auto"/>
        </w:rPr>
        <w:t>(4,191,651)</w:t>
        <w:tab/>
        <w:t>16,499,239</w:t>
      </w:r>
      <w:r>
        <w:rPr>
          <w:sz w:val="20"/>
          <w:szCs w:val="20"/>
          <w:color w:val="auto"/>
        </w:rPr>
        <w:tab/>
      </w:r>
      <w:r>
        <w:rPr>
          <w:rFonts w:ascii="Arial" w:cs="Arial" w:eastAsia="Arial" w:hAnsi="Arial"/>
          <w:sz w:val="18"/>
          <w:szCs w:val="18"/>
          <w:color w:val="auto"/>
        </w:rPr>
        <w:t>8,481,736</w:t>
      </w:r>
      <w:r>
        <w:rPr>
          <w:sz w:val="20"/>
          <w:szCs w:val="20"/>
          <w:color w:val="auto"/>
        </w:rPr>
        <w:tab/>
      </w:r>
      <w:r>
        <w:rPr>
          <w:rFonts w:ascii="Arial" w:cs="Arial" w:eastAsia="Arial" w:hAnsi="Arial"/>
          <w:sz w:val="18"/>
          <w:szCs w:val="18"/>
          <w:color w:val="auto"/>
        </w:rPr>
        <w:t>944,482</w:t>
      </w:r>
      <w:r>
        <w:rPr>
          <w:sz w:val="20"/>
          <w:szCs w:val="20"/>
          <w:color w:val="auto"/>
        </w:rPr>
        <w:tab/>
      </w:r>
      <w:r>
        <w:rPr>
          <w:rFonts w:ascii="Arial" w:cs="Arial" w:eastAsia="Arial" w:hAnsi="Arial"/>
          <w:sz w:val="17"/>
          <w:szCs w:val="17"/>
          <w:color w:val="auto"/>
        </w:rPr>
        <w:t>(869,504)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spacing w:after="0"/>
        <w:tabs>
          <w:tab w:leader="none" w:pos="1280" w:val="left"/>
          <w:tab w:leader="none" w:pos="2480" w:val="left"/>
          <w:tab w:leader="none" w:pos="3860" w:val="left"/>
          <w:tab w:leader="none" w:pos="5100" w:val="left"/>
        </w:tabs>
        <w:rPr>
          <w:sz w:val="20"/>
          <w:szCs w:val="20"/>
          <w:color w:val="auto"/>
        </w:rPr>
      </w:pPr>
      <w:r>
        <w:rPr>
          <w:rFonts w:ascii="Arial" w:cs="Arial" w:eastAsia="Arial" w:hAnsi="Arial"/>
          <w:sz w:val="18"/>
          <w:szCs w:val="18"/>
          <w:color w:val="auto"/>
        </w:rPr>
        <w:t>2,546,996</w:t>
      </w:r>
      <w:r>
        <w:rPr>
          <w:sz w:val="20"/>
          <w:szCs w:val="20"/>
          <w:color w:val="auto"/>
        </w:rPr>
        <w:tab/>
      </w:r>
      <w:r>
        <w:rPr>
          <w:rFonts w:ascii="Arial" w:cs="Arial" w:eastAsia="Arial" w:hAnsi="Arial"/>
          <w:sz w:val="18"/>
          <w:szCs w:val="18"/>
          <w:color w:val="auto"/>
        </w:rPr>
        <w:t>4,267,068</w:t>
      </w:r>
      <w:r>
        <w:rPr>
          <w:sz w:val="20"/>
          <w:szCs w:val="20"/>
          <w:color w:val="auto"/>
        </w:rPr>
        <w:tab/>
      </w:r>
      <w:r>
        <w:rPr>
          <w:rFonts w:ascii="Arial" w:cs="Arial" w:eastAsia="Arial" w:hAnsi="Arial"/>
          <w:sz w:val="18"/>
          <w:szCs w:val="18"/>
          <w:color w:val="auto"/>
        </w:rPr>
        <w:t>3,371,020</w:t>
      </w:r>
      <w:r>
        <w:rPr>
          <w:sz w:val="20"/>
          <w:szCs w:val="20"/>
          <w:color w:val="auto"/>
        </w:rPr>
        <w:tab/>
      </w:r>
      <w:r>
        <w:rPr>
          <w:rFonts w:ascii="Arial" w:cs="Arial" w:eastAsia="Arial" w:hAnsi="Arial"/>
          <w:sz w:val="18"/>
          <w:szCs w:val="18"/>
          <w:color w:val="auto"/>
        </w:rPr>
        <w:t>143,642</w:t>
      </w:r>
      <w:r>
        <w:rPr>
          <w:sz w:val="20"/>
          <w:szCs w:val="20"/>
          <w:color w:val="auto"/>
        </w:rPr>
        <w:tab/>
      </w:r>
      <w:r>
        <w:rPr>
          <w:rFonts w:ascii="Arial" w:cs="Arial" w:eastAsia="Arial" w:hAnsi="Arial"/>
          <w:sz w:val="17"/>
          <w:szCs w:val="17"/>
          <w:color w:val="auto"/>
        </w:rPr>
        <w:t>844,067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-3291205</wp:posOffset>
            </wp:positionH>
            <wp:positionV relativeFrom="paragraph">
              <wp:posOffset>274955</wp:posOffset>
            </wp:positionV>
            <wp:extent cx="6995160" cy="6515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1900" w:val="left"/>
          <w:tab w:leader="none" w:pos="2360" w:val="left"/>
          <w:tab w:leader="none" w:pos="4340" w:val="left"/>
          <w:tab w:leader="none" w:pos="5560" w:val="left"/>
        </w:tabs>
        <w:rPr>
          <w:sz w:val="20"/>
          <w:szCs w:val="20"/>
          <w:color w:val="auto"/>
        </w:rPr>
      </w:pPr>
      <w:r>
        <w:rPr>
          <w:rFonts w:ascii="Arial" w:cs="Arial" w:eastAsia="Arial" w:hAnsi="Arial"/>
          <w:sz w:val="18"/>
          <w:szCs w:val="18"/>
          <w:color w:val="auto"/>
        </w:rPr>
        <w:t>(5,756,482)</w:t>
      </w:r>
      <w:r>
        <w:rPr>
          <w:sz w:val="20"/>
          <w:szCs w:val="20"/>
          <w:color w:val="auto"/>
        </w:rPr>
        <w:tab/>
      </w:r>
      <w:r>
        <w:rPr>
          <w:rFonts w:ascii="Arial" w:cs="Arial" w:eastAsia="Arial" w:hAnsi="Arial"/>
          <w:sz w:val="18"/>
          <w:szCs w:val="18"/>
          <w:color w:val="auto"/>
        </w:rPr>
        <w:t>—</w:t>
        <w:tab/>
        <w:t>(1,701,020)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522" w:lineRule="exact"/>
        <w:rPr>
          <w:sz w:val="20"/>
          <w:szCs w:val="20"/>
          <w:color w:val="auto"/>
        </w:rPr>
      </w:pPr>
    </w:p>
    <w:p>
      <w:pPr>
        <w:sectPr>
          <w:pgSz w:w="11900" w:h="16838" w:orient="portrait"/>
          <w:cols w:equalWidth="0" w:num="2">
            <w:col w:w="5040" w:space="260"/>
            <w:col w:w="5840"/>
          </w:cols>
          <w:pgMar w:left="320" w:top="482" w:right="439" w:bottom="1440" w:gutter="0" w:footer="0" w:header="0"/>
          <w:type w:val="continuous"/>
        </w:sectPr>
      </w:pPr>
    </w:p>
    <w:p>
      <w:pPr>
        <w:ind w:left="300"/>
        <w:spacing w:after="0"/>
        <w:rPr>
          <w:sz w:val="20"/>
          <w:szCs w:val="20"/>
          <w:color w:val="auto"/>
        </w:rPr>
      </w:pPr>
      <w:r>
        <w:rPr>
          <w:rFonts w:ascii="Arial" w:cs="Arial" w:eastAsia="Arial" w:hAnsi="Arial"/>
          <w:sz w:val="18"/>
          <w:szCs w:val="18"/>
          <w:color w:val="auto"/>
        </w:rPr>
        <w:t>Add: Value of Dividends or other Earnings Paid on Stock or</w:t>
      </w:r>
    </w:p>
    <w:p>
      <w:pPr>
        <w:spacing w:after="0" w:line="9" w:lineRule="exact"/>
        <w:rPr>
          <w:sz w:val="20"/>
          <w:szCs w:val="20"/>
          <w:color w:val="auto"/>
        </w:rPr>
      </w:pPr>
    </w:p>
    <w:p>
      <w:pPr>
        <w:ind w:left="480"/>
        <w:spacing w:after="0"/>
        <w:tabs>
          <w:tab w:leader="none" w:pos="6020" w:val="left"/>
          <w:tab w:leader="none" w:pos="7200" w:val="left"/>
          <w:tab w:leader="none" w:pos="8400" w:val="left"/>
          <w:tab w:leader="none" w:pos="9640" w:val="left"/>
          <w:tab w:leader="none" w:pos="10860" w:val="left"/>
        </w:tabs>
        <w:rPr>
          <w:sz w:val="20"/>
          <w:szCs w:val="20"/>
          <w:color w:val="auto"/>
        </w:rPr>
      </w:pPr>
      <w:r>
        <w:rPr>
          <w:rFonts w:ascii="Arial" w:cs="Arial" w:eastAsia="Arial" w:hAnsi="Arial"/>
          <w:sz w:val="18"/>
          <w:szCs w:val="18"/>
          <w:color w:val="auto"/>
        </w:rPr>
        <w:t>Option Awards not Otherwise Reflected in Total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ind w:left="480"/>
        <w:spacing w:after="0"/>
        <w:rPr>
          <w:sz w:val="20"/>
          <w:szCs w:val="20"/>
          <w:color w:val="auto"/>
        </w:rPr>
      </w:pPr>
      <w:r>
        <w:rPr>
          <w:rFonts w:ascii="Arial" w:cs="Arial" w:eastAsia="Arial" w:hAnsi="Arial"/>
          <w:sz w:val="18"/>
          <w:szCs w:val="18"/>
          <w:color w:val="auto"/>
        </w:rPr>
        <w:t>Compensation for Covered Fiscal Year</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336"/>
        </w:trPr>
        <w:tc>
          <w:tcPr>
            <w:tcW w:w="4960" w:type="dxa"/>
            <w:vAlign w:val="bottom"/>
            <w:shd w:val="clear" w:color="auto" w:fill="F2F2F2"/>
          </w:tcPr>
          <w:p>
            <w:pPr>
              <w:spacing w:after="0"/>
              <w:rPr>
                <w:sz w:val="20"/>
                <w:szCs w:val="20"/>
                <w:color w:val="auto"/>
              </w:rPr>
            </w:pPr>
            <w:r>
              <w:rPr>
                <w:rFonts w:ascii="Arial" w:cs="Arial" w:eastAsia="Arial" w:hAnsi="Arial"/>
                <w:sz w:val="18"/>
                <w:szCs w:val="18"/>
                <w:b w:val="1"/>
                <w:bCs w:val="1"/>
                <w:color w:val="auto"/>
              </w:rPr>
              <w:t>Average Compensation Actually Paid to Non-PEO NEOs</w:t>
            </w:r>
          </w:p>
        </w:tc>
        <w:tc>
          <w:tcPr>
            <w:tcW w:w="4980" w:type="dxa"/>
            <w:vAlign w:val="bottom"/>
            <w:shd w:val="clear" w:color="auto" w:fill="F2F2F2"/>
          </w:tcPr>
          <w:p>
            <w:pPr>
              <w:jc w:val="right"/>
              <w:ind w:right="130"/>
              <w:spacing w:after="0"/>
              <w:rPr>
                <w:sz w:val="20"/>
                <w:szCs w:val="20"/>
                <w:color w:val="auto"/>
              </w:rPr>
            </w:pPr>
            <w:r>
              <w:rPr>
                <w:rFonts w:ascii="Arial" w:cs="Arial" w:eastAsia="Arial" w:hAnsi="Arial"/>
                <w:sz w:val="18"/>
                <w:szCs w:val="18"/>
                <w:b w:val="1"/>
                <w:bCs w:val="1"/>
                <w:color w:val="auto"/>
              </w:rPr>
              <w:t>(3,502,143)   38,264,566   20,278,836   10,705,303</w:t>
            </w:r>
          </w:p>
        </w:tc>
        <w:tc>
          <w:tcPr>
            <w:tcW w:w="1080" w:type="dxa"/>
            <w:vAlign w:val="bottom"/>
            <w:shd w:val="clear" w:color="auto" w:fill="F2F2F2"/>
          </w:tcPr>
          <w:p>
            <w:pPr>
              <w:jc w:val="right"/>
              <w:spacing w:after="0"/>
              <w:rPr>
                <w:sz w:val="20"/>
                <w:szCs w:val="20"/>
                <w:color w:val="auto"/>
              </w:rPr>
            </w:pPr>
            <w:r>
              <w:rPr>
                <w:rFonts w:ascii="Arial" w:cs="Arial" w:eastAsia="Arial" w:hAnsi="Arial"/>
                <w:sz w:val="18"/>
                <w:szCs w:val="18"/>
                <w:b w:val="1"/>
                <w:bCs w:val="1"/>
                <w:color w:val="auto"/>
              </w:rPr>
              <w:t>5,948,897</w:t>
            </w:r>
          </w:p>
        </w:tc>
      </w:tr>
      <w:tr>
        <w:trPr>
          <w:trHeight w:val="83"/>
        </w:trPr>
        <w:tc>
          <w:tcPr>
            <w:tcW w:w="4960" w:type="dxa"/>
            <w:vAlign w:val="bottom"/>
            <w:tcBorders>
              <w:bottom w:val="single" w:sz="8" w:color="376DB5"/>
            </w:tcBorders>
            <w:shd w:val="clear" w:color="auto" w:fill="F2F2F2"/>
          </w:tcPr>
          <w:p>
            <w:pPr>
              <w:spacing w:after="0"/>
              <w:rPr>
                <w:sz w:val="7"/>
                <w:szCs w:val="7"/>
                <w:color w:val="auto"/>
              </w:rPr>
            </w:pPr>
          </w:p>
        </w:tc>
        <w:tc>
          <w:tcPr>
            <w:tcW w:w="4980" w:type="dxa"/>
            <w:vAlign w:val="bottom"/>
            <w:tcBorders>
              <w:bottom w:val="single" w:sz="8" w:color="376DB5"/>
            </w:tcBorders>
            <w:shd w:val="clear" w:color="auto" w:fill="F2F2F2"/>
          </w:tcPr>
          <w:p>
            <w:pPr>
              <w:spacing w:after="0"/>
              <w:rPr>
                <w:sz w:val="7"/>
                <w:szCs w:val="7"/>
                <w:color w:val="auto"/>
              </w:rPr>
            </w:pPr>
          </w:p>
        </w:tc>
        <w:tc>
          <w:tcPr>
            <w:tcW w:w="1080" w:type="dxa"/>
            <w:vAlign w:val="bottom"/>
            <w:tcBorders>
              <w:bottom w:val="single" w:sz="8" w:color="376DB5"/>
            </w:tcBorders>
            <w:shd w:val="clear" w:color="auto" w:fill="F2F2F2"/>
          </w:tcPr>
          <w:p>
            <w:pPr>
              <w:spacing w:after="0"/>
              <w:rPr>
                <w:sz w:val="7"/>
                <w:szCs w:val="7"/>
                <w:color w:val="auto"/>
              </w:rPr>
            </w:pPr>
          </w:p>
        </w:tc>
      </w:tr>
    </w:tbl>
    <w:p>
      <w:pPr>
        <w:spacing w:after="0" w:line="103" w:lineRule="exact"/>
        <w:rPr>
          <w:sz w:val="20"/>
          <w:szCs w:val="20"/>
          <w:color w:val="auto"/>
        </w:rPr>
      </w:pPr>
    </w:p>
    <w:p>
      <w:pPr>
        <w:jc w:val="both"/>
        <w:ind w:left="540" w:right="20" w:hanging="424"/>
        <w:spacing w:after="0" w:line="244" w:lineRule="auto"/>
        <w:tabs>
          <w:tab w:leader="none" w:pos="540" w:val="left"/>
        </w:tabs>
        <w:numPr>
          <w:ilvl w:val="0"/>
          <w:numId w:val="72"/>
        </w:numPr>
        <w:rPr>
          <w:rFonts w:ascii="Arial" w:cs="Arial" w:eastAsia="Arial" w:hAnsi="Arial"/>
          <w:sz w:val="11"/>
          <w:szCs w:val="11"/>
          <w:color w:val="auto"/>
        </w:rPr>
      </w:pPr>
      <w:r>
        <w:rPr>
          <w:rFonts w:ascii="Arial" w:cs="Arial" w:eastAsia="Arial" w:hAnsi="Arial"/>
          <w:sz w:val="18"/>
          <w:szCs w:val="18"/>
          <w:color w:val="auto"/>
        </w:rPr>
        <w:t xml:space="preserve">The Company’s TSR and the Company’s Peer Group TSR reflected in these columns for each applicable fiscal year is calculated based on a fixed investment of $100 on September 30, 2020, including reinvestment of any dividends, through and including the end of each fiscal year shown in the table. The Peer Group used to determine the Company’s Peer Group TSR is the S&amp;P 500 Application Software Index, which is the industry index used in the stock price performance </w:t>
      </w:r>
      <w:r>
        <w:rPr>
          <w:rFonts w:ascii="Arial" w:cs="Arial" w:eastAsia="Arial" w:hAnsi="Arial"/>
          <w:sz w:val="11"/>
          <w:szCs w:val="11"/>
          <w:color w:val="auto"/>
        </w:rPr>
        <w:t>(</w:t>
      </w:r>
      <w:r>
        <w:rPr>
          <w:rFonts w:ascii="Arial" w:cs="Arial" w:eastAsia="Arial" w:hAnsi="Arial"/>
          <w:sz w:val="18"/>
          <w:szCs w:val="18"/>
          <w:color w:val="auto"/>
        </w:rPr>
        <w:t>graph in our Annual Report on Form 10-K for the fiscal year ended September 30, 2025, pursuant to Item 201(e) of Regulation S-K.</w:t>
      </w:r>
    </w:p>
    <w:p>
      <w:pPr>
        <w:ind w:left="540" w:hanging="424"/>
        <w:spacing w:after="0"/>
        <w:tabs>
          <w:tab w:leader="none" w:pos="540" w:val="left"/>
        </w:tabs>
        <w:numPr>
          <w:ilvl w:val="0"/>
          <w:numId w:val="72"/>
        </w:numPr>
        <w:rPr>
          <w:rFonts w:ascii="Arial" w:cs="Arial" w:eastAsia="Arial" w:hAnsi="Arial"/>
          <w:sz w:val="11"/>
          <w:szCs w:val="11"/>
          <w:color w:val="auto"/>
        </w:rPr>
      </w:pPr>
      <w:r>
        <w:rPr>
          <w:rFonts w:ascii="Arial" w:cs="Arial" w:eastAsia="Arial" w:hAnsi="Arial"/>
          <w:sz w:val="18"/>
          <w:szCs w:val="18"/>
          <w:color w:val="auto"/>
        </w:rPr>
        <w:t>Amounts reflect our net income as reported in our audited financial statements for the applicable fiscal year.</w:t>
      </w:r>
    </w:p>
    <w:p>
      <w:pPr>
        <w:spacing w:after="0" w:line="36" w:lineRule="exact"/>
        <w:rPr>
          <w:rFonts w:ascii="Arial" w:cs="Arial" w:eastAsia="Arial" w:hAnsi="Arial"/>
          <w:sz w:val="11"/>
          <w:szCs w:val="11"/>
          <w:color w:val="auto"/>
        </w:rPr>
      </w:pPr>
    </w:p>
    <w:p>
      <w:pPr>
        <w:jc w:val="both"/>
        <w:ind w:left="540" w:right="20" w:hanging="424"/>
        <w:spacing w:after="0" w:line="242" w:lineRule="auto"/>
        <w:tabs>
          <w:tab w:leader="none" w:pos="540" w:val="left"/>
        </w:tabs>
        <w:numPr>
          <w:ilvl w:val="0"/>
          <w:numId w:val="72"/>
        </w:numPr>
        <w:rPr>
          <w:rFonts w:ascii="Arial" w:cs="Arial" w:eastAsia="Arial" w:hAnsi="Arial"/>
          <w:sz w:val="11"/>
          <w:szCs w:val="11"/>
          <w:color w:val="auto"/>
        </w:rPr>
      </w:pPr>
      <w:r>
        <w:rPr>
          <w:rFonts w:ascii="Arial" w:cs="Arial" w:eastAsia="Arial" w:hAnsi="Arial"/>
          <w:sz w:val="18"/>
          <w:szCs w:val="18"/>
          <w:color w:val="auto"/>
        </w:rPr>
        <w:t>Reflects relative TSR vs. the 55</w:t>
      </w:r>
      <w:r>
        <w:rPr>
          <w:rFonts w:ascii="Arial" w:cs="Arial" w:eastAsia="Arial" w:hAnsi="Arial"/>
          <w:sz w:val="11"/>
          <w:szCs w:val="11"/>
          <w:color w:val="auto"/>
        </w:rPr>
        <w:t>th</w:t>
      </w:r>
      <w:r>
        <w:rPr>
          <w:rFonts w:ascii="Arial" w:cs="Arial" w:eastAsia="Arial" w:hAnsi="Arial"/>
          <w:sz w:val="18"/>
          <w:szCs w:val="18"/>
          <w:color w:val="auto"/>
        </w:rPr>
        <w:t xml:space="preserve"> percentile of the S&amp;P 500 Index. We determined relative TSR to be the most important financial performance measure (that is not otherwise required to be disclosed in the table) used to link Company performance to “Compensation Actually Paid” to our PEO and Non-PEO NEOs in fiscal 2025. Relative TSR is the financial metric used in our MSU awards. This performance measure may not have been the most important financial performance measure in past years, and we may determine a different financial performance measure to be the most important financial performance measure in future years. Relative TSR is equal to FICO TSR over each one-year period less the TSR of the 55</w:t>
      </w:r>
      <w:r>
        <w:rPr>
          <w:rFonts w:ascii="Arial" w:cs="Arial" w:eastAsia="Arial" w:hAnsi="Arial"/>
          <w:sz w:val="11"/>
          <w:szCs w:val="11"/>
          <w:color w:val="auto"/>
        </w:rPr>
        <w:t>th</w:t>
      </w:r>
      <w:r>
        <w:rPr>
          <w:rFonts w:ascii="Arial" w:cs="Arial" w:eastAsia="Arial" w:hAnsi="Arial"/>
          <w:sz w:val="18"/>
          <w:szCs w:val="18"/>
          <w:color w:val="auto"/>
        </w:rPr>
        <w:t xml:space="preserve"> percentile of the S&amp;P 500 Index.</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of Information Presented in the Pay Versus Performance Table and Financial Measures</w:t>
      </w:r>
    </w:p>
    <w:p>
      <w:pPr>
        <w:spacing w:after="0" w:line="63"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color w:val="auto"/>
        </w:rPr>
        <w:t>In accordance with Item 402(v) requirements, we are providing the following charts to describe the relationships between the information presented in the Pay versus Performance Table and the financial measures.</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81</w:t>
      </w:r>
    </w:p>
    <w:p>
      <w:pPr>
        <w:sectPr>
          <w:pgSz w:w="11900" w:h="16838" w:orient="portrait"/>
          <w:cols w:equalWidth="0" w:num="1">
            <w:col w:w="11140"/>
          </w:cols>
          <w:pgMar w:left="320" w:top="482" w:right="4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2" w:lineRule="exact"/>
        <w:rPr>
          <w:sz w:val="20"/>
          <w:szCs w:val="20"/>
          <w:color w:val="auto"/>
        </w:rPr>
      </w:pPr>
    </w:p>
    <w:p>
      <w:pPr>
        <w:ind w:left="120" w:right="200"/>
        <w:spacing w:after="0" w:line="272" w:lineRule="auto"/>
        <w:rPr>
          <w:sz w:val="20"/>
          <w:szCs w:val="20"/>
          <w:color w:val="auto"/>
        </w:rPr>
      </w:pPr>
      <w:r>
        <w:rPr>
          <w:rFonts w:ascii="Arial" w:cs="Arial" w:eastAsia="Arial" w:hAnsi="Arial"/>
          <w:sz w:val="18"/>
          <w:szCs w:val="18"/>
          <w:b w:val="1"/>
          <w:bCs w:val="1"/>
          <w:i w:val="1"/>
          <w:iCs w:val="1"/>
          <w:color w:val="auto"/>
        </w:rPr>
        <w:t>Relationship Between Compensation Actually Paid to PEO and Non-PEO NEOs (Average) vs. Cumulative TSR of Company and the Peer Group</w:t>
      </w:r>
    </w:p>
    <w:p>
      <w:pPr>
        <w:spacing w:after="0" w:line="1"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color w:val="auto"/>
        </w:rPr>
        <w:t>The graph below illustrates the relationship between “Compensation Actually Paid” to our PEO and on average to our Non-PEO NEOs over the five covered fiscal years compared to the cumulative TSR performance of both the Company and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203835</wp:posOffset>
            </wp:positionV>
            <wp:extent cx="5168900" cy="402907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68900"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82</w:t>
      </w:r>
    </w:p>
    <w:p>
      <w:pPr>
        <w:sectPr>
          <w:pgSz w:w="11900" w:h="16838" w:orient="portrait"/>
          <w:cols w:equalWidth="0" w:num="1">
            <w:col w:w="11140"/>
          </w:cols>
          <w:pgMar w:left="320" w:top="482"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Relationship Between Compensation Actually Paid to PEO and Non-PEO NEOs (Average) and Net Income</w:t>
      </w:r>
    </w:p>
    <w:p>
      <w:pPr>
        <w:spacing w:after="0" w:line="61"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The graph below illustrates the relationship between “Compensation Actually Paid” to our PEO and on average to our Non-PEO NEOs compared to net income over the five covered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503555</wp:posOffset>
            </wp:positionV>
            <wp:extent cx="5160645" cy="40201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60645" cy="402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83</w:t>
      </w:r>
    </w:p>
    <w:p>
      <w:pPr>
        <w:sectPr>
          <w:pgSz w:w="11900" w:h="16838" w:orient="portrait"/>
          <w:cols w:equalWidth="0" w:num="1">
            <w:col w:w="11140"/>
          </w:cols>
          <w:pgMar w:left="320" w:top="482"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20" w:type="dxa"/>
            <w:vAlign w:val="bottom"/>
            <w:shd w:val="clear" w:color="auto" w:fill="F2F2F2"/>
          </w:tcPr>
          <w:p>
            <w:pPr>
              <w:ind w:left="640"/>
              <w:spacing w:after="0"/>
              <w:rPr>
                <w:sz w:val="20"/>
                <w:szCs w:val="20"/>
                <w:color w:val="auto"/>
              </w:rPr>
            </w:pPr>
            <w:r>
              <w:rPr>
                <w:rFonts w:ascii="Arial" w:cs="Arial" w:eastAsia="Arial" w:hAnsi="Arial"/>
                <w:sz w:val="18"/>
                <w:szCs w:val="18"/>
                <w:color w:val="auto"/>
              </w:rPr>
              <w:t>Proxy</w:t>
            </w:r>
          </w:p>
        </w:tc>
        <w:tc>
          <w:tcPr>
            <w:tcW w:w="100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4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20" w:type="dxa"/>
            <w:vAlign w:val="bottom"/>
            <w:shd w:val="clear" w:color="auto" w:fill="F2F2F2"/>
          </w:tcPr>
          <w:p>
            <w:pPr>
              <w:ind w:left="640"/>
              <w:spacing w:after="0" w:line="202" w:lineRule="exact"/>
              <w:rPr>
                <w:sz w:val="20"/>
                <w:szCs w:val="20"/>
                <w:color w:val="auto"/>
              </w:rPr>
            </w:pPr>
            <w:r>
              <w:rPr>
                <w:rFonts w:ascii="Arial" w:cs="Arial" w:eastAsia="Arial" w:hAnsi="Arial"/>
                <w:sz w:val="18"/>
                <w:szCs w:val="18"/>
                <w:color w:val="auto"/>
                <w:w w:val="98"/>
              </w:rPr>
              <w:t>Summary</w:t>
            </w:r>
          </w:p>
        </w:tc>
        <w:tc>
          <w:tcPr>
            <w:tcW w:w="100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4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Governance</w:t>
            </w:r>
          </w:p>
        </w:tc>
        <w:tc>
          <w:tcPr>
            <w:tcW w:w="14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14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c>
          <w:tcPr>
            <w:tcW w:w="1660" w:type="dxa"/>
            <w:vAlign w:val="bottom"/>
            <w:shd w:val="clear" w:color="auto" w:fill="F2F2F2"/>
          </w:tcPr>
          <w:p>
            <w:pPr>
              <w:spacing w:after="0"/>
              <w:rPr>
                <w:sz w:val="16"/>
                <w:szCs w:val="16"/>
                <w:color w:val="auto"/>
              </w:rPr>
            </w:pP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20" w:type="dxa"/>
            <w:vAlign w:val="bottom"/>
            <w:tcBorders>
              <w:top w:val="single" w:sz="8" w:color="F2F2F2"/>
            </w:tcBorders>
            <w:shd w:val="clear" w:color="auto" w:fill="F2F2F2"/>
          </w:tcPr>
          <w:p>
            <w:pPr>
              <w:spacing w:after="0"/>
              <w:rPr>
                <w:sz w:val="2"/>
                <w:szCs w:val="2"/>
                <w:color w:val="auto"/>
              </w:rPr>
            </w:pPr>
          </w:p>
        </w:tc>
        <w:tc>
          <w:tcPr>
            <w:tcW w:w="1000" w:type="dxa"/>
            <w:vAlign w:val="bottom"/>
            <w:tcBorders>
              <w:top w:val="single" w:sz="8" w:color="F2F2F2"/>
            </w:tcBorders>
            <w:shd w:val="clear" w:color="auto" w:fill="F2F2F2"/>
          </w:tcPr>
          <w:p>
            <w:pPr>
              <w:spacing w:after="0"/>
              <w:rPr>
                <w:sz w:val="2"/>
                <w:szCs w:val="2"/>
                <w:color w:val="auto"/>
              </w:rPr>
            </w:pPr>
          </w:p>
        </w:tc>
        <w:tc>
          <w:tcPr>
            <w:tcW w:w="14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62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Relationship Between Compensation Actually Paid to PEO and Non-PEO NEOs (Average) and Relative One-Year TSR</w:t>
      </w:r>
    </w:p>
    <w:p>
      <w:pPr>
        <w:spacing w:after="0" w:line="61"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The graph below illustrates the relationship between “Compensation Actually Paid” to our PEO and on average to our Non-PEO NEOs compared to our relative one-year TSR over the five covered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581025</wp:posOffset>
            </wp:positionV>
            <wp:extent cx="5168900" cy="40290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68900"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Tabular List of Most Important Performance Measures</w:t>
      </w:r>
    </w:p>
    <w:p>
      <w:pPr>
        <w:spacing w:after="0" w:line="102"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The following table presents the financial performance measures that the Company considers to have been the most important in linking Compensation Actually Paid to our PEO and our Non-PEO NEOs for the fiscal year ended September 30, 2025 to Company performance. The measures in this table are not ranked.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136525</wp:posOffset>
            </wp:positionV>
            <wp:extent cx="335153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43" w:lineRule="exact"/>
        <w:rPr>
          <w:sz w:val="20"/>
          <w:szCs w:val="20"/>
          <w:color w:val="auto"/>
        </w:rPr>
      </w:pPr>
    </w:p>
    <w:p>
      <w:pPr>
        <w:ind w:left="3160" w:hanging="175"/>
        <w:spacing w:after="0"/>
        <w:tabs>
          <w:tab w:leader="none" w:pos="31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One-year TSR relative to 55</w:t>
      </w:r>
      <w:r>
        <w:rPr>
          <w:rFonts w:ascii="Arial" w:cs="Arial" w:eastAsia="Arial" w:hAnsi="Arial"/>
          <w:sz w:val="10"/>
          <w:szCs w:val="10"/>
          <w:color w:val="auto"/>
        </w:rPr>
        <w:t>th</w:t>
      </w:r>
      <w:r>
        <w:rPr>
          <w:rFonts w:ascii="Arial" w:cs="Arial" w:eastAsia="Arial" w:hAnsi="Arial"/>
          <w:sz w:val="17"/>
          <w:szCs w:val="17"/>
          <w:color w:val="auto"/>
        </w:rPr>
        <w:t xml:space="preserve"> Percentile of S&amp;P 500 Index</w:t>
      </w:r>
    </w:p>
    <w:p>
      <w:pPr>
        <w:spacing w:after="0" w:line="142" w:lineRule="exact"/>
        <w:rPr>
          <w:rFonts w:ascii="Arial" w:cs="Arial" w:eastAsia="Arial" w:hAnsi="Arial"/>
          <w:sz w:val="17"/>
          <w:szCs w:val="17"/>
          <w:color w:val="auto"/>
        </w:rPr>
      </w:pPr>
    </w:p>
    <w:p>
      <w:pPr>
        <w:ind w:left="3160" w:hanging="175"/>
        <w:spacing w:after="0"/>
        <w:tabs>
          <w:tab w:leader="none" w:pos="31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Adjusted Revenue</w:t>
      </w:r>
    </w:p>
    <w:p>
      <w:pPr>
        <w:spacing w:after="0" w:line="142" w:lineRule="exact"/>
        <w:rPr>
          <w:rFonts w:ascii="Arial" w:cs="Arial" w:eastAsia="Arial" w:hAnsi="Arial"/>
          <w:sz w:val="17"/>
          <w:szCs w:val="17"/>
          <w:color w:val="auto"/>
        </w:rPr>
      </w:pPr>
    </w:p>
    <w:p>
      <w:pPr>
        <w:ind w:left="3160" w:hanging="175"/>
        <w:spacing w:after="0"/>
        <w:tabs>
          <w:tab w:leader="none" w:pos="31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59055</wp:posOffset>
            </wp:positionV>
            <wp:extent cx="335153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-154305</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-154305</wp:posOffset>
            </wp:positionV>
            <wp:extent cx="825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-154305</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-154305</wp:posOffset>
            </wp:positionV>
            <wp:extent cx="8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-154305</wp:posOffset>
            </wp:positionV>
            <wp:extent cx="8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-154305</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-154305</wp:posOffset>
            </wp:positionV>
            <wp:extent cx="825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-154305</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-154305</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-154305</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-154305</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-154305</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-154305</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-154305</wp:posOffset>
            </wp:positionV>
            <wp:extent cx="825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-154305</wp:posOffset>
            </wp:positionV>
            <wp:extent cx="88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-154305</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-154305</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-154305</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-154305</wp:posOffset>
            </wp:positionV>
            <wp:extent cx="825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-154305</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-154305</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-154305</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-154305</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-154305</wp:posOffset>
            </wp:positionV>
            <wp:extent cx="825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-154305</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-154305</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-154305</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-154305</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-154305</wp:posOffset>
            </wp:positionV>
            <wp:extent cx="825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-154305</wp:posOffset>
            </wp:positionV>
            <wp:extent cx="8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-154305</wp:posOffset>
            </wp:positionV>
            <wp:extent cx="88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-154305</wp:posOffset>
            </wp:positionV>
            <wp:extent cx="88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-154305</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-154305</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-154305</wp:posOffset>
            </wp:positionV>
            <wp:extent cx="88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-154305</wp:posOffset>
            </wp:positionV>
            <wp:extent cx="825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-154305</wp:posOffset>
            </wp:positionV>
            <wp:extent cx="88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-154305</wp:posOffset>
            </wp:positionV>
            <wp:extent cx="88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-154305</wp:posOffset>
            </wp:positionV>
            <wp:extent cx="88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-154305</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-154305</wp:posOffset>
            </wp:positionV>
            <wp:extent cx="825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-154305</wp:posOffset>
            </wp:positionV>
            <wp:extent cx="88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-154305</wp:posOffset>
            </wp:positionV>
            <wp:extent cx="88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-154305</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-154305</wp:posOffset>
            </wp:positionV>
            <wp:extent cx="88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-154305</wp:posOffset>
            </wp:positionV>
            <wp:extent cx="825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-154305</wp:posOffset>
            </wp:positionV>
            <wp:extent cx="88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-154305</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-154305</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-154305</wp:posOffset>
            </wp:positionV>
            <wp:extent cx="88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-154305</wp:posOffset>
            </wp:positionV>
            <wp:extent cx="825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-154305</wp:posOffset>
            </wp:positionV>
            <wp:extent cx="88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-154305</wp:posOffset>
            </wp:positionV>
            <wp:extent cx="825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-154305</wp:posOffset>
            </wp:positionV>
            <wp:extent cx="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-154305</wp:posOffset>
            </wp:positionV>
            <wp:extent cx="889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-154305</wp:posOffset>
            </wp:positionV>
            <wp:extent cx="88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-154305</wp:posOffset>
            </wp:positionV>
            <wp:extent cx="88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-154305</wp:posOffset>
            </wp:positionV>
            <wp:extent cx="825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-154305</wp:posOffset>
            </wp:positionV>
            <wp:extent cx="88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-154305</wp:posOffset>
            </wp:positionV>
            <wp:extent cx="88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-154305</wp:posOffset>
            </wp:positionV>
            <wp:extent cx="88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-154305</wp:posOffset>
            </wp:positionV>
            <wp:extent cx="88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-154305</wp:posOffset>
            </wp:positionV>
            <wp:extent cx="825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-154305</wp:posOffset>
            </wp:positionV>
            <wp:extent cx="88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-154305</wp:posOffset>
            </wp:positionV>
            <wp:extent cx="88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-154305</wp:posOffset>
            </wp:positionV>
            <wp:extent cx="88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-154305</wp:posOffset>
            </wp:positionV>
            <wp:extent cx="889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-154305</wp:posOffset>
            </wp:positionV>
            <wp:extent cx="88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-154305</wp:posOffset>
            </wp:positionV>
            <wp:extent cx="825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-154305</wp:posOffset>
            </wp:positionV>
            <wp:extent cx="825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-154305</wp:posOffset>
            </wp:positionV>
            <wp:extent cx="825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-154305</wp:posOffset>
            </wp:positionV>
            <wp:extent cx="88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-154305</wp:posOffset>
            </wp:positionV>
            <wp:extent cx="889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-154305</wp:posOffset>
            </wp:positionV>
            <wp:extent cx="825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-154305</wp:posOffset>
            </wp:positionV>
            <wp:extent cx="825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-154305</wp:posOffset>
            </wp:positionV>
            <wp:extent cx="825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-154305</wp:posOffset>
            </wp:positionV>
            <wp:extent cx="889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-154305</wp:posOffset>
            </wp:positionV>
            <wp:extent cx="88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-154305</wp:posOffset>
            </wp:positionV>
            <wp:extent cx="825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-154305</wp:posOffset>
            </wp:positionV>
            <wp:extent cx="825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-154305</wp:posOffset>
            </wp:positionV>
            <wp:extent cx="825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-154305</wp:posOffset>
            </wp:positionV>
            <wp:extent cx="88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-154305</wp:posOffset>
            </wp:positionV>
            <wp:extent cx="889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-154305</wp:posOffset>
            </wp:positionV>
            <wp:extent cx="825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-154305</wp:posOffset>
            </wp:positionV>
            <wp:extent cx="825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-154305</wp:posOffset>
            </wp:positionV>
            <wp:extent cx="825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-154305</wp:posOffset>
            </wp:positionV>
            <wp:extent cx="88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-154305</wp:posOffset>
            </wp:positionV>
            <wp:extent cx="88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-154305</wp:posOffset>
            </wp:positionV>
            <wp:extent cx="825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-154305</wp:posOffset>
            </wp:positionV>
            <wp:extent cx="825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-154305</wp:posOffset>
            </wp:positionV>
            <wp:extent cx="825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-154305</wp:posOffset>
            </wp:positionV>
            <wp:extent cx="889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-154305</wp:posOffset>
            </wp:positionV>
            <wp:extent cx="88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-154305</wp:posOffset>
            </wp:positionV>
            <wp:extent cx="825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-154305</wp:posOffset>
            </wp:positionV>
            <wp:extent cx="825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-154305</wp:posOffset>
            </wp:positionV>
            <wp:extent cx="825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-154305</wp:posOffset>
            </wp:positionV>
            <wp:extent cx="889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-154305</wp:posOffset>
            </wp:positionV>
            <wp:extent cx="88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-154305</wp:posOffset>
            </wp:positionV>
            <wp:extent cx="825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-154305</wp:posOffset>
            </wp:positionV>
            <wp:extent cx="825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-154305</wp:posOffset>
            </wp:positionV>
            <wp:extent cx="825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-154305</wp:posOffset>
            </wp:positionV>
            <wp:extent cx="889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-154305</wp:posOffset>
            </wp:positionV>
            <wp:extent cx="825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-154305</wp:posOffset>
            </wp:positionV>
            <wp:extent cx="825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-154305</wp:posOffset>
            </wp:positionV>
            <wp:extent cx="825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-154305</wp:posOffset>
            </wp:positionV>
            <wp:extent cx="88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-154305</wp:posOffset>
            </wp:positionV>
            <wp:extent cx="88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-154305</wp:posOffset>
            </wp:positionV>
            <wp:extent cx="825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-154305</wp:posOffset>
            </wp:positionV>
            <wp:extent cx="825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-154305</wp:posOffset>
            </wp:positionV>
            <wp:extent cx="825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-154305</wp:posOffset>
            </wp:positionV>
            <wp:extent cx="889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-154305</wp:posOffset>
            </wp:positionV>
            <wp:extent cx="88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-154305</wp:posOffset>
            </wp:positionV>
            <wp:extent cx="825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-154305</wp:posOffset>
            </wp:positionV>
            <wp:extent cx="825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-154305</wp:posOffset>
            </wp:positionV>
            <wp:extent cx="825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-154305</wp:posOffset>
            </wp:positionV>
            <wp:extent cx="889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-154305</wp:posOffset>
            </wp:positionV>
            <wp:extent cx="889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-154305</wp:posOffset>
            </wp:positionV>
            <wp:extent cx="825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-154305</wp:posOffset>
            </wp:positionV>
            <wp:extent cx="825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-154305</wp:posOffset>
            </wp:positionV>
            <wp:extent cx="825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-154305</wp:posOffset>
            </wp:positionV>
            <wp:extent cx="889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-154305</wp:posOffset>
            </wp:positionV>
            <wp:extent cx="889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-154305</wp:posOffset>
            </wp:positionV>
            <wp:extent cx="825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-154305</wp:posOffset>
            </wp:positionV>
            <wp:extent cx="825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-154305</wp:posOffset>
            </wp:positionV>
            <wp:extent cx="825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-154305</wp:posOffset>
            </wp:positionV>
            <wp:extent cx="889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-154305</wp:posOffset>
            </wp:positionV>
            <wp:extent cx="889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-154305</wp:posOffset>
            </wp:positionV>
            <wp:extent cx="825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-154305</wp:posOffset>
            </wp:positionV>
            <wp:extent cx="825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-154305</wp:posOffset>
            </wp:positionV>
            <wp:extent cx="825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-154305</wp:posOffset>
            </wp:positionV>
            <wp:extent cx="889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-154305</wp:posOffset>
            </wp:positionV>
            <wp:extent cx="889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-154305</wp:posOffset>
            </wp:positionV>
            <wp:extent cx="825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-154305</wp:posOffset>
            </wp:positionV>
            <wp:extent cx="825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-154305</wp:posOffset>
            </wp:positionV>
            <wp:extent cx="825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-154305</wp:posOffset>
            </wp:positionV>
            <wp:extent cx="889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-154305</wp:posOffset>
            </wp:positionV>
            <wp:extent cx="889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-154305</wp:posOffset>
            </wp:positionV>
            <wp:extent cx="825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-154305</wp:posOffset>
            </wp:positionV>
            <wp:extent cx="825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-154305</wp:posOffset>
            </wp:positionV>
            <wp:extent cx="825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-154305</wp:posOffset>
            </wp:positionV>
            <wp:extent cx="889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-154305</wp:posOffset>
            </wp:positionV>
            <wp:extent cx="825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-154305</wp:posOffset>
            </wp:positionV>
            <wp:extent cx="825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-154305</wp:posOffset>
            </wp:positionV>
            <wp:extent cx="825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-154305</wp:posOffset>
            </wp:positionV>
            <wp:extent cx="889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-154305</wp:posOffset>
            </wp:positionV>
            <wp:extent cx="889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-154305</wp:posOffset>
            </wp:positionV>
            <wp:extent cx="825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-154305</wp:posOffset>
            </wp:positionV>
            <wp:extent cx="825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-154305</wp:posOffset>
            </wp:positionV>
            <wp:extent cx="825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-154305</wp:posOffset>
            </wp:positionV>
            <wp:extent cx="88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-154305</wp:posOffset>
            </wp:positionV>
            <wp:extent cx="889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-154305</wp:posOffset>
            </wp:positionV>
            <wp:extent cx="825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-154305</wp:posOffset>
            </wp:positionV>
            <wp:extent cx="825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-154305</wp:posOffset>
            </wp:positionV>
            <wp:extent cx="825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-154305</wp:posOffset>
            </wp:positionV>
            <wp:extent cx="889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-154305</wp:posOffset>
            </wp:positionV>
            <wp:extent cx="889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-154305</wp:posOffset>
            </wp:positionV>
            <wp:extent cx="825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-154305</wp:posOffset>
            </wp:positionV>
            <wp:extent cx="825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-154305</wp:posOffset>
            </wp:positionV>
            <wp:extent cx="825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-154305</wp:posOffset>
            </wp:positionV>
            <wp:extent cx="889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-154305</wp:posOffset>
            </wp:positionV>
            <wp:extent cx="88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-154305</wp:posOffset>
            </wp:positionV>
            <wp:extent cx="825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-154305</wp:posOffset>
            </wp:positionV>
            <wp:extent cx="825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-154305</wp:posOffset>
            </wp:positionV>
            <wp:extent cx="825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-154305</wp:posOffset>
            </wp:positionV>
            <wp:extent cx="889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-154305</wp:posOffset>
            </wp:positionV>
            <wp:extent cx="889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-154305</wp:posOffset>
            </wp:positionV>
            <wp:extent cx="825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-154305</wp:posOffset>
            </wp:positionV>
            <wp:extent cx="825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-154305</wp:posOffset>
            </wp:positionV>
            <wp:extent cx="825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-154305</wp:posOffset>
            </wp:positionV>
            <wp:extent cx="889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-154305</wp:posOffset>
            </wp:positionV>
            <wp:extent cx="889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-154305</wp:posOffset>
            </wp:positionV>
            <wp:extent cx="825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-154305</wp:posOffset>
            </wp:positionV>
            <wp:extent cx="825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-154305</wp:posOffset>
            </wp:positionV>
            <wp:extent cx="825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-154305</wp:posOffset>
            </wp:positionV>
            <wp:extent cx="889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-154305</wp:posOffset>
            </wp:positionV>
            <wp:extent cx="889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-154305</wp:posOffset>
            </wp:positionV>
            <wp:extent cx="825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-154305</wp:posOffset>
            </wp:positionV>
            <wp:extent cx="825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-154305</wp:posOffset>
            </wp:positionV>
            <wp:extent cx="825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-154305</wp:posOffset>
            </wp:positionV>
            <wp:extent cx="88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-154305</wp:posOffset>
            </wp:positionV>
            <wp:extent cx="889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-154305</wp:posOffset>
            </wp:positionV>
            <wp:extent cx="825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-154305</wp:posOffset>
            </wp:positionV>
            <wp:extent cx="825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-154305</wp:posOffset>
            </wp:positionV>
            <wp:extent cx="88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-154305</wp:posOffset>
            </wp:positionV>
            <wp:extent cx="88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-154305</wp:posOffset>
            </wp:positionV>
            <wp:extent cx="825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-154305</wp:posOffset>
            </wp:positionV>
            <wp:extent cx="825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-154305</wp:posOffset>
            </wp:positionV>
            <wp:extent cx="825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-154305</wp:posOffset>
            </wp:positionV>
            <wp:extent cx="889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-154305</wp:posOffset>
            </wp:positionV>
            <wp:extent cx="889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-154305</wp:posOffset>
            </wp:positionV>
            <wp:extent cx="825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-154305</wp:posOffset>
            </wp:positionV>
            <wp:extent cx="825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-154305</wp:posOffset>
            </wp:positionV>
            <wp:extent cx="825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-154305</wp:posOffset>
            </wp:positionV>
            <wp:extent cx="889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-154305</wp:posOffset>
            </wp:positionV>
            <wp:extent cx="889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-154305</wp:posOffset>
            </wp:positionV>
            <wp:extent cx="825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-368935</wp:posOffset>
            </wp:positionV>
            <wp:extent cx="889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-368935</wp:posOffset>
            </wp:positionV>
            <wp:extent cx="825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-368935</wp:posOffset>
            </wp:positionV>
            <wp:extent cx="889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-368935</wp:posOffset>
            </wp:positionV>
            <wp:extent cx="889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-368935</wp:posOffset>
            </wp:positionV>
            <wp:extent cx="88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-368935</wp:posOffset>
            </wp:positionV>
            <wp:extent cx="889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-368935</wp:posOffset>
            </wp:positionV>
            <wp:extent cx="825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-368935</wp:posOffset>
            </wp:positionV>
            <wp:extent cx="889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-368935</wp:posOffset>
            </wp:positionV>
            <wp:extent cx="889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-368935</wp:posOffset>
            </wp:positionV>
            <wp:extent cx="889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-368935</wp:posOffset>
            </wp:positionV>
            <wp:extent cx="889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-368935</wp:posOffset>
            </wp:positionV>
            <wp:extent cx="889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-368935</wp:posOffset>
            </wp:positionV>
            <wp:extent cx="889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-368935</wp:posOffset>
            </wp:positionV>
            <wp:extent cx="825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-368935</wp:posOffset>
            </wp:positionV>
            <wp:extent cx="889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-368935</wp:posOffset>
            </wp:positionV>
            <wp:extent cx="889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-368935</wp:posOffset>
            </wp:positionV>
            <wp:extent cx="889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-368935</wp:posOffset>
            </wp:positionV>
            <wp:extent cx="889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-368935</wp:posOffset>
            </wp:positionV>
            <wp:extent cx="825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-368935</wp:posOffset>
            </wp:positionV>
            <wp:extent cx="889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-368935</wp:posOffset>
            </wp:positionV>
            <wp:extent cx="889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-368935</wp:posOffset>
            </wp:positionV>
            <wp:extent cx="889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-368935</wp:posOffset>
            </wp:positionV>
            <wp:extent cx="889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-368935</wp:posOffset>
            </wp:positionV>
            <wp:extent cx="825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-368935</wp:posOffset>
            </wp:positionV>
            <wp:extent cx="889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-368935</wp:posOffset>
            </wp:positionV>
            <wp:extent cx="889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-368935</wp:posOffset>
            </wp:positionV>
            <wp:extent cx="889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-368935</wp:posOffset>
            </wp:positionV>
            <wp:extent cx="889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-368935</wp:posOffset>
            </wp:positionV>
            <wp:extent cx="825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-368935</wp:posOffset>
            </wp:positionV>
            <wp:extent cx="889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-368935</wp:posOffset>
            </wp:positionV>
            <wp:extent cx="889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-368935</wp:posOffset>
            </wp:positionV>
            <wp:extent cx="889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-368935</wp:posOffset>
            </wp:positionV>
            <wp:extent cx="889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-368935</wp:posOffset>
            </wp:positionV>
            <wp:extent cx="889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-368935</wp:posOffset>
            </wp:positionV>
            <wp:extent cx="889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-368935</wp:posOffset>
            </wp:positionV>
            <wp:extent cx="825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-368935</wp:posOffset>
            </wp:positionV>
            <wp:extent cx="889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-368935</wp:posOffset>
            </wp:positionV>
            <wp:extent cx="889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-368935</wp:posOffset>
            </wp:positionV>
            <wp:extent cx="889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-368935</wp:posOffset>
            </wp:positionV>
            <wp:extent cx="889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-368935</wp:posOffset>
            </wp:positionV>
            <wp:extent cx="825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-368935</wp:posOffset>
            </wp:positionV>
            <wp:extent cx="889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-368935</wp:posOffset>
            </wp:positionV>
            <wp:extent cx="889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-368935</wp:posOffset>
            </wp:positionV>
            <wp:extent cx="889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-368935</wp:posOffset>
            </wp:positionV>
            <wp:extent cx="889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-368935</wp:posOffset>
            </wp:positionV>
            <wp:extent cx="825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-368935</wp:posOffset>
            </wp:positionV>
            <wp:extent cx="889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-368935</wp:posOffset>
            </wp:positionV>
            <wp:extent cx="889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-368935</wp:posOffset>
            </wp:positionV>
            <wp:extent cx="889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-368935</wp:posOffset>
            </wp:positionV>
            <wp:extent cx="889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-368935</wp:posOffset>
            </wp:positionV>
            <wp:extent cx="825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-368935</wp:posOffset>
            </wp:positionV>
            <wp:extent cx="889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-368935</wp:posOffset>
            </wp:positionV>
            <wp:extent cx="825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-368935</wp:posOffset>
            </wp:positionV>
            <wp:extent cx="889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-368935</wp:posOffset>
            </wp:positionV>
            <wp:extent cx="889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-368935</wp:posOffset>
            </wp:positionV>
            <wp:extent cx="889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-368935</wp:posOffset>
            </wp:positionV>
            <wp:extent cx="889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-368935</wp:posOffset>
            </wp:positionV>
            <wp:extent cx="825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-368935</wp:posOffset>
            </wp:positionV>
            <wp:extent cx="889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-368935</wp:posOffset>
            </wp:positionV>
            <wp:extent cx="889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-368935</wp:posOffset>
            </wp:positionV>
            <wp:extent cx="889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-368935</wp:posOffset>
            </wp:positionV>
            <wp:extent cx="889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-368935</wp:posOffset>
            </wp:positionV>
            <wp:extent cx="825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-368935</wp:posOffset>
            </wp:positionV>
            <wp:extent cx="889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-368935</wp:posOffset>
            </wp:positionV>
            <wp:extent cx="889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-368935</wp:posOffset>
            </wp:positionV>
            <wp:extent cx="889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-368935</wp:posOffset>
            </wp:positionV>
            <wp:extent cx="889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-368935</wp:posOffset>
            </wp:positionV>
            <wp:extent cx="889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-368935</wp:posOffset>
            </wp:positionV>
            <wp:extent cx="825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-368935</wp:posOffset>
            </wp:positionV>
            <wp:extent cx="825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-368935</wp:posOffset>
            </wp:positionV>
            <wp:extent cx="825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-368935</wp:posOffset>
            </wp:positionV>
            <wp:extent cx="889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-368935</wp:posOffset>
            </wp:positionV>
            <wp:extent cx="889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-368935</wp:posOffset>
            </wp:positionV>
            <wp:extent cx="825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-368935</wp:posOffset>
            </wp:positionV>
            <wp:extent cx="825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-368935</wp:posOffset>
            </wp:positionV>
            <wp:extent cx="825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-368935</wp:posOffset>
            </wp:positionV>
            <wp:extent cx="889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-368935</wp:posOffset>
            </wp:positionV>
            <wp:extent cx="889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-368935</wp:posOffset>
            </wp:positionV>
            <wp:extent cx="825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-368935</wp:posOffset>
            </wp:positionV>
            <wp:extent cx="825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-368935</wp:posOffset>
            </wp:positionV>
            <wp:extent cx="825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-368935</wp:posOffset>
            </wp:positionV>
            <wp:extent cx="889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-368935</wp:posOffset>
            </wp:positionV>
            <wp:extent cx="889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-368935</wp:posOffset>
            </wp:positionV>
            <wp:extent cx="825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-368935</wp:posOffset>
            </wp:positionV>
            <wp:extent cx="825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-368935</wp:posOffset>
            </wp:positionV>
            <wp:extent cx="825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-368935</wp:posOffset>
            </wp:positionV>
            <wp:extent cx="889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-368935</wp:posOffset>
            </wp:positionV>
            <wp:extent cx="889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-368935</wp:posOffset>
            </wp:positionV>
            <wp:extent cx="8255"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-368935</wp:posOffset>
            </wp:positionV>
            <wp:extent cx="825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-368935</wp:posOffset>
            </wp:positionV>
            <wp:extent cx="825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-368935</wp:posOffset>
            </wp:positionV>
            <wp:extent cx="889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-368935</wp:posOffset>
            </wp:positionV>
            <wp:extent cx="889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-368935</wp:posOffset>
            </wp:positionV>
            <wp:extent cx="825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-368935</wp:posOffset>
            </wp:positionV>
            <wp:extent cx="8255"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-368935</wp:posOffset>
            </wp:positionV>
            <wp:extent cx="825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-368935</wp:posOffset>
            </wp:positionV>
            <wp:extent cx="889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-368935</wp:posOffset>
            </wp:positionV>
            <wp:extent cx="889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-368935</wp:posOffset>
            </wp:positionV>
            <wp:extent cx="825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-368935</wp:posOffset>
            </wp:positionV>
            <wp:extent cx="825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-368935</wp:posOffset>
            </wp:positionV>
            <wp:extent cx="825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-368935</wp:posOffset>
            </wp:positionV>
            <wp:extent cx="889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-368935</wp:posOffset>
            </wp:positionV>
            <wp:extent cx="825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-368935</wp:posOffset>
            </wp:positionV>
            <wp:extent cx="825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-368935</wp:posOffset>
            </wp:positionV>
            <wp:extent cx="825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-368935</wp:posOffset>
            </wp:positionV>
            <wp:extent cx="889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-368935</wp:posOffset>
            </wp:positionV>
            <wp:extent cx="889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-368935</wp:posOffset>
            </wp:positionV>
            <wp:extent cx="825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-368935</wp:posOffset>
            </wp:positionV>
            <wp:extent cx="825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-368935</wp:posOffset>
            </wp:positionV>
            <wp:extent cx="825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-368935</wp:posOffset>
            </wp:positionV>
            <wp:extent cx="889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-368935</wp:posOffset>
            </wp:positionV>
            <wp:extent cx="889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-368935</wp:posOffset>
            </wp:positionV>
            <wp:extent cx="825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-368935</wp:posOffset>
            </wp:positionV>
            <wp:extent cx="825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-368935</wp:posOffset>
            </wp:positionV>
            <wp:extent cx="825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-368935</wp:posOffset>
            </wp:positionV>
            <wp:extent cx="889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-368935</wp:posOffset>
            </wp:positionV>
            <wp:extent cx="889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-368935</wp:posOffset>
            </wp:positionV>
            <wp:extent cx="8255"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-368935</wp:posOffset>
            </wp:positionV>
            <wp:extent cx="825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-368935</wp:posOffset>
            </wp:positionV>
            <wp:extent cx="825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-368935</wp:posOffset>
            </wp:positionV>
            <wp:extent cx="889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-368935</wp:posOffset>
            </wp:positionV>
            <wp:extent cx="889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-368935</wp:posOffset>
            </wp:positionV>
            <wp:extent cx="825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-368935</wp:posOffset>
            </wp:positionV>
            <wp:extent cx="825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-368935</wp:posOffset>
            </wp:positionV>
            <wp:extent cx="825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-368935</wp:posOffset>
            </wp:positionV>
            <wp:extent cx="889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-368935</wp:posOffset>
            </wp:positionV>
            <wp:extent cx="889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-368935</wp:posOffset>
            </wp:positionV>
            <wp:extent cx="825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-368935</wp:posOffset>
            </wp:positionV>
            <wp:extent cx="8255"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-368935</wp:posOffset>
            </wp:positionV>
            <wp:extent cx="8255"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-368935</wp:posOffset>
            </wp:positionV>
            <wp:extent cx="889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-368935</wp:posOffset>
            </wp:positionV>
            <wp:extent cx="889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-368935</wp:posOffset>
            </wp:positionV>
            <wp:extent cx="825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-368935</wp:posOffset>
            </wp:positionV>
            <wp:extent cx="8255"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-368935</wp:posOffset>
            </wp:positionV>
            <wp:extent cx="8255"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-368935</wp:posOffset>
            </wp:positionV>
            <wp:extent cx="889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-368935</wp:posOffset>
            </wp:positionV>
            <wp:extent cx="889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-368935</wp:posOffset>
            </wp:positionV>
            <wp:extent cx="825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-368935</wp:posOffset>
            </wp:positionV>
            <wp:extent cx="825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-368935</wp:posOffset>
            </wp:positionV>
            <wp:extent cx="8255"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-368935</wp:posOffset>
            </wp:positionV>
            <wp:extent cx="889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-368935</wp:posOffset>
            </wp:positionV>
            <wp:extent cx="8255"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-368935</wp:posOffset>
            </wp:positionV>
            <wp:extent cx="825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-368935</wp:posOffset>
            </wp:positionV>
            <wp:extent cx="8255"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-368935</wp:posOffset>
            </wp:positionV>
            <wp:extent cx="889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-368935</wp:posOffset>
            </wp:positionV>
            <wp:extent cx="889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-368935</wp:posOffset>
            </wp:positionV>
            <wp:extent cx="825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-368935</wp:posOffset>
            </wp:positionV>
            <wp:extent cx="825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-368935</wp:posOffset>
            </wp:positionV>
            <wp:extent cx="825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-368935</wp:posOffset>
            </wp:positionV>
            <wp:extent cx="889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-368935</wp:posOffset>
            </wp:positionV>
            <wp:extent cx="889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-368935</wp:posOffset>
            </wp:positionV>
            <wp:extent cx="8255"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-368935</wp:posOffset>
            </wp:positionV>
            <wp:extent cx="8255"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-368935</wp:posOffset>
            </wp:positionV>
            <wp:extent cx="8255"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-368935</wp:posOffset>
            </wp:positionV>
            <wp:extent cx="889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-368935</wp:posOffset>
            </wp:positionV>
            <wp:extent cx="889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-368935</wp:posOffset>
            </wp:positionV>
            <wp:extent cx="825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-368935</wp:posOffset>
            </wp:positionV>
            <wp:extent cx="8255"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-368935</wp:posOffset>
            </wp:positionV>
            <wp:extent cx="8255"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-368935</wp:posOffset>
            </wp:positionV>
            <wp:extent cx="889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-368935</wp:posOffset>
            </wp:positionV>
            <wp:extent cx="889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-368935</wp:posOffset>
            </wp:positionV>
            <wp:extent cx="8255"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-368935</wp:posOffset>
            </wp:positionV>
            <wp:extent cx="8255"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-368935</wp:posOffset>
            </wp:positionV>
            <wp:extent cx="8255"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-368935</wp:posOffset>
            </wp:positionV>
            <wp:extent cx="889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-368935</wp:posOffset>
            </wp:positionV>
            <wp:extent cx="889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-368935</wp:posOffset>
            </wp:positionV>
            <wp:extent cx="825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-368935</wp:posOffset>
            </wp:positionV>
            <wp:extent cx="825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-368935</wp:posOffset>
            </wp:positionV>
            <wp:extent cx="8255"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-368935</wp:posOffset>
            </wp:positionV>
            <wp:extent cx="889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-368935</wp:posOffset>
            </wp:positionV>
            <wp:extent cx="889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-368935</wp:posOffset>
            </wp:positionV>
            <wp:extent cx="825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-368935</wp:posOffset>
            </wp:positionV>
            <wp:extent cx="825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-368935</wp:posOffset>
            </wp:positionV>
            <wp:extent cx="8255"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-368935</wp:posOffset>
            </wp:positionV>
            <wp:extent cx="889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-368935</wp:posOffset>
            </wp:positionV>
            <wp:extent cx="889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-368935</wp:posOffset>
            </wp:positionV>
            <wp:extent cx="825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-368935</wp:posOffset>
            </wp:positionV>
            <wp:extent cx="8255"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-368935</wp:posOffset>
            </wp:positionV>
            <wp:extent cx="8255"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-368935</wp:posOffset>
            </wp:positionV>
            <wp:extent cx="889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-368935</wp:posOffset>
            </wp:positionV>
            <wp:extent cx="889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-368935</wp:posOffset>
            </wp:positionV>
            <wp:extent cx="825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-368935</wp:posOffset>
            </wp:positionV>
            <wp:extent cx="825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-368935</wp:posOffset>
            </wp:positionV>
            <wp:extent cx="889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-368935</wp:posOffset>
            </wp:positionV>
            <wp:extent cx="889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-368935</wp:posOffset>
            </wp:positionV>
            <wp:extent cx="8255"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-368935</wp:posOffset>
            </wp:positionV>
            <wp:extent cx="8255"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-368935</wp:posOffset>
            </wp:positionV>
            <wp:extent cx="8255"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-368935</wp:posOffset>
            </wp:positionV>
            <wp:extent cx="889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-368935</wp:posOffset>
            </wp:positionV>
            <wp:extent cx="889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-368935</wp:posOffset>
            </wp:positionV>
            <wp:extent cx="8255"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-368935</wp:posOffset>
            </wp:positionV>
            <wp:extent cx="8255"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-368935</wp:posOffset>
            </wp:positionV>
            <wp:extent cx="8255"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-368935</wp:posOffset>
            </wp:positionV>
            <wp:extent cx="889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-368935</wp:posOffset>
            </wp:positionV>
            <wp:extent cx="889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-368935</wp:posOffset>
            </wp:positionV>
            <wp:extent cx="8255"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84</w:t>
      </w:r>
    </w:p>
    <w:p>
      <w:pPr>
        <w:sectPr>
          <w:pgSz w:w="11900" w:h="16838" w:orient="portrait"/>
          <w:cols w:equalWidth="0" w:num="1">
            <w:col w:w="11140"/>
          </w:cols>
          <w:pgMar w:left="320" w:top="482"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0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Proxy</w:t>
            </w:r>
          </w:p>
        </w:tc>
        <w:tc>
          <w:tcPr>
            <w:tcW w:w="102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3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Corporate</w:t>
            </w:r>
          </w:p>
        </w:tc>
        <w:tc>
          <w:tcPr>
            <w:tcW w:w="1480" w:type="dxa"/>
            <w:vAlign w:val="bottom"/>
            <w:shd w:val="clear" w:color="auto" w:fill="F2F2F2"/>
          </w:tcPr>
          <w:p>
            <w:pPr>
              <w:ind w:left="160"/>
              <w:spacing w:after="0"/>
              <w:rPr>
                <w:sz w:val="20"/>
                <w:szCs w:val="20"/>
                <w:color w:val="auto"/>
              </w:rPr>
            </w:pPr>
            <w:r>
              <w:rPr>
                <w:rFonts w:ascii="Arial" w:cs="Arial" w:eastAsia="Arial" w:hAnsi="Arial"/>
                <w:sz w:val="18"/>
                <w:szCs w:val="18"/>
                <w:color w:val="auto"/>
              </w:rPr>
              <w:t>Executive</w:t>
            </w:r>
          </w:p>
        </w:tc>
        <w:tc>
          <w:tcPr>
            <w:tcW w:w="1780" w:type="dxa"/>
            <w:vAlign w:val="bottom"/>
            <w:gridSpan w:val="3"/>
            <w:shd w:val="clear" w:color="auto" w:fill="F2F2F2"/>
          </w:tcPr>
          <w:p>
            <w:pPr>
              <w:ind w:left="180"/>
              <w:spacing w:after="0"/>
              <w:rPr>
                <w:sz w:val="20"/>
                <w:szCs w:val="20"/>
                <w:color w:val="auto"/>
              </w:rPr>
            </w:pPr>
            <w:r>
              <w:rPr>
                <w:rFonts w:ascii="Arial" w:cs="Arial" w:eastAsia="Arial" w:hAnsi="Arial"/>
                <w:sz w:val="18"/>
                <w:szCs w:val="18"/>
                <w:b w:val="1"/>
                <w:bCs w:val="1"/>
                <w:color w:val="376DB5"/>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00" w:type="dxa"/>
            <w:vAlign w:val="bottom"/>
            <w:shd w:val="clear" w:color="auto" w:fill="F2F2F2"/>
          </w:tcPr>
          <w:p>
            <w:pPr>
              <w:ind w:left="620"/>
              <w:spacing w:after="0" w:line="202" w:lineRule="exact"/>
              <w:rPr>
                <w:sz w:val="20"/>
                <w:szCs w:val="20"/>
                <w:color w:val="auto"/>
              </w:rPr>
            </w:pPr>
            <w:r>
              <w:rPr>
                <w:rFonts w:ascii="Arial" w:cs="Arial" w:eastAsia="Arial" w:hAnsi="Arial"/>
                <w:sz w:val="18"/>
                <w:szCs w:val="18"/>
                <w:color w:val="auto"/>
                <w:w w:val="98"/>
              </w:rPr>
              <w:t>Summary</w:t>
            </w:r>
          </w:p>
        </w:tc>
        <w:tc>
          <w:tcPr>
            <w:tcW w:w="102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3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Governance</w:t>
            </w:r>
          </w:p>
        </w:tc>
        <w:tc>
          <w:tcPr>
            <w:tcW w:w="148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Compensation</w:t>
            </w:r>
          </w:p>
        </w:tc>
        <w:tc>
          <w:tcPr>
            <w:tcW w:w="1780" w:type="dxa"/>
            <w:vAlign w:val="bottom"/>
            <w:gridSpan w:val="3"/>
            <w:shd w:val="clear" w:color="auto" w:fill="F2F2F2"/>
          </w:tcPr>
          <w:p>
            <w:pPr>
              <w:ind w:left="180"/>
              <w:spacing w:after="0" w:line="202" w:lineRule="exact"/>
              <w:rPr>
                <w:sz w:val="20"/>
                <w:szCs w:val="20"/>
                <w:color w:val="auto"/>
              </w:rPr>
            </w:pPr>
            <w:r>
              <w:rPr>
                <w:rFonts w:ascii="Arial" w:cs="Arial" w:eastAsia="Arial" w:hAnsi="Arial"/>
                <w:sz w:val="18"/>
                <w:szCs w:val="18"/>
                <w:b w:val="1"/>
                <w:bCs w:val="1"/>
                <w:color w:val="376DB5"/>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00" w:type="dxa"/>
            <w:vAlign w:val="bottom"/>
            <w:shd w:val="clear" w:color="auto" w:fill="F2F2F2"/>
          </w:tcPr>
          <w:p>
            <w:pPr>
              <w:spacing w:after="0"/>
              <w:rPr>
                <w:sz w:val="16"/>
                <w:szCs w:val="16"/>
                <w:color w:val="auto"/>
              </w:rPr>
            </w:pPr>
          </w:p>
        </w:tc>
        <w:tc>
          <w:tcPr>
            <w:tcW w:w="102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c>
          <w:tcPr>
            <w:tcW w:w="1780" w:type="dxa"/>
            <w:vAlign w:val="bottom"/>
            <w:gridSpan w:val="3"/>
            <w:shd w:val="clear" w:color="auto" w:fill="F2F2F2"/>
          </w:tcPr>
          <w:p>
            <w:pPr>
              <w:ind w:left="180"/>
              <w:spacing w:after="0" w:line="195" w:lineRule="exact"/>
              <w:rPr>
                <w:sz w:val="20"/>
                <w:szCs w:val="20"/>
                <w:color w:val="auto"/>
              </w:rPr>
            </w:pPr>
            <w:r>
              <w:rPr>
                <w:rFonts w:ascii="Arial" w:cs="Arial" w:eastAsia="Arial" w:hAnsi="Arial"/>
                <w:sz w:val="18"/>
                <w:szCs w:val="18"/>
                <w:b w:val="1"/>
                <w:bCs w:val="1"/>
                <w:color w:val="376DB5"/>
              </w:rPr>
              <w:t xml:space="preserve">             </w:t>
            </w: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00" w:type="dxa"/>
            <w:vAlign w:val="bottom"/>
            <w:tcBorders>
              <w:top w:val="single" w:sz="8" w:color="F2F2F2"/>
            </w:tcBorders>
            <w:shd w:val="clear" w:color="auto" w:fill="F2F2F2"/>
          </w:tcPr>
          <w:p>
            <w:pPr>
              <w:spacing w:after="0"/>
              <w:rPr>
                <w:sz w:val="2"/>
                <w:szCs w:val="2"/>
                <w:color w:val="auto"/>
              </w:rPr>
            </w:pPr>
          </w:p>
        </w:tc>
        <w:tc>
          <w:tcPr>
            <w:tcW w:w="1020" w:type="dxa"/>
            <w:vAlign w:val="bottom"/>
            <w:tcBorders>
              <w:top w:val="single" w:sz="8" w:color="F2F2F2"/>
            </w:tcBorders>
            <w:shd w:val="clear" w:color="auto" w:fill="F2F2F2"/>
          </w:tcPr>
          <w:p>
            <w:pPr>
              <w:spacing w:after="0"/>
              <w:rPr>
                <w:sz w:val="2"/>
                <w:szCs w:val="2"/>
                <w:color w:val="auto"/>
              </w:rPr>
            </w:pPr>
          </w:p>
        </w:tc>
        <w:tc>
          <w:tcPr>
            <w:tcW w:w="13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c>
          <w:tcPr>
            <w:tcW w:w="18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78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03415" cy="60007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003415" cy="6000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22" w:lineRule="exact"/>
        <w:rPr>
          <w:sz w:val="20"/>
          <w:szCs w:val="20"/>
          <w:color w:val="auto"/>
        </w:rPr>
      </w:pPr>
    </w:p>
    <w:p>
      <w:pPr>
        <w:ind w:left="380" w:right="1620"/>
        <w:spacing w:after="0" w:line="296" w:lineRule="auto"/>
        <w:rPr>
          <w:sz w:val="20"/>
          <w:szCs w:val="20"/>
          <w:color w:val="auto"/>
        </w:rPr>
      </w:pPr>
      <w:r>
        <w:rPr>
          <w:rFonts w:ascii="Arial" w:cs="Arial" w:eastAsia="Arial" w:hAnsi="Arial"/>
          <w:sz w:val="28"/>
          <w:szCs w:val="28"/>
          <w:b w:val="1"/>
          <w:bCs w:val="1"/>
          <w:color w:val="1F438E"/>
        </w:rPr>
        <w:t xml:space="preserve">PROPOSAL 3:  </w:t>
      </w:r>
      <w:r>
        <w:rPr>
          <w:rFonts w:ascii="Arial" w:cs="Arial" w:eastAsia="Arial" w:hAnsi="Arial"/>
          <w:sz w:val="28"/>
          <w:szCs w:val="28"/>
          <w:color w:val="1F438E"/>
        </w:rPr>
        <w:t>Ratification of Independent</w:t>
      </w:r>
      <w:r>
        <w:rPr>
          <w:rFonts w:ascii="Arial" w:cs="Arial" w:eastAsia="Arial" w:hAnsi="Arial"/>
          <w:sz w:val="28"/>
          <w:szCs w:val="28"/>
          <w:b w:val="1"/>
          <w:bCs w:val="1"/>
          <w:color w:val="1F438E"/>
        </w:rPr>
        <w:t xml:space="preserve"> </w:t>
      </w:r>
      <w:r>
        <w:rPr>
          <w:rFonts w:ascii="Arial" w:cs="Arial" w:eastAsia="Arial" w:hAnsi="Arial"/>
          <w:sz w:val="28"/>
          <w:szCs w:val="28"/>
          <w:color w:val="1F438E"/>
        </w:rPr>
        <w:t>Registered Public Accounting Firm</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right="540" w:firstLine="270"/>
        <w:spacing w:after="0" w:line="301" w:lineRule="auto"/>
        <w:rPr>
          <w:sz w:val="20"/>
          <w:szCs w:val="20"/>
          <w:color w:val="auto"/>
        </w:rPr>
      </w:pPr>
      <w:r>
        <w:rPr>
          <w:rFonts w:ascii="Arial" w:cs="Arial" w:eastAsia="Arial" w:hAnsi="Arial"/>
          <w:sz w:val="16"/>
          <w:szCs w:val="16"/>
          <w:color w:val="1F438E"/>
        </w:rPr>
        <w:t xml:space="preserve">The Board recommends a </w:t>
      </w:r>
      <w:r>
        <w:rPr>
          <w:rFonts w:ascii="Arial" w:cs="Arial" w:eastAsia="Arial" w:hAnsi="Arial"/>
          <w:sz w:val="30"/>
          <w:szCs w:val="30"/>
          <w:color w:val="000000"/>
          <w:vertAlign w:val="superscript"/>
        </w:rPr>
        <w:t xml:space="preserve">   </w:t>
      </w:r>
      <w:r>
        <w:rPr>
          <w:rFonts w:ascii="Arial" w:cs="Arial" w:eastAsia="Arial" w:hAnsi="Arial"/>
          <w:sz w:val="16"/>
          <w:szCs w:val="16"/>
          <w:color w:val="1F438E"/>
        </w:rPr>
        <w:t xml:space="preserve"> vote </w:t>
      </w:r>
      <w:r>
        <w:rPr>
          <w:rFonts w:ascii="Arial" w:cs="Arial" w:eastAsia="Arial" w:hAnsi="Arial"/>
          <w:sz w:val="16"/>
          <w:szCs w:val="16"/>
          <w:b w:val="1"/>
          <w:bCs w:val="1"/>
          <w:color w:val="376DB5"/>
        </w:rPr>
        <w:t>FOR</w:t>
      </w:r>
      <w:r>
        <w:rPr>
          <w:rFonts w:ascii="Arial" w:cs="Arial" w:eastAsia="Arial" w:hAnsi="Arial"/>
          <w:sz w:val="16"/>
          <w:szCs w:val="16"/>
          <w:color w:val="1F438E"/>
        </w:rPr>
        <w:t xml:space="preserve"> this proposal</w:t>
      </w:r>
    </w:p>
    <w:p>
      <w:pPr>
        <w:spacing w:after="0" w:line="200" w:lineRule="exact"/>
        <w:rPr>
          <w:sz w:val="20"/>
          <w:szCs w:val="20"/>
          <w:color w:val="auto"/>
        </w:rPr>
      </w:pPr>
    </w:p>
    <w:p>
      <w:pPr>
        <w:sectPr>
          <w:pgSz w:w="11900" w:h="16838" w:orient="portrait"/>
          <w:cols w:equalWidth="0" w:num="2">
            <w:col w:w="7520" w:space="720"/>
            <w:col w:w="2900"/>
          </w:cols>
          <w:pgMar w:left="320" w:top="482" w:right="439" w:bottom="1440" w:gutter="0" w:footer="0" w:header="0"/>
          <w:type w:val="continuous"/>
        </w:sectPr>
      </w:pPr>
    </w:p>
    <w:p>
      <w:pPr>
        <w:spacing w:after="0" w:line="55" w:lineRule="exact"/>
        <w:rPr>
          <w:sz w:val="20"/>
          <w:szCs w:val="20"/>
          <w:color w:val="auto"/>
        </w:rPr>
      </w:pPr>
    </w:p>
    <w:p>
      <w:pPr>
        <w:jc w:val="both"/>
        <w:ind w:left="120" w:firstLine="551"/>
        <w:spacing w:after="0" w:line="242" w:lineRule="auto"/>
        <w:rPr>
          <w:sz w:val="20"/>
          <w:szCs w:val="20"/>
          <w:color w:val="auto"/>
        </w:rPr>
      </w:pPr>
      <w:r>
        <w:rPr>
          <w:rFonts w:ascii="Arial" w:cs="Arial" w:eastAsia="Arial" w:hAnsi="Arial"/>
          <w:sz w:val="18"/>
          <w:szCs w:val="18"/>
          <w:color w:val="auto"/>
        </w:rPr>
        <w:t>It is the responsibility of the Audit Committee to select and retain independent auditors. Our Audit Committee has appointed Deloitte &amp; Touche LLP (“Deloitte”) as our independent auditors for the Company’s fiscal year ending September 30, 2026. Although stockholder ratification of the Audit Committee’s selection of independent auditors is not required by our Bylaws or otherwise, we are submitting the selection of Deloitte for stockholder ratification so that our stockholders may participate in this important corporate decision. If not ratified, the Audit Committee will reconsider the selection, although the Audit Committee will not be required to select different independent auditors for the Company.</w:t>
      </w:r>
    </w:p>
    <w:p>
      <w:pPr>
        <w:spacing w:after="0" w:line="71"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Representatives of Deloitte will be present at the Annual Meeting and will have an opportunity to make a statement and respond to questions from stockholders present at the meeting.</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Audit and Non-Audit Fees</w:t>
      </w:r>
    </w:p>
    <w:p>
      <w:pPr>
        <w:spacing w:after="0" w:line="231"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The following table presents fees for professional audit services rendered by the Company’s independent registered public accounting firm for the fiscal years ended September 30, 2025 and September 30, 2024, for the audit of our annual financial statements and fees for other services rendered by the firm during those respective periods.</w:t>
      </w:r>
    </w:p>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900" w:type="dxa"/>
            <w:vAlign w:val="bottom"/>
            <w:tcBorders>
              <w:top w:val="single" w:sz="8" w:color="376DB5"/>
              <w:bottom w:val="single" w:sz="8" w:color="376DB5"/>
            </w:tcBorders>
          </w:tcPr>
          <w:p>
            <w:pPr>
              <w:ind w:left="780"/>
              <w:spacing w:after="0"/>
              <w:rPr>
                <w:sz w:val="20"/>
                <w:szCs w:val="20"/>
                <w:color w:val="auto"/>
              </w:rPr>
            </w:pPr>
            <w:r>
              <w:rPr>
                <w:rFonts w:ascii="Arial" w:cs="Arial" w:eastAsia="Arial" w:hAnsi="Arial"/>
                <w:sz w:val="13"/>
                <w:szCs w:val="13"/>
                <w:color w:val="376DB5"/>
                <w:w w:val="76"/>
              </w:rPr>
              <w:t> </w:t>
            </w:r>
          </w:p>
        </w:tc>
        <w:tc>
          <w:tcPr>
            <w:tcW w:w="2060" w:type="dxa"/>
            <w:vAlign w:val="bottom"/>
            <w:tcBorders>
              <w:top w:val="single" w:sz="8" w:color="376DB5"/>
              <w:bottom w:val="single" w:sz="8" w:color="376DB5"/>
            </w:tcBorders>
            <w:gridSpan w:val="3"/>
          </w:tcPr>
          <w:p>
            <w:pPr>
              <w:ind w:left="60"/>
              <w:spacing w:after="0"/>
              <w:rPr>
                <w:sz w:val="20"/>
                <w:szCs w:val="20"/>
                <w:color w:val="auto"/>
              </w:rPr>
            </w:pPr>
            <w:r>
              <w:rPr>
                <w:rFonts w:ascii="Arial" w:cs="Arial" w:eastAsia="Arial" w:hAnsi="Arial"/>
                <w:sz w:val="18"/>
                <w:szCs w:val="18"/>
                <w:color w:val="376DB5"/>
              </w:rPr>
              <w:t xml:space="preserve">      2025    </w:t>
            </w:r>
          </w:p>
        </w:tc>
        <w:tc>
          <w:tcPr>
            <w:tcW w:w="920" w:type="dxa"/>
            <w:vAlign w:val="bottom"/>
            <w:tcBorders>
              <w:top w:val="single" w:sz="8" w:color="376DB5"/>
              <w:bottom w:val="single" w:sz="8" w:color="376DB5"/>
            </w:tcBorders>
          </w:tcPr>
          <w:p>
            <w:pPr>
              <w:jc w:val="right"/>
              <w:ind w:right="190"/>
              <w:spacing w:after="0"/>
              <w:rPr>
                <w:sz w:val="20"/>
                <w:szCs w:val="20"/>
                <w:color w:val="auto"/>
              </w:rPr>
            </w:pPr>
            <w:r>
              <w:rPr>
                <w:rFonts w:ascii="Arial" w:cs="Arial" w:eastAsia="Arial" w:hAnsi="Arial"/>
                <w:sz w:val="18"/>
                <w:szCs w:val="18"/>
                <w:color w:val="376DB5"/>
              </w:rPr>
              <w:t>2024</w:t>
            </w:r>
          </w:p>
        </w:tc>
        <w:tc>
          <w:tcPr>
            <w:tcW w:w="20" w:type="dxa"/>
            <w:vAlign w:val="bottom"/>
            <w:tcBorders>
              <w:top w:val="single" w:sz="8" w:color="376DB5"/>
              <w:bottom w:val="single" w:sz="8" w:color="376DB5"/>
            </w:tcBorders>
          </w:tcPr>
          <w:p>
            <w:pPr>
              <w:spacing w:after="0"/>
              <w:rPr>
                <w:sz w:val="18"/>
                <w:szCs w:val="18"/>
                <w:color w:val="auto"/>
              </w:rPr>
            </w:pPr>
          </w:p>
        </w:tc>
      </w:tr>
      <w:tr>
        <w:trPr>
          <w:trHeight w:val="268"/>
        </w:trPr>
        <w:tc>
          <w:tcPr>
            <w:tcW w:w="6920" w:type="dxa"/>
            <w:vAlign w:val="bottom"/>
            <w:gridSpan w:val="2"/>
          </w:tcPr>
          <w:p>
            <w:pPr>
              <w:spacing w:after="0"/>
              <w:rPr>
                <w:sz w:val="20"/>
                <w:szCs w:val="20"/>
                <w:color w:val="auto"/>
              </w:rPr>
            </w:pPr>
            <w:r>
              <w:rPr>
                <w:rFonts w:ascii="Arial" w:cs="Arial" w:eastAsia="Arial" w:hAnsi="Arial"/>
                <w:sz w:val="18"/>
                <w:szCs w:val="18"/>
                <w:color w:val="auto"/>
              </w:rPr>
              <w:t>Audit Fees</w:t>
            </w:r>
          </w:p>
        </w:tc>
        <w:tc>
          <w:tcPr>
            <w:tcW w:w="2060" w:type="dxa"/>
            <w:vAlign w:val="bottom"/>
            <w:gridSpan w:val="3"/>
          </w:tcPr>
          <w:p>
            <w:pPr>
              <w:jc w:val="right"/>
              <w:ind w:right="1040"/>
              <w:spacing w:after="0"/>
              <w:rPr>
                <w:sz w:val="20"/>
                <w:szCs w:val="20"/>
                <w:color w:val="auto"/>
              </w:rPr>
            </w:pPr>
            <w:r>
              <w:rPr>
                <w:rFonts w:ascii="Arial" w:cs="Arial" w:eastAsia="Arial" w:hAnsi="Arial"/>
                <w:sz w:val="18"/>
                <w:szCs w:val="18"/>
                <w:color w:val="auto"/>
              </w:rPr>
              <w:t>$3,728,000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$3,242,000</w:t>
            </w:r>
          </w:p>
        </w:tc>
      </w:tr>
      <w:tr>
        <w:trPr>
          <w:trHeight w:val="50"/>
        </w:trPr>
        <w:tc>
          <w:tcPr>
            <w:tcW w:w="69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602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Audit-Related Fees</w:t>
            </w:r>
          </w:p>
        </w:tc>
        <w:tc>
          <w:tcPr>
            <w:tcW w:w="900" w:type="dxa"/>
            <w:vAlign w:val="bottom"/>
            <w:tcBorders>
              <w:bottom w:val="single" w:sz="8" w:color="F2F2F2"/>
            </w:tcBorders>
            <w:shd w:val="clear" w:color="auto" w:fill="F2F2F2"/>
          </w:tcPr>
          <w:p>
            <w:pPr>
              <w:spacing w:after="0"/>
              <w:rPr>
                <w:sz w:val="24"/>
                <w:szCs w:val="24"/>
                <w:color w:val="auto"/>
              </w:rPr>
            </w:pPr>
          </w:p>
        </w:tc>
        <w:tc>
          <w:tcPr>
            <w:tcW w:w="2060" w:type="dxa"/>
            <w:vAlign w:val="bottom"/>
            <w:tcBorders>
              <w:bottom w:val="single" w:sz="8" w:color="F2F2F2"/>
            </w:tcBorders>
            <w:gridSpan w:val="3"/>
            <w:shd w:val="clear" w:color="auto" w:fill="F2F2F2"/>
          </w:tcPr>
          <w:p>
            <w:pPr>
              <w:jc w:val="right"/>
              <w:ind w:right="1040"/>
              <w:spacing w:after="0"/>
              <w:rPr>
                <w:sz w:val="20"/>
                <w:szCs w:val="20"/>
                <w:color w:val="auto"/>
              </w:rPr>
            </w:pPr>
            <w:r>
              <w:rPr>
                <w:rFonts w:ascii="Arial" w:cs="Arial" w:eastAsia="Arial" w:hAnsi="Arial"/>
                <w:sz w:val="18"/>
                <w:szCs w:val="18"/>
                <w:color w:val="auto"/>
              </w:rPr>
              <w:t>337,000</w:t>
            </w:r>
          </w:p>
        </w:tc>
        <w:tc>
          <w:tcPr>
            <w:tcW w:w="940" w:type="dxa"/>
            <w:vAlign w:val="bottom"/>
            <w:tcBorders>
              <w:bottom w:val="single" w:sz="8" w:color="F2F2F2"/>
            </w:tcBorders>
            <w:gridSpan w:val="2"/>
            <w:shd w:val="clear" w:color="auto" w:fill="F2F2F2"/>
          </w:tcPr>
          <w:p>
            <w:pPr>
              <w:jc w:val="right"/>
              <w:ind w:right="20"/>
              <w:spacing w:after="0"/>
              <w:rPr>
                <w:sz w:val="20"/>
                <w:szCs w:val="20"/>
                <w:color w:val="auto"/>
              </w:rPr>
            </w:pPr>
            <w:r>
              <w:rPr>
                <w:rFonts w:ascii="Arial" w:cs="Arial" w:eastAsia="Arial" w:hAnsi="Arial"/>
                <w:sz w:val="18"/>
                <w:szCs w:val="18"/>
                <w:color w:val="auto"/>
              </w:rPr>
              <w:t>383,000</w:t>
            </w:r>
          </w:p>
        </w:tc>
      </w:tr>
      <w:tr>
        <w:trPr>
          <w:trHeight w:val="288"/>
        </w:trPr>
        <w:tc>
          <w:tcPr>
            <w:tcW w:w="6920" w:type="dxa"/>
            <w:vAlign w:val="bottom"/>
            <w:gridSpan w:val="2"/>
          </w:tcPr>
          <w:p>
            <w:pPr>
              <w:spacing w:after="0"/>
              <w:rPr>
                <w:sz w:val="20"/>
                <w:szCs w:val="20"/>
                <w:color w:val="auto"/>
              </w:rPr>
            </w:pPr>
            <w:r>
              <w:rPr>
                <w:rFonts w:ascii="Arial" w:cs="Arial" w:eastAsia="Arial" w:hAnsi="Arial"/>
                <w:sz w:val="18"/>
                <w:szCs w:val="18"/>
                <w:color w:val="auto"/>
              </w:rPr>
              <w:t>Tax Fees</w:t>
            </w:r>
          </w:p>
        </w:tc>
        <w:tc>
          <w:tcPr>
            <w:tcW w:w="2060" w:type="dxa"/>
            <w:vAlign w:val="bottom"/>
            <w:gridSpan w:val="3"/>
          </w:tcPr>
          <w:p>
            <w:pPr>
              <w:jc w:val="right"/>
              <w:ind w:right="1040"/>
              <w:spacing w:after="0"/>
              <w:rPr>
                <w:sz w:val="20"/>
                <w:szCs w:val="20"/>
                <w:color w:val="auto"/>
              </w:rPr>
            </w:pPr>
            <w:r>
              <w:rPr>
                <w:rFonts w:ascii="Arial" w:cs="Arial" w:eastAsia="Arial" w:hAnsi="Arial"/>
                <w:sz w:val="18"/>
                <w:szCs w:val="18"/>
                <w:color w:val="auto"/>
              </w:rPr>
              <w:t>128,000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103,000</w:t>
            </w:r>
          </w:p>
        </w:tc>
      </w:tr>
      <w:tr>
        <w:trPr>
          <w:trHeight w:val="50"/>
        </w:trPr>
        <w:tc>
          <w:tcPr>
            <w:tcW w:w="69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602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All Other Fees</w:t>
            </w:r>
          </w:p>
        </w:tc>
        <w:tc>
          <w:tcPr>
            <w:tcW w:w="900" w:type="dxa"/>
            <w:vAlign w:val="bottom"/>
            <w:tcBorders>
              <w:bottom w:val="single" w:sz="8" w:color="F2F2F2"/>
            </w:tcBorders>
            <w:shd w:val="clear" w:color="auto" w:fill="F2F2F2"/>
          </w:tcPr>
          <w:p>
            <w:pPr>
              <w:spacing w:after="0"/>
              <w:rPr>
                <w:sz w:val="24"/>
                <w:szCs w:val="24"/>
                <w:color w:val="auto"/>
              </w:rPr>
            </w:pPr>
          </w:p>
        </w:tc>
        <w:tc>
          <w:tcPr>
            <w:tcW w:w="100" w:type="dxa"/>
            <w:vAlign w:val="bottom"/>
            <w:tcBorders>
              <w:bottom w:val="single" w:sz="8" w:color="F2F2F2"/>
            </w:tcBorders>
            <w:shd w:val="clear" w:color="auto" w:fill="F2F2F2"/>
          </w:tcPr>
          <w:p>
            <w:pPr>
              <w:spacing w:after="0"/>
              <w:rPr>
                <w:sz w:val="24"/>
                <w:szCs w:val="24"/>
                <w:color w:val="auto"/>
              </w:rPr>
            </w:pPr>
          </w:p>
        </w:tc>
        <w:tc>
          <w:tcPr>
            <w:tcW w:w="1960" w:type="dxa"/>
            <w:vAlign w:val="bottom"/>
            <w:tcBorders>
              <w:bottom w:val="single" w:sz="8" w:color="F2F2F2"/>
            </w:tcBorders>
            <w:gridSpan w:val="2"/>
            <w:shd w:val="clear" w:color="auto" w:fill="F2F2F2"/>
          </w:tcPr>
          <w:p>
            <w:pPr>
              <w:jc w:val="right"/>
              <w:ind w:right="1040"/>
              <w:spacing w:after="0"/>
              <w:rPr>
                <w:sz w:val="20"/>
                <w:szCs w:val="20"/>
                <w:color w:val="auto"/>
              </w:rPr>
            </w:pPr>
            <w:r>
              <w:rPr>
                <w:rFonts w:ascii="Arial" w:cs="Arial" w:eastAsia="Arial" w:hAnsi="Arial"/>
                <w:sz w:val="18"/>
                <w:szCs w:val="18"/>
                <w:color w:val="auto"/>
              </w:rPr>
              <w:t>2,000</w:t>
            </w:r>
          </w:p>
        </w:tc>
        <w:tc>
          <w:tcPr>
            <w:tcW w:w="940" w:type="dxa"/>
            <w:vAlign w:val="bottom"/>
            <w:tcBorders>
              <w:bottom w:val="single" w:sz="8" w:color="F2F2F2"/>
            </w:tcBorders>
            <w:gridSpan w:val="2"/>
            <w:shd w:val="clear" w:color="auto" w:fill="F2F2F2"/>
          </w:tcPr>
          <w:p>
            <w:pPr>
              <w:jc w:val="right"/>
              <w:ind w:right="20"/>
              <w:spacing w:after="0"/>
              <w:rPr>
                <w:sz w:val="20"/>
                <w:szCs w:val="20"/>
                <w:color w:val="auto"/>
              </w:rPr>
            </w:pPr>
            <w:r>
              <w:rPr>
                <w:rFonts w:ascii="Arial" w:cs="Arial" w:eastAsia="Arial" w:hAnsi="Arial"/>
                <w:sz w:val="18"/>
                <w:szCs w:val="18"/>
                <w:color w:val="auto"/>
              </w:rPr>
              <w:t>2,000</w:t>
            </w:r>
          </w:p>
        </w:tc>
      </w:tr>
      <w:tr>
        <w:trPr>
          <w:trHeight w:val="20"/>
        </w:trPr>
        <w:tc>
          <w:tcPr>
            <w:tcW w:w="6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9"/>
        </w:trPr>
        <w:tc>
          <w:tcPr>
            <w:tcW w:w="602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376DB5"/>
            </w:tcBorders>
          </w:tcPr>
          <w:p>
            <w:pPr>
              <w:spacing w:after="0"/>
              <w:rPr>
                <w:sz w:val="24"/>
                <w:szCs w:val="24"/>
                <w:color w:val="auto"/>
              </w:rPr>
            </w:pPr>
          </w:p>
        </w:tc>
        <w:tc>
          <w:tcPr>
            <w:tcW w:w="2060" w:type="dxa"/>
            <w:vAlign w:val="bottom"/>
            <w:tcBorders>
              <w:bottom w:val="single" w:sz="8" w:color="376DB5"/>
            </w:tcBorders>
            <w:gridSpan w:val="3"/>
          </w:tcPr>
          <w:p>
            <w:pPr>
              <w:jc w:val="right"/>
              <w:ind w:right="1040"/>
              <w:spacing w:after="0"/>
              <w:rPr>
                <w:sz w:val="20"/>
                <w:szCs w:val="20"/>
                <w:color w:val="auto"/>
              </w:rPr>
            </w:pPr>
            <w:r>
              <w:rPr>
                <w:rFonts w:ascii="Arial" w:cs="Arial" w:eastAsia="Arial" w:hAnsi="Arial"/>
                <w:sz w:val="18"/>
                <w:szCs w:val="18"/>
                <w:color w:val="auto"/>
              </w:rPr>
              <w:t>$4,195,000</w:t>
            </w:r>
          </w:p>
        </w:tc>
        <w:tc>
          <w:tcPr>
            <w:tcW w:w="940" w:type="dxa"/>
            <w:vAlign w:val="bottom"/>
            <w:tcBorders>
              <w:bottom w:val="single" w:sz="8" w:color="376DB5"/>
            </w:tcBorders>
            <w:gridSpan w:val="2"/>
          </w:tcPr>
          <w:p>
            <w:pPr>
              <w:jc w:val="right"/>
              <w:ind w:right="20"/>
              <w:spacing w:after="0"/>
              <w:rPr>
                <w:sz w:val="20"/>
                <w:szCs w:val="20"/>
                <w:color w:val="auto"/>
              </w:rPr>
            </w:pPr>
            <w:r>
              <w:rPr>
                <w:rFonts w:ascii="Arial" w:cs="Arial" w:eastAsia="Arial" w:hAnsi="Arial"/>
                <w:sz w:val="18"/>
                <w:szCs w:val="18"/>
                <w:color w:val="auto"/>
                <w:w w:val="99"/>
              </w:rPr>
              <w:t>$3,730,000</w:t>
            </w:r>
          </w:p>
        </w:tc>
      </w:tr>
    </w:tbl>
    <w:p>
      <w:pPr>
        <w:spacing w:after="0" w:line="197" w:lineRule="exact"/>
        <w:rPr>
          <w:sz w:val="20"/>
          <w:szCs w:val="20"/>
          <w:color w:val="auto"/>
        </w:rPr>
      </w:pPr>
    </w:p>
    <w:p>
      <w:pPr>
        <w:jc w:val="both"/>
        <w:ind w:left="120" w:firstLine="551"/>
        <w:spacing w:after="0" w:line="24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consisted of fees for services rendered in connection with the annual audit of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quarterly reviews of financial statements included in our quarterly reports on Form 10-Q, and the audit of internal control over financial reporting. Audit fees also consisted of services provided in connection with statutory audits, consultation on accounting matters and SEC registration statement services.</w:t>
      </w:r>
    </w:p>
    <w:p>
      <w:pPr>
        <w:spacing w:after="0" w:line="66" w:lineRule="exact"/>
        <w:rPr>
          <w:sz w:val="20"/>
          <w:szCs w:val="20"/>
          <w:color w:val="auto"/>
        </w:rPr>
      </w:pPr>
    </w:p>
    <w:p>
      <w:pPr>
        <w:jc w:val="both"/>
        <w:ind w:left="120" w:firstLine="551"/>
        <w:spacing w:after="0" w:line="271"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fees consisted principally of fees for financial and non-financial attestation services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Control), debt refinancing, customer compliance audits and audits of financial statements of employee benefit plans.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services consisted of fees for tax consultation and tax compliance services.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All other fees consisted of fees for access to an online library of accounting and financial reporting literature.</w:t>
      </w:r>
    </w:p>
    <w:p>
      <w:pPr>
        <w:spacing w:after="0" w:line="212"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Our Audit Committee considers whether the provision of services other than for audit fees is compatible with maintaining our independent auditor’s independence, and has determined that these services for fiscal 2025 and 2024 were compatible. The services described above were approved by the Audit Committee pursuant to Rule 2-01 of Regulation S-X under the Exchange Act.</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85</w:t>
      </w:r>
    </w:p>
    <w:p>
      <w:pPr>
        <w:sectPr>
          <w:pgSz w:w="11900" w:h="16838" w:orient="portrait"/>
          <w:cols w:equalWidth="0" w:num="1">
            <w:col w:w="11140"/>
          </w:cols>
          <w:pgMar w:left="320" w:top="482" w:right="4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0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Proxy</w:t>
            </w:r>
          </w:p>
        </w:tc>
        <w:tc>
          <w:tcPr>
            <w:tcW w:w="102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3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Corporate</w:t>
            </w:r>
          </w:p>
        </w:tc>
        <w:tc>
          <w:tcPr>
            <w:tcW w:w="1480" w:type="dxa"/>
            <w:vAlign w:val="bottom"/>
            <w:shd w:val="clear" w:color="auto" w:fill="F2F2F2"/>
          </w:tcPr>
          <w:p>
            <w:pPr>
              <w:ind w:left="160"/>
              <w:spacing w:after="0"/>
              <w:rPr>
                <w:sz w:val="20"/>
                <w:szCs w:val="20"/>
                <w:color w:val="auto"/>
              </w:rPr>
            </w:pPr>
            <w:r>
              <w:rPr>
                <w:rFonts w:ascii="Arial" w:cs="Arial" w:eastAsia="Arial" w:hAnsi="Arial"/>
                <w:sz w:val="18"/>
                <w:szCs w:val="18"/>
                <w:color w:val="auto"/>
              </w:rPr>
              <w:t>Executive</w:t>
            </w:r>
          </w:p>
        </w:tc>
        <w:tc>
          <w:tcPr>
            <w:tcW w:w="1780" w:type="dxa"/>
            <w:vAlign w:val="bottom"/>
            <w:gridSpan w:val="3"/>
            <w:shd w:val="clear" w:color="auto" w:fill="F2F2F2"/>
          </w:tcPr>
          <w:p>
            <w:pPr>
              <w:ind w:left="180"/>
              <w:spacing w:after="0"/>
              <w:rPr>
                <w:sz w:val="20"/>
                <w:szCs w:val="20"/>
                <w:color w:val="auto"/>
              </w:rPr>
            </w:pPr>
            <w:r>
              <w:rPr>
                <w:rFonts w:ascii="Arial" w:cs="Arial" w:eastAsia="Arial" w:hAnsi="Arial"/>
                <w:sz w:val="18"/>
                <w:szCs w:val="18"/>
                <w:b w:val="1"/>
                <w:bCs w:val="1"/>
                <w:color w:val="376DB5"/>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00" w:type="dxa"/>
            <w:vAlign w:val="bottom"/>
            <w:shd w:val="clear" w:color="auto" w:fill="F2F2F2"/>
          </w:tcPr>
          <w:p>
            <w:pPr>
              <w:ind w:left="620"/>
              <w:spacing w:after="0" w:line="202" w:lineRule="exact"/>
              <w:rPr>
                <w:sz w:val="20"/>
                <w:szCs w:val="20"/>
                <w:color w:val="auto"/>
              </w:rPr>
            </w:pPr>
            <w:r>
              <w:rPr>
                <w:rFonts w:ascii="Arial" w:cs="Arial" w:eastAsia="Arial" w:hAnsi="Arial"/>
                <w:sz w:val="18"/>
                <w:szCs w:val="18"/>
                <w:color w:val="auto"/>
                <w:w w:val="98"/>
              </w:rPr>
              <w:t>Summary</w:t>
            </w:r>
          </w:p>
        </w:tc>
        <w:tc>
          <w:tcPr>
            <w:tcW w:w="102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3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Governance</w:t>
            </w:r>
          </w:p>
        </w:tc>
        <w:tc>
          <w:tcPr>
            <w:tcW w:w="148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Compensation</w:t>
            </w:r>
          </w:p>
        </w:tc>
        <w:tc>
          <w:tcPr>
            <w:tcW w:w="1780" w:type="dxa"/>
            <w:vAlign w:val="bottom"/>
            <w:gridSpan w:val="3"/>
            <w:shd w:val="clear" w:color="auto" w:fill="F2F2F2"/>
          </w:tcPr>
          <w:p>
            <w:pPr>
              <w:ind w:left="180"/>
              <w:spacing w:after="0" w:line="202" w:lineRule="exact"/>
              <w:rPr>
                <w:sz w:val="20"/>
                <w:szCs w:val="20"/>
                <w:color w:val="auto"/>
              </w:rPr>
            </w:pPr>
            <w:r>
              <w:rPr>
                <w:rFonts w:ascii="Arial" w:cs="Arial" w:eastAsia="Arial" w:hAnsi="Arial"/>
                <w:sz w:val="18"/>
                <w:szCs w:val="18"/>
                <w:b w:val="1"/>
                <w:bCs w:val="1"/>
                <w:color w:val="376DB5"/>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00" w:type="dxa"/>
            <w:vAlign w:val="bottom"/>
            <w:shd w:val="clear" w:color="auto" w:fill="F2F2F2"/>
          </w:tcPr>
          <w:p>
            <w:pPr>
              <w:spacing w:after="0"/>
              <w:rPr>
                <w:sz w:val="16"/>
                <w:szCs w:val="16"/>
                <w:color w:val="auto"/>
              </w:rPr>
            </w:pPr>
          </w:p>
        </w:tc>
        <w:tc>
          <w:tcPr>
            <w:tcW w:w="102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c>
          <w:tcPr>
            <w:tcW w:w="1780" w:type="dxa"/>
            <w:vAlign w:val="bottom"/>
            <w:gridSpan w:val="3"/>
            <w:shd w:val="clear" w:color="auto" w:fill="F2F2F2"/>
          </w:tcPr>
          <w:p>
            <w:pPr>
              <w:ind w:left="180"/>
              <w:spacing w:after="0" w:line="195" w:lineRule="exact"/>
              <w:rPr>
                <w:sz w:val="20"/>
                <w:szCs w:val="20"/>
                <w:color w:val="auto"/>
              </w:rPr>
            </w:pPr>
            <w:r>
              <w:rPr>
                <w:rFonts w:ascii="Arial" w:cs="Arial" w:eastAsia="Arial" w:hAnsi="Arial"/>
                <w:sz w:val="18"/>
                <w:szCs w:val="18"/>
                <w:b w:val="1"/>
                <w:bCs w:val="1"/>
                <w:color w:val="376DB5"/>
              </w:rPr>
              <w:t xml:space="preserve">             </w:t>
            </w: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00" w:type="dxa"/>
            <w:vAlign w:val="bottom"/>
            <w:tcBorders>
              <w:top w:val="single" w:sz="8" w:color="F2F2F2"/>
            </w:tcBorders>
            <w:shd w:val="clear" w:color="auto" w:fill="F2F2F2"/>
          </w:tcPr>
          <w:p>
            <w:pPr>
              <w:spacing w:after="0"/>
              <w:rPr>
                <w:sz w:val="2"/>
                <w:szCs w:val="2"/>
                <w:color w:val="auto"/>
              </w:rPr>
            </w:pPr>
          </w:p>
        </w:tc>
        <w:tc>
          <w:tcPr>
            <w:tcW w:w="1020" w:type="dxa"/>
            <w:vAlign w:val="bottom"/>
            <w:tcBorders>
              <w:top w:val="single" w:sz="8" w:color="F2F2F2"/>
            </w:tcBorders>
            <w:shd w:val="clear" w:color="auto" w:fill="F2F2F2"/>
          </w:tcPr>
          <w:p>
            <w:pPr>
              <w:spacing w:after="0"/>
              <w:rPr>
                <w:sz w:val="2"/>
                <w:szCs w:val="2"/>
                <w:color w:val="auto"/>
              </w:rPr>
            </w:pPr>
          </w:p>
        </w:tc>
        <w:tc>
          <w:tcPr>
            <w:tcW w:w="13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c>
          <w:tcPr>
            <w:tcW w:w="18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78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24" w:lineRule="exact"/>
        <w:rPr>
          <w:sz w:val="20"/>
          <w:szCs w:val="20"/>
          <w:color w:val="auto"/>
        </w:rPr>
      </w:pPr>
    </w:p>
    <w:p>
      <w:pPr>
        <w:ind w:left="120" w:right="480"/>
        <w:spacing w:after="0" w:line="298" w:lineRule="auto"/>
        <w:rPr>
          <w:sz w:val="20"/>
          <w:szCs w:val="20"/>
          <w:color w:val="auto"/>
        </w:rPr>
      </w:pPr>
      <w:r>
        <w:rPr>
          <w:rFonts w:ascii="Arial" w:cs="Arial" w:eastAsia="Arial" w:hAnsi="Arial"/>
          <w:sz w:val="25"/>
          <w:szCs w:val="25"/>
          <w:b w:val="1"/>
          <w:bCs w:val="1"/>
          <w:color w:val="auto"/>
        </w:rPr>
        <w:t>Policy on Audit Committee Preapproval of Audit and Non-Audit Services of Independent Auditors</w:t>
      </w:r>
    </w:p>
    <w:p>
      <w:pPr>
        <w:spacing w:after="0" w:line="210"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Our Audit Committee is responsible for appointing, setting compensation, and overseeing the work of the independent auditors. The Audit Committee has established a policy regarding preapproval of all audit and permitted non-audit services provided by the independent auditors. On an ongoing basis, management communicates specific projects and categories of service for which it requests the advance approval of the Audit Committee. The Audit Committee reviews these requests and advises management if the Audit Committee approves the engagement of the independent auditors. On a periodic basis, management reports to the Audit Committee regarding the actual spending for such projects and services compared to the approved amounts. The Audit Committee may also delegate the ability to preapprove audit and permitted non-audit services to a subcommittee consisting of one or more members, provided that any such preapprovals are reported on at the next Audit Committee meeting.</w:t>
      </w:r>
    </w:p>
    <w:p>
      <w:pPr>
        <w:spacing w:after="0" w:line="113"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86</w:t>
      </w:r>
    </w:p>
    <w:p>
      <w:pPr>
        <w:sectPr>
          <w:pgSz w:w="11900" w:h="16838" w:orient="portrait"/>
          <w:cols w:equalWidth="0" w:num="1">
            <w:col w:w="11140"/>
          </w:cols>
          <w:pgMar w:left="320" w:top="482"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0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Proxy</w:t>
            </w:r>
          </w:p>
        </w:tc>
        <w:tc>
          <w:tcPr>
            <w:tcW w:w="102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3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Corporate</w:t>
            </w:r>
          </w:p>
        </w:tc>
        <w:tc>
          <w:tcPr>
            <w:tcW w:w="1480" w:type="dxa"/>
            <w:vAlign w:val="bottom"/>
            <w:shd w:val="clear" w:color="auto" w:fill="F2F2F2"/>
          </w:tcPr>
          <w:p>
            <w:pPr>
              <w:ind w:left="160"/>
              <w:spacing w:after="0"/>
              <w:rPr>
                <w:sz w:val="20"/>
                <w:szCs w:val="20"/>
                <w:color w:val="auto"/>
              </w:rPr>
            </w:pPr>
            <w:r>
              <w:rPr>
                <w:rFonts w:ascii="Arial" w:cs="Arial" w:eastAsia="Arial" w:hAnsi="Arial"/>
                <w:sz w:val="18"/>
                <w:szCs w:val="18"/>
                <w:color w:val="auto"/>
              </w:rPr>
              <w:t>Executive</w:t>
            </w:r>
          </w:p>
        </w:tc>
        <w:tc>
          <w:tcPr>
            <w:tcW w:w="1780" w:type="dxa"/>
            <w:vAlign w:val="bottom"/>
            <w:gridSpan w:val="3"/>
            <w:shd w:val="clear" w:color="auto" w:fill="F2F2F2"/>
          </w:tcPr>
          <w:p>
            <w:pPr>
              <w:ind w:left="180"/>
              <w:spacing w:after="0"/>
              <w:rPr>
                <w:sz w:val="20"/>
                <w:szCs w:val="20"/>
                <w:color w:val="auto"/>
              </w:rPr>
            </w:pPr>
            <w:r>
              <w:rPr>
                <w:rFonts w:ascii="Arial" w:cs="Arial" w:eastAsia="Arial" w:hAnsi="Arial"/>
                <w:sz w:val="18"/>
                <w:szCs w:val="18"/>
                <w:b w:val="1"/>
                <w:bCs w:val="1"/>
                <w:color w:val="376DB5"/>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00" w:type="dxa"/>
            <w:vAlign w:val="bottom"/>
            <w:shd w:val="clear" w:color="auto" w:fill="F2F2F2"/>
          </w:tcPr>
          <w:p>
            <w:pPr>
              <w:ind w:left="620"/>
              <w:spacing w:after="0" w:line="202" w:lineRule="exact"/>
              <w:rPr>
                <w:sz w:val="20"/>
                <w:szCs w:val="20"/>
                <w:color w:val="auto"/>
              </w:rPr>
            </w:pPr>
            <w:r>
              <w:rPr>
                <w:rFonts w:ascii="Arial" w:cs="Arial" w:eastAsia="Arial" w:hAnsi="Arial"/>
                <w:sz w:val="18"/>
                <w:szCs w:val="18"/>
                <w:color w:val="auto"/>
                <w:w w:val="98"/>
              </w:rPr>
              <w:t>Summary</w:t>
            </w:r>
          </w:p>
        </w:tc>
        <w:tc>
          <w:tcPr>
            <w:tcW w:w="102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3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Governance</w:t>
            </w:r>
          </w:p>
        </w:tc>
        <w:tc>
          <w:tcPr>
            <w:tcW w:w="148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Compensation</w:t>
            </w:r>
          </w:p>
        </w:tc>
        <w:tc>
          <w:tcPr>
            <w:tcW w:w="1780" w:type="dxa"/>
            <w:vAlign w:val="bottom"/>
            <w:gridSpan w:val="3"/>
            <w:shd w:val="clear" w:color="auto" w:fill="F2F2F2"/>
          </w:tcPr>
          <w:p>
            <w:pPr>
              <w:ind w:left="180"/>
              <w:spacing w:after="0" w:line="202" w:lineRule="exact"/>
              <w:rPr>
                <w:sz w:val="20"/>
                <w:szCs w:val="20"/>
                <w:color w:val="auto"/>
              </w:rPr>
            </w:pPr>
            <w:r>
              <w:rPr>
                <w:rFonts w:ascii="Arial" w:cs="Arial" w:eastAsia="Arial" w:hAnsi="Arial"/>
                <w:sz w:val="18"/>
                <w:szCs w:val="18"/>
                <w:b w:val="1"/>
                <w:bCs w:val="1"/>
                <w:color w:val="376DB5"/>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00" w:type="dxa"/>
            <w:vAlign w:val="bottom"/>
            <w:shd w:val="clear" w:color="auto" w:fill="F2F2F2"/>
          </w:tcPr>
          <w:p>
            <w:pPr>
              <w:spacing w:after="0"/>
              <w:rPr>
                <w:sz w:val="16"/>
                <w:szCs w:val="16"/>
                <w:color w:val="auto"/>
              </w:rPr>
            </w:pPr>
          </w:p>
        </w:tc>
        <w:tc>
          <w:tcPr>
            <w:tcW w:w="102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c>
          <w:tcPr>
            <w:tcW w:w="1780" w:type="dxa"/>
            <w:vAlign w:val="bottom"/>
            <w:gridSpan w:val="3"/>
            <w:shd w:val="clear" w:color="auto" w:fill="F2F2F2"/>
          </w:tcPr>
          <w:p>
            <w:pPr>
              <w:ind w:left="180"/>
              <w:spacing w:after="0" w:line="195" w:lineRule="exact"/>
              <w:rPr>
                <w:sz w:val="20"/>
                <w:szCs w:val="20"/>
                <w:color w:val="auto"/>
              </w:rPr>
            </w:pPr>
            <w:r>
              <w:rPr>
                <w:rFonts w:ascii="Arial" w:cs="Arial" w:eastAsia="Arial" w:hAnsi="Arial"/>
                <w:sz w:val="18"/>
                <w:szCs w:val="18"/>
                <w:b w:val="1"/>
                <w:bCs w:val="1"/>
                <w:color w:val="376DB5"/>
              </w:rPr>
              <w:t xml:space="preserve">             </w:t>
            </w: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00" w:type="dxa"/>
            <w:vAlign w:val="bottom"/>
            <w:tcBorders>
              <w:top w:val="single" w:sz="8" w:color="F2F2F2"/>
            </w:tcBorders>
            <w:shd w:val="clear" w:color="auto" w:fill="F2F2F2"/>
          </w:tcPr>
          <w:p>
            <w:pPr>
              <w:spacing w:after="0"/>
              <w:rPr>
                <w:sz w:val="2"/>
                <w:szCs w:val="2"/>
                <w:color w:val="auto"/>
              </w:rPr>
            </w:pPr>
          </w:p>
        </w:tc>
        <w:tc>
          <w:tcPr>
            <w:tcW w:w="1020" w:type="dxa"/>
            <w:vAlign w:val="bottom"/>
            <w:tcBorders>
              <w:top w:val="single" w:sz="8" w:color="F2F2F2"/>
            </w:tcBorders>
            <w:shd w:val="clear" w:color="auto" w:fill="F2F2F2"/>
          </w:tcPr>
          <w:p>
            <w:pPr>
              <w:spacing w:after="0"/>
              <w:rPr>
                <w:sz w:val="2"/>
                <w:szCs w:val="2"/>
                <w:color w:val="auto"/>
              </w:rPr>
            </w:pPr>
          </w:p>
        </w:tc>
        <w:tc>
          <w:tcPr>
            <w:tcW w:w="13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c>
          <w:tcPr>
            <w:tcW w:w="18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78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1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REPORT OF THE AUDIT COMMITTEE OF THE BOARD OF DIRECTORS</w:t>
      </w:r>
    </w:p>
    <w:p>
      <w:pPr>
        <w:spacing w:after="0" w:line="343" w:lineRule="exact"/>
        <w:rPr>
          <w:sz w:val="20"/>
          <w:szCs w:val="20"/>
          <w:color w:val="auto"/>
        </w:rPr>
      </w:pPr>
    </w:p>
    <w:p>
      <w:pPr>
        <w:jc w:val="both"/>
        <w:ind w:left="120" w:right="20" w:firstLine="551"/>
        <w:spacing w:after="0" w:line="242" w:lineRule="auto"/>
        <w:rPr>
          <w:sz w:val="20"/>
          <w:szCs w:val="20"/>
          <w:color w:val="auto"/>
        </w:rPr>
      </w:pPr>
      <w:r>
        <w:rPr>
          <w:rFonts w:ascii="Arial" w:cs="Arial" w:eastAsia="Arial" w:hAnsi="Arial"/>
          <w:sz w:val="18"/>
          <w:szCs w:val="18"/>
          <w:color w:val="auto"/>
        </w:rPr>
        <w:t xml:space="preserve">The Audit Committee selects and retains an independent registered public accounting firm as the Company’s independent auditor and assists the Board in overseeing (1) the integrity of the Company’s financial statements, (2) the independent auditor’s qualifications and independence, (3) the performance of the Company’s internal audit function and independent auditor, and (4) the compliance by the Company with legal and regulatory requirements related to financial affairs and reporting. The Board of Directors has adopted a written charter for the Audit Committee that addresses the responsibilities of the Audit Committee. This charter is available on the “Investors” page of our website at </w:t>
      </w:r>
      <w:r>
        <w:rPr>
          <w:rFonts w:ascii="Arial" w:cs="Arial" w:eastAsia="Arial" w:hAnsi="Arial"/>
          <w:sz w:val="18"/>
          <w:szCs w:val="18"/>
          <w:i w:val="1"/>
          <w:iCs w:val="1"/>
          <w:color w:val="auto"/>
        </w:rPr>
        <w:t>www.fico.com</w:t>
      </w:r>
      <w:r>
        <w:rPr>
          <w:rFonts w:ascii="Arial" w:cs="Arial" w:eastAsia="Arial" w:hAnsi="Arial"/>
          <w:sz w:val="18"/>
          <w:szCs w:val="18"/>
          <w:color w:val="auto"/>
        </w:rPr>
        <w:t>.</w:t>
      </w:r>
    </w:p>
    <w:p>
      <w:pPr>
        <w:spacing w:after="0" w:line="71" w:lineRule="exact"/>
        <w:rPr>
          <w:sz w:val="20"/>
          <w:szCs w:val="20"/>
          <w:color w:val="auto"/>
        </w:rPr>
      </w:pPr>
    </w:p>
    <w:p>
      <w:pPr>
        <w:jc w:val="both"/>
        <w:ind w:left="120" w:firstLine="551"/>
        <w:spacing w:after="0" w:line="244" w:lineRule="auto"/>
        <w:rPr>
          <w:sz w:val="20"/>
          <w:szCs w:val="20"/>
          <w:color w:val="auto"/>
        </w:rPr>
      </w:pPr>
      <w:r>
        <w:rPr>
          <w:rFonts w:ascii="Arial" w:cs="Arial" w:eastAsia="Arial" w:hAnsi="Arial"/>
          <w:sz w:val="18"/>
          <w:szCs w:val="18"/>
          <w:color w:val="auto"/>
        </w:rPr>
        <w:t>While the Audit Committee has the responsibilities and powers set forth in its charter, it is not the duty of the Audit Committee to plan or conduct audits or to determine that the Company’s financial statements and disclosures are complete and accurate and are in accordance with generally accepted accounting principles and applicable legal and other requirements. These are the responsibilities of management and the independent auditor. Additionally, in performing its oversight function, the Audit Committee necessarily relies on the work and assurances of, and information provided by, management and the independent auditor.</w:t>
      </w:r>
    </w:p>
    <w:p>
      <w:pPr>
        <w:spacing w:after="0" w:line="68" w:lineRule="exact"/>
        <w:rPr>
          <w:sz w:val="20"/>
          <w:szCs w:val="20"/>
          <w:color w:val="auto"/>
        </w:rPr>
      </w:pPr>
    </w:p>
    <w:p>
      <w:pPr>
        <w:jc w:val="both"/>
        <w:ind w:left="120" w:firstLine="551"/>
        <w:spacing w:after="0" w:line="239" w:lineRule="auto"/>
        <w:rPr>
          <w:sz w:val="20"/>
          <w:szCs w:val="20"/>
          <w:color w:val="auto"/>
        </w:rPr>
      </w:pPr>
      <w:r>
        <w:rPr>
          <w:rFonts w:ascii="Arial" w:cs="Arial" w:eastAsia="Arial" w:hAnsi="Arial"/>
          <w:sz w:val="18"/>
          <w:szCs w:val="18"/>
          <w:color w:val="auto"/>
        </w:rPr>
        <w:t>Deloitte &amp; Touche LLP (“Deloitte”) served as the Company’s independent auditor for the fiscal year ended September 30, 2025. In fiscal 2025, the Audit Committee met and held discussions with management and Deloitte on numerous occasions. In fulfilling its oversight responsibilities, the Audit Committee reviewed and discussed with management and Deloitte the Company’s quarterly consolidated financial statements prior to the filing of each Quarterly Report on Form 10-Q and the audited consolidated financial statements included in the Annual Report on Form 10-K for the fiscal year ended September 30, 2025. The Audit Committee discussed with Deloitte matters required to be discussed by the applicable requirements of the Public Company Accounting Oversight Board and the SEC. Deloitte also provided to the Audit Committee the written disclosures and letter required by applicable requirements of the Public Company Accounting Oversight Board regarding the independent accountant’s communications with the Audit Committee concerning independence, and the Audit Committee discussed with Deloitte the firm’s independence and tenure.</w:t>
      </w:r>
    </w:p>
    <w:p>
      <w:pPr>
        <w:spacing w:after="0" w:line="75" w:lineRule="exact"/>
        <w:rPr>
          <w:sz w:val="20"/>
          <w:szCs w:val="20"/>
          <w:color w:val="auto"/>
        </w:rPr>
      </w:pPr>
    </w:p>
    <w:p>
      <w:pPr>
        <w:jc w:val="both"/>
        <w:ind w:left="120" w:firstLine="551"/>
        <w:spacing w:after="0" w:line="247" w:lineRule="auto"/>
        <w:rPr>
          <w:sz w:val="20"/>
          <w:szCs w:val="20"/>
          <w:color w:val="auto"/>
        </w:rPr>
      </w:pPr>
      <w:r>
        <w:rPr>
          <w:rFonts w:ascii="Arial" w:cs="Arial" w:eastAsia="Arial" w:hAnsi="Arial"/>
          <w:sz w:val="18"/>
          <w:szCs w:val="18"/>
          <w:color w:val="auto"/>
        </w:rPr>
        <w:t>Based upon the Audit Committee’s discussions with management and the independent auditor, and the Audit Committee’s review of the representations of management and the report of the independent auditor to the Audit Committee, the Audit Committee recommended to the Board of Directors that the audited consolidated financial statements be included in the Company’s Annual Report on Form 10-K for the fiscal year ended September 30, 2025, as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Submitted by the Audit Committee:</w:t>
      </w:r>
    </w:p>
    <w:p>
      <w:pPr>
        <w:spacing w:after="0" w:line="212"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David A. Rey, Chair</w:t>
      </w:r>
    </w:p>
    <w:p>
      <w:pPr>
        <w:spacing w:after="0" w:line="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Marc F. McMorris</w:t>
      </w:r>
    </w:p>
    <w:p>
      <w:pPr>
        <w:ind w:left="7880"/>
        <w:spacing w:after="0"/>
        <w:rPr>
          <w:sz w:val="20"/>
          <w:szCs w:val="20"/>
          <w:color w:val="auto"/>
        </w:rPr>
      </w:pPr>
      <w:r>
        <w:rPr>
          <w:rFonts w:ascii="Arial" w:cs="Arial" w:eastAsia="Arial" w:hAnsi="Arial"/>
          <w:sz w:val="18"/>
          <w:szCs w:val="18"/>
          <w:color w:val="auto"/>
        </w:rPr>
        <w:t>H. Tayloe Stansbury</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87</w:t>
      </w:r>
    </w:p>
    <w:p>
      <w:pPr>
        <w:sectPr>
          <w:pgSz w:w="11900" w:h="16838" w:orient="portrait"/>
          <w:cols w:equalWidth="0" w:num="1">
            <w:col w:w="11140"/>
          </w:cols>
          <w:pgMar w:left="320" w:top="482"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0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Proxy</w:t>
            </w:r>
          </w:p>
        </w:tc>
        <w:tc>
          <w:tcPr>
            <w:tcW w:w="102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3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Corporate</w:t>
            </w:r>
          </w:p>
        </w:tc>
        <w:tc>
          <w:tcPr>
            <w:tcW w:w="1480" w:type="dxa"/>
            <w:vAlign w:val="bottom"/>
            <w:shd w:val="clear" w:color="auto" w:fill="F2F2F2"/>
          </w:tcPr>
          <w:p>
            <w:pPr>
              <w:ind w:left="160"/>
              <w:spacing w:after="0"/>
              <w:rPr>
                <w:sz w:val="20"/>
                <w:szCs w:val="20"/>
                <w:color w:val="auto"/>
              </w:rPr>
            </w:pPr>
            <w:r>
              <w:rPr>
                <w:rFonts w:ascii="Arial" w:cs="Arial" w:eastAsia="Arial" w:hAnsi="Arial"/>
                <w:sz w:val="18"/>
                <w:szCs w:val="18"/>
                <w:color w:val="auto"/>
              </w:rPr>
              <w:t>Executive</w:t>
            </w:r>
          </w:p>
        </w:tc>
        <w:tc>
          <w:tcPr>
            <w:tcW w:w="1780" w:type="dxa"/>
            <w:vAlign w:val="bottom"/>
            <w:gridSpan w:val="3"/>
            <w:shd w:val="clear" w:color="auto" w:fill="F2F2F2"/>
          </w:tcPr>
          <w:p>
            <w:pPr>
              <w:ind w:left="180"/>
              <w:spacing w:after="0"/>
              <w:rPr>
                <w:sz w:val="20"/>
                <w:szCs w:val="20"/>
                <w:color w:val="auto"/>
              </w:rPr>
            </w:pPr>
            <w:r>
              <w:rPr>
                <w:rFonts w:ascii="Arial" w:cs="Arial" w:eastAsia="Arial" w:hAnsi="Arial"/>
                <w:sz w:val="18"/>
                <w:szCs w:val="18"/>
                <w:b w:val="1"/>
                <w:bCs w:val="1"/>
                <w:color w:val="376DB5"/>
              </w:rPr>
              <w:t>Audit Committee</w:t>
            </w:r>
          </w:p>
        </w:tc>
        <w:tc>
          <w:tcPr>
            <w:tcW w:w="13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Charter</w:t>
            </w:r>
          </w:p>
        </w:tc>
        <w:tc>
          <w:tcPr>
            <w:tcW w:w="1200" w:type="dxa"/>
            <w:vAlign w:val="bottom"/>
            <w:shd w:val="clear" w:color="auto" w:fill="F2F2F2"/>
          </w:tcPr>
          <w:p>
            <w:pPr>
              <w:ind w:left="18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00" w:type="dxa"/>
            <w:vAlign w:val="bottom"/>
            <w:shd w:val="clear" w:color="auto" w:fill="F2F2F2"/>
          </w:tcPr>
          <w:p>
            <w:pPr>
              <w:ind w:left="620"/>
              <w:spacing w:after="0" w:line="202" w:lineRule="exact"/>
              <w:rPr>
                <w:sz w:val="20"/>
                <w:szCs w:val="20"/>
                <w:color w:val="auto"/>
              </w:rPr>
            </w:pPr>
            <w:r>
              <w:rPr>
                <w:rFonts w:ascii="Arial" w:cs="Arial" w:eastAsia="Arial" w:hAnsi="Arial"/>
                <w:sz w:val="18"/>
                <w:szCs w:val="18"/>
                <w:color w:val="auto"/>
                <w:w w:val="98"/>
              </w:rPr>
              <w:t>Summary</w:t>
            </w:r>
          </w:p>
        </w:tc>
        <w:tc>
          <w:tcPr>
            <w:tcW w:w="102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3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Governance</w:t>
            </w:r>
          </w:p>
        </w:tc>
        <w:tc>
          <w:tcPr>
            <w:tcW w:w="148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Compensation</w:t>
            </w:r>
          </w:p>
        </w:tc>
        <w:tc>
          <w:tcPr>
            <w:tcW w:w="1780" w:type="dxa"/>
            <w:vAlign w:val="bottom"/>
            <w:gridSpan w:val="3"/>
            <w:shd w:val="clear" w:color="auto" w:fill="F2F2F2"/>
          </w:tcPr>
          <w:p>
            <w:pPr>
              <w:ind w:left="180"/>
              <w:spacing w:after="0" w:line="202" w:lineRule="exact"/>
              <w:rPr>
                <w:sz w:val="20"/>
                <w:szCs w:val="20"/>
                <w:color w:val="auto"/>
              </w:rPr>
            </w:pPr>
            <w:r>
              <w:rPr>
                <w:rFonts w:ascii="Arial" w:cs="Arial" w:eastAsia="Arial" w:hAnsi="Arial"/>
                <w:sz w:val="18"/>
                <w:szCs w:val="18"/>
                <w:b w:val="1"/>
                <w:bCs w:val="1"/>
                <w:color w:val="376DB5"/>
              </w:rPr>
              <w:t>Matters</w:t>
            </w:r>
          </w:p>
        </w:tc>
        <w:tc>
          <w:tcPr>
            <w:tcW w:w="136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Amendments</w:t>
            </w:r>
          </w:p>
        </w:tc>
        <w:tc>
          <w:tcPr>
            <w:tcW w:w="120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00" w:type="dxa"/>
            <w:vAlign w:val="bottom"/>
            <w:shd w:val="clear" w:color="auto" w:fill="F2F2F2"/>
          </w:tcPr>
          <w:p>
            <w:pPr>
              <w:spacing w:after="0"/>
              <w:rPr>
                <w:sz w:val="16"/>
                <w:szCs w:val="16"/>
                <w:color w:val="auto"/>
              </w:rPr>
            </w:pPr>
          </w:p>
        </w:tc>
        <w:tc>
          <w:tcPr>
            <w:tcW w:w="102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c>
          <w:tcPr>
            <w:tcW w:w="1780" w:type="dxa"/>
            <w:vAlign w:val="bottom"/>
            <w:gridSpan w:val="3"/>
            <w:shd w:val="clear" w:color="auto" w:fill="F2F2F2"/>
          </w:tcPr>
          <w:p>
            <w:pPr>
              <w:ind w:left="180"/>
              <w:spacing w:after="0" w:line="195" w:lineRule="exact"/>
              <w:rPr>
                <w:sz w:val="20"/>
                <w:szCs w:val="20"/>
                <w:color w:val="auto"/>
              </w:rPr>
            </w:pPr>
            <w:r>
              <w:rPr>
                <w:rFonts w:ascii="Arial" w:cs="Arial" w:eastAsia="Arial" w:hAnsi="Arial"/>
                <w:sz w:val="18"/>
                <w:szCs w:val="18"/>
                <w:b w:val="1"/>
                <w:bCs w:val="1"/>
                <w:color w:val="376DB5"/>
              </w:rPr>
              <w:t xml:space="preserve">             </w:t>
            </w:r>
          </w:p>
        </w:tc>
        <w:tc>
          <w:tcPr>
            <w:tcW w:w="13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00" w:type="dxa"/>
            <w:vAlign w:val="bottom"/>
            <w:tcBorders>
              <w:top w:val="single" w:sz="8" w:color="F2F2F2"/>
            </w:tcBorders>
            <w:shd w:val="clear" w:color="auto" w:fill="F2F2F2"/>
          </w:tcPr>
          <w:p>
            <w:pPr>
              <w:spacing w:after="0"/>
              <w:rPr>
                <w:sz w:val="2"/>
                <w:szCs w:val="2"/>
                <w:color w:val="auto"/>
              </w:rPr>
            </w:pPr>
          </w:p>
        </w:tc>
        <w:tc>
          <w:tcPr>
            <w:tcW w:w="1020" w:type="dxa"/>
            <w:vAlign w:val="bottom"/>
            <w:tcBorders>
              <w:top w:val="single" w:sz="8" w:color="F2F2F2"/>
            </w:tcBorders>
            <w:shd w:val="clear" w:color="auto" w:fill="F2F2F2"/>
          </w:tcPr>
          <w:p>
            <w:pPr>
              <w:spacing w:after="0"/>
              <w:rPr>
                <w:sz w:val="2"/>
                <w:szCs w:val="2"/>
                <w:color w:val="auto"/>
              </w:rPr>
            </w:pPr>
          </w:p>
        </w:tc>
        <w:tc>
          <w:tcPr>
            <w:tcW w:w="13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c>
          <w:tcPr>
            <w:tcW w:w="18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780" w:type="dxa"/>
            <w:vAlign w:val="bottom"/>
            <w:tcBorders>
              <w:top w:val="single" w:sz="8" w:color="F2F2F2"/>
            </w:tcBorders>
            <w:shd w:val="clear" w:color="auto" w:fill="F2F2F2"/>
          </w:tcPr>
          <w:p>
            <w:pPr>
              <w:spacing w:after="0"/>
              <w:rPr>
                <w:sz w:val="2"/>
                <w:szCs w:val="2"/>
                <w:color w:val="auto"/>
              </w:rPr>
            </w:pPr>
          </w:p>
        </w:tc>
        <w:tc>
          <w:tcPr>
            <w:tcW w:w="1360" w:type="dxa"/>
            <w:vAlign w:val="bottom"/>
            <w:tcBorders>
              <w:top w:val="single" w:sz="8" w:color="F2F2F2"/>
            </w:tcBorders>
            <w:shd w:val="clear" w:color="auto" w:fill="F2F2F2"/>
          </w:tcPr>
          <w:p>
            <w:pPr>
              <w:spacing w:after="0"/>
              <w:rPr>
                <w:sz w:val="2"/>
                <w:szCs w:val="2"/>
                <w:color w:val="auto"/>
              </w:rPr>
            </w:pPr>
          </w:p>
        </w:tc>
        <w:tc>
          <w:tcPr>
            <w:tcW w:w="12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Certain Relationships and Related Persons Transactions</w:t>
      </w:r>
    </w:p>
    <w:p>
      <w:pPr>
        <w:spacing w:after="0" w:line="231"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We maintain a written policy for the approval of any related person transactions. A “Related Person,” for purposes of our policy, means:</w:t>
      </w:r>
    </w:p>
    <w:p>
      <w:pPr>
        <w:spacing w:after="0" w:line="59" w:lineRule="exact"/>
        <w:rPr>
          <w:sz w:val="20"/>
          <w:szCs w:val="20"/>
          <w:color w:val="auto"/>
        </w:rPr>
      </w:pPr>
    </w:p>
    <w:p>
      <w:pPr>
        <w:ind w:left="1200" w:right="20" w:hanging="315"/>
        <w:spacing w:after="0" w:line="271" w:lineRule="auto"/>
        <w:tabs>
          <w:tab w:leader="none" w:pos="12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person who is, or at any time since the beginning of our last fiscal year was, a director or executive officer or a nominee for director;</w:t>
      </w:r>
    </w:p>
    <w:p>
      <w:pPr>
        <w:spacing w:after="0" w:line="59" w:lineRule="exact"/>
        <w:rPr>
          <w:rFonts w:ascii="Arial" w:cs="Arial" w:eastAsia="Arial" w:hAnsi="Arial"/>
          <w:sz w:val="18"/>
          <w:szCs w:val="18"/>
          <w:color w:val="auto"/>
        </w:rPr>
      </w:pPr>
    </w:p>
    <w:p>
      <w:pPr>
        <w:ind w:left="1200" w:hanging="315"/>
        <w:spacing w:after="0"/>
        <w:tabs>
          <w:tab w:leader="none" w:pos="12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person known to be the beneficial owner of more than 5% of our common stock; or</w:t>
      </w:r>
    </w:p>
    <w:p>
      <w:pPr>
        <w:spacing w:after="0" w:line="117" w:lineRule="exact"/>
        <w:rPr>
          <w:rFonts w:ascii="Arial" w:cs="Arial" w:eastAsia="Arial" w:hAnsi="Arial"/>
          <w:sz w:val="18"/>
          <w:szCs w:val="18"/>
          <w:color w:val="auto"/>
        </w:rPr>
      </w:pPr>
    </w:p>
    <w:p>
      <w:pPr>
        <w:ind w:left="1200" w:hanging="315"/>
        <w:spacing w:after="0"/>
        <w:tabs>
          <w:tab w:leader="none" w:pos="12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immediate family member of the foregoing persons.</w:t>
      </w:r>
    </w:p>
    <w:p>
      <w:pPr>
        <w:spacing w:after="0" w:line="104"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“Immediate family members” include children, stepchildren, parents, stepparents, spouses, siblings, mothers- and fathers-in-law, sons- and daughters-in-law, brothers- and sisters-in-law and any other person (other than a tenant or employee) sharing the household of one of these individuals.</w:t>
      </w:r>
    </w:p>
    <w:p>
      <w:pPr>
        <w:spacing w:after="0" w:line="61"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Under the Related Persons Transaction Policy, any transaction, arrangement or relationship in which the Company (including any of its subsidiaries) is or will be a participant and in which a Related Person has a direct or indirect interest (a “Related Persons Transaction”) must be reviewed by the Audit Committee, except that the following transactions, arrangements or relationships are exempt under the policy:</w:t>
      </w:r>
    </w:p>
    <w:p>
      <w:pPr>
        <w:spacing w:after="0" w:line="79" w:lineRule="exact"/>
        <w:rPr>
          <w:sz w:val="20"/>
          <w:szCs w:val="20"/>
          <w:color w:val="auto"/>
        </w:rPr>
      </w:pPr>
    </w:p>
    <w:p>
      <w:pPr>
        <w:ind w:left="1200" w:hanging="315"/>
        <w:spacing w:after="0" w:line="271" w:lineRule="auto"/>
        <w:tabs>
          <w:tab w:leader="none" w:pos="12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 of compensation by the Company to a director or executive officer of the Company for such person’s service to the Company in that capacity;</w:t>
      </w:r>
    </w:p>
    <w:p>
      <w:pPr>
        <w:spacing w:after="0" w:line="59" w:lineRule="exact"/>
        <w:rPr>
          <w:rFonts w:ascii="Arial" w:cs="Arial" w:eastAsia="Arial" w:hAnsi="Arial"/>
          <w:sz w:val="18"/>
          <w:szCs w:val="18"/>
          <w:color w:val="auto"/>
        </w:rPr>
      </w:pPr>
    </w:p>
    <w:p>
      <w:pPr>
        <w:ind w:left="1200" w:hanging="315"/>
        <w:spacing w:after="0"/>
        <w:tabs>
          <w:tab w:leader="none" w:pos="12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Transactions available to all employees or all stockholders of the Company on the same terms; and</w:t>
      </w:r>
    </w:p>
    <w:p>
      <w:pPr>
        <w:spacing w:after="0" w:line="117" w:lineRule="exact"/>
        <w:rPr>
          <w:rFonts w:ascii="Arial" w:cs="Arial" w:eastAsia="Arial" w:hAnsi="Arial"/>
          <w:sz w:val="18"/>
          <w:szCs w:val="18"/>
          <w:color w:val="auto"/>
        </w:rPr>
      </w:pPr>
    </w:p>
    <w:p>
      <w:pPr>
        <w:ind w:left="1200" w:right="20" w:hanging="315"/>
        <w:spacing w:after="0" w:line="271" w:lineRule="auto"/>
        <w:tabs>
          <w:tab w:leader="none" w:pos="12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Transactions that, when aggregated with the amount of all other transactions between the Company and the Related Person or any entity in which the Related Person has an interest, involve less than $120,000 in a fiscal year.</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determining whether to approve a Related Persons Transaction, the Audit Committee will consider the following:</w:t>
      </w:r>
    </w:p>
    <w:p>
      <w:pPr>
        <w:spacing w:after="0" w:line="117" w:lineRule="exact"/>
        <w:rPr>
          <w:sz w:val="20"/>
          <w:szCs w:val="20"/>
          <w:color w:val="auto"/>
        </w:rPr>
      </w:pPr>
    </w:p>
    <w:p>
      <w:pPr>
        <w:ind w:left="1200" w:hanging="315"/>
        <w:spacing w:after="0"/>
        <w:tabs>
          <w:tab w:leader="none" w:pos="12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the terms are fair to the Company;</w:t>
      </w:r>
    </w:p>
    <w:p>
      <w:pPr>
        <w:spacing w:after="0" w:line="117" w:lineRule="exact"/>
        <w:rPr>
          <w:rFonts w:ascii="Arial" w:cs="Arial" w:eastAsia="Arial" w:hAnsi="Arial"/>
          <w:sz w:val="18"/>
          <w:szCs w:val="18"/>
          <w:color w:val="auto"/>
        </w:rPr>
      </w:pPr>
    </w:p>
    <w:p>
      <w:pPr>
        <w:ind w:left="1200" w:hanging="315"/>
        <w:spacing w:after="0"/>
        <w:tabs>
          <w:tab w:leader="none" w:pos="12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the transaction is material to the Company;</w:t>
      </w:r>
    </w:p>
    <w:p>
      <w:pPr>
        <w:spacing w:after="0" w:line="117" w:lineRule="exact"/>
        <w:rPr>
          <w:rFonts w:ascii="Arial" w:cs="Arial" w:eastAsia="Arial" w:hAnsi="Arial"/>
          <w:sz w:val="18"/>
          <w:szCs w:val="18"/>
          <w:color w:val="auto"/>
        </w:rPr>
      </w:pPr>
    </w:p>
    <w:p>
      <w:pPr>
        <w:ind w:left="1200" w:hanging="315"/>
        <w:spacing w:after="0"/>
        <w:tabs>
          <w:tab w:leader="none" w:pos="12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importance of the Related Persons Transaction to the Related Person;</w:t>
      </w:r>
    </w:p>
    <w:p>
      <w:pPr>
        <w:spacing w:after="0" w:line="117" w:lineRule="exact"/>
        <w:rPr>
          <w:rFonts w:ascii="Arial" w:cs="Arial" w:eastAsia="Arial" w:hAnsi="Arial"/>
          <w:sz w:val="18"/>
          <w:szCs w:val="18"/>
          <w:color w:val="auto"/>
        </w:rPr>
      </w:pPr>
    </w:p>
    <w:p>
      <w:pPr>
        <w:ind w:left="1200" w:hanging="315"/>
        <w:spacing w:after="0"/>
        <w:tabs>
          <w:tab w:leader="none" w:pos="12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role the Related Person has played in arranging the Related Persons Transaction;</w:t>
      </w:r>
    </w:p>
    <w:p>
      <w:pPr>
        <w:spacing w:after="0" w:line="117" w:lineRule="exact"/>
        <w:rPr>
          <w:rFonts w:ascii="Arial" w:cs="Arial" w:eastAsia="Arial" w:hAnsi="Arial"/>
          <w:sz w:val="18"/>
          <w:szCs w:val="18"/>
          <w:color w:val="auto"/>
        </w:rPr>
      </w:pPr>
    </w:p>
    <w:p>
      <w:pPr>
        <w:ind w:left="1200" w:hanging="315"/>
        <w:spacing w:after="0"/>
        <w:tabs>
          <w:tab w:leader="none" w:pos="12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structure of the Related Persons Transaction; and</w:t>
      </w:r>
    </w:p>
    <w:p>
      <w:pPr>
        <w:spacing w:after="0" w:line="117" w:lineRule="exact"/>
        <w:rPr>
          <w:rFonts w:ascii="Arial" w:cs="Arial" w:eastAsia="Arial" w:hAnsi="Arial"/>
          <w:sz w:val="18"/>
          <w:szCs w:val="18"/>
          <w:color w:val="auto"/>
        </w:rPr>
      </w:pPr>
    </w:p>
    <w:p>
      <w:pPr>
        <w:ind w:left="1200" w:hanging="315"/>
        <w:spacing w:after="0"/>
        <w:tabs>
          <w:tab w:leader="none" w:pos="12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interests of all Related Persons in the Related Persons Transaction.</w:t>
      </w:r>
    </w:p>
    <w:p>
      <w:pPr>
        <w:spacing w:after="0" w:line="212"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We will only enter into a Related Persons Transaction if the Audit Committee determines that the Related Persons Transaction is not inconsistent with the interests of the Company and its stockholders, the Related Persons Transaction is beneficial to the Company, and the terms of the Related Persons Transaction are fair to the Company. No Related Persons Transactions occurred during fiscal 2025.</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88</w:t>
      </w:r>
    </w:p>
    <w:p>
      <w:pPr>
        <w:sectPr>
          <w:pgSz w:w="11900" w:h="16838" w:orient="portrait"/>
          <w:cols w:equalWidth="0" w:num="1">
            <w:col w:w="11140"/>
          </w:cols>
          <w:pgMar w:left="320" w:top="482"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0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Proxy</w:t>
            </w:r>
          </w:p>
        </w:tc>
        <w:tc>
          <w:tcPr>
            <w:tcW w:w="102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3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Corporate</w:t>
            </w:r>
          </w:p>
        </w:tc>
        <w:tc>
          <w:tcPr>
            <w:tcW w:w="1480" w:type="dxa"/>
            <w:vAlign w:val="bottom"/>
            <w:shd w:val="clear" w:color="auto" w:fill="F2F2F2"/>
          </w:tcPr>
          <w:p>
            <w:pPr>
              <w:ind w:left="16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60"/>
              <w:spacing w:after="0"/>
              <w:rPr>
                <w:sz w:val="20"/>
                <w:szCs w:val="20"/>
                <w:color w:val="auto"/>
              </w:rPr>
            </w:pPr>
            <w:r>
              <w:rPr>
                <w:rFonts w:ascii="Arial" w:cs="Arial" w:eastAsia="Arial" w:hAnsi="Arial"/>
                <w:sz w:val="18"/>
                <w:szCs w:val="18"/>
                <w:color w:val="auto"/>
              </w:rPr>
              <w:t>Audit Committee</w:t>
            </w:r>
          </w:p>
        </w:tc>
        <w:tc>
          <w:tcPr>
            <w:tcW w:w="1460" w:type="dxa"/>
            <w:vAlign w:val="bottom"/>
            <w:gridSpan w:val="3"/>
            <w:shd w:val="clear" w:color="auto" w:fill="F2F2F2"/>
          </w:tcPr>
          <w:p>
            <w:pPr>
              <w:ind w:left="140"/>
              <w:spacing w:after="0"/>
              <w:rPr>
                <w:sz w:val="20"/>
                <w:szCs w:val="20"/>
                <w:color w:val="auto"/>
              </w:rPr>
            </w:pPr>
            <w:r>
              <w:rPr>
                <w:rFonts w:ascii="Arial" w:cs="Arial" w:eastAsia="Arial" w:hAnsi="Arial"/>
                <w:sz w:val="18"/>
                <w:szCs w:val="18"/>
                <w:b w:val="1"/>
                <w:bCs w:val="1"/>
                <w:color w:val="376DB5"/>
              </w:rPr>
              <w:t>Charter</w:t>
            </w:r>
          </w:p>
        </w:tc>
        <w:tc>
          <w:tcPr>
            <w:tcW w:w="1220" w:type="dxa"/>
            <w:vAlign w:val="bottom"/>
            <w:shd w:val="clear" w:color="auto" w:fill="F2F2F2"/>
          </w:tcPr>
          <w:p>
            <w:pPr>
              <w:ind w:left="20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00" w:type="dxa"/>
            <w:vAlign w:val="bottom"/>
            <w:shd w:val="clear" w:color="auto" w:fill="F2F2F2"/>
          </w:tcPr>
          <w:p>
            <w:pPr>
              <w:ind w:left="620"/>
              <w:spacing w:after="0" w:line="202" w:lineRule="exact"/>
              <w:rPr>
                <w:sz w:val="20"/>
                <w:szCs w:val="20"/>
                <w:color w:val="auto"/>
              </w:rPr>
            </w:pPr>
            <w:r>
              <w:rPr>
                <w:rFonts w:ascii="Arial" w:cs="Arial" w:eastAsia="Arial" w:hAnsi="Arial"/>
                <w:sz w:val="18"/>
                <w:szCs w:val="18"/>
                <w:color w:val="auto"/>
                <w:w w:val="98"/>
              </w:rPr>
              <w:t>Summary</w:t>
            </w:r>
          </w:p>
        </w:tc>
        <w:tc>
          <w:tcPr>
            <w:tcW w:w="102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3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Governance</w:t>
            </w:r>
          </w:p>
        </w:tc>
        <w:tc>
          <w:tcPr>
            <w:tcW w:w="148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Matters</w:t>
            </w:r>
          </w:p>
        </w:tc>
        <w:tc>
          <w:tcPr>
            <w:tcW w:w="1460" w:type="dxa"/>
            <w:vAlign w:val="bottom"/>
            <w:gridSpan w:val="3"/>
            <w:shd w:val="clear" w:color="auto" w:fill="F2F2F2"/>
          </w:tcPr>
          <w:p>
            <w:pPr>
              <w:ind w:left="140"/>
              <w:spacing w:after="0" w:line="202" w:lineRule="exact"/>
              <w:rPr>
                <w:sz w:val="20"/>
                <w:szCs w:val="20"/>
                <w:color w:val="auto"/>
              </w:rPr>
            </w:pPr>
            <w:r>
              <w:rPr>
                <w:rFonts w:ascii="Arial" w:cs="Arial" w:eastAsia="Arial" w:hAnsi="Arial"/>
                <w:sz w:val="18"/>
                <w:szCs w:val="18"/>
                <w:b w:val="1"/>
                <w:bCs w:val="1"/>
                <w:color w:val="376DB5"/>
              </w:rPr>
              <w:t>Amendments</w:t>
            </w:r>
          </w:p>
        </w:tc>
        <w:tc>
          <w:tcPr>
            <w:tcW w:w="1220" w:type="dxa"/>
            <w:vAlign w:val="bottom"/>
            <w:shd w:val="clear" w:color="auto" w:fill="F2F2F2"/>
          </w:tcPr>
          <w:p>
            <w:pPr>
              <w:ind w:left="20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00" w:type="dxa"/>
            <w:vAlign w:val="bottom"/>
            <w:shd w:val="clear" w:color="auto" w:fill="F2F2F2"/>
          </w:tcPr>
          <w:p>
            <w:pPr>
              <w:spacing w:after="0"/>
              <w:rPr>
                <w:sz w:val="16"/>
                <w:szCs w:val="16"/>
                <w:color w:val="auto"/>
              </w:rPr>
            </w:pPr>
          </w:p>
        </w:tc>
        <w:tc>
          <w:tcPr>
            <w:tcW w:w="102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c>
          <w:tcPr>
            <w:tcW w:w="1660" w:type="dxa"/>
            <w:vAlign w:val="bottom"/>
            <w:shd w:val="clear" w:color="auto" w:fill="F2F2F2"/>
          </w:tcPr>
          <w:p>
            <w:pPr>
              <w:spacing w:after="0"/>
              <w:rPr>
                <w:sz w:val="16"/>
                <w:szCs w:val="16"/>
                <w:color w:val="auto"/>
              </w:rPr>
            </w:pPr>
          </w:p>
        </w:tc>
        <w:tc>
          <w:tcPr>
            <w:tcW w:w="1460" w:type="dxa"/>
            <w:vAlign w:val="bottom"/>
            <w:gridSpan w:val="3"/>
            <w:shd w:val="clear" w:color="auto" w:fill="F2F2F2"/>
          </w:tcPr>
          <w:p>
            <w:pPr>
              <w:ind w:left="140"/>
              <w:spacing w:after="0" w:line="195" w:lineRule="exact"/>
              <w:rPr>
                <w:sz w:val="20"/>
                <w:szCs w:val="20"/>
                <w:color w:val="auto"/>
              </w:rPr>
            </w:pPr>
            <w:r>
              <w:rPr>
                <w:rFonts w:ascii="Arial" w:cs="Arial" w:eastAsia="Arial" w:hAnsi="Arial"/>
                <w:sz w:val="18"/>
                <w:szCs w:val="18"/>
                <w:b w:val="1"/>
                <w:bCs w:val="1"/>
                <w:color w:val="376DB5"/>
              </w:rPr>
              <w:t xml:space="preserve">             </w:t>
            </w:r>
          </w:p>
        </w:tc>
        <w:tc>
          <w:tcPr>
            <w:tcW w:w="122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00" w:type="dxa"/>
            <w:vAlign w:val="bottom"/>
            <w:tcBorders>
              <w:top w:val="single" w:sz="8" w:color="F2F2F2"/>
            </w:tcBorders>
            <w:shd w:val="clear" w:color="auto" w:fill="F2F2F2"/>
          </w:tcPr>
          <w:p>
            <w:pPr>
              <w:spacing w:after="0"/>
              <w:rPr>
                <w:sz w:val="2"/>
                <w:szCs w:val="2"/>
                <w:color w:val="auto"/>
              </w:rPr>
            </w:pPr>
          </w:p>
        </w:tc>
        <w:tc>
          <w:tcPr>
            <w:tcW w:w="1020" w:type="dxa"/>
            <w:vAlign w:val="bottom"/>
            <w:tcBorders>
              <w:top w:val="single" w:sz="8" w:color="F2F2F2"/>
            </w:tcBorders>
            <w:shd w:val="clear" w:color="auto" w:fill="F2F2F2"/>
          </w:tcPr>
          <w:p>
            <w:pPr>
              <w:spacing w:after="0"/>
              <w:rPr>
                <w:sz w:val="2"/>
                <w:szCs w:val="2"/>
                <w:color w:val="auto"/>
              </w:rPr>
            </w:pPr>
          </w:p>
        </w:tc>
        <w:tc>
          <w:tcPr>
            <w:tcW w:w="13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4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500" w:type="dxa"/>
            <w:vAlign w:val="bottom"/>
            <w:tcBorders>
              <w:top w:val="single" w:sz="8" w:color="F2F2F2"/>
            </w:tcBorders>
            <w:shd w:val="clear" w:color="auto" w:fill="F2F2F2"/>
          </w:tcPr>
          <w:p>
            <w:pPr>
              <w:spacing w:after="0"/>
              <w:rPr>
                <w:sz w:val="2"/>
                <w:szCs w:val="2"/>
                <w:color w:val="auto"/>
              </w:rPr>
            </w:pPr>
          </w:p>
        </w:tc>
        <w:tc>
          <w:tcPr>
            <w:tcW w:w="122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03415" cy="80581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003415" cy="8058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22" w:lineRule="exact"/>
        <w:rPr>
          <w:sz w:val="20"/>
          <w:szCs w:val="20"/>
          <w:color w:val="auto"/>
        </w:rPr>
      </w:pPr>
    </w:p>
    <w:p>
      <w:pPr>
        <w:ind w:left="380"/>
        <w:spacing w:after="0" w:line="274" w:lineRule="auto"/>
        <w:rPr>
          <w:sz w:val="20"/>
          <w:szCs w:val="20"/>
          <w:color w:val="auto"/>
        </w:rPr>
      </w:pPr>
      <w:r>
        <w:rPr>
          <w:rFonts w:ascii="Arial" w:cs="Arial" w:eastAsia="Arial" w:hAnsi="Arial"/>
          <w:sz w:val="28"/>
          <w:szCs w:val="28"/>
          <w:b w:val="1"/>
          <w:bCs w:val="1"/>
          <w:color w:val="1F438E"/>
        </w:rPr>
        <w:t xml:space="preserve">PROPOSAL 4:  </w:t>
      </w:r>
      <w:r>
        <w:rPr>
          <w:rFonts w:ascii="Arial" w:cs="Arial" w:eastAsia="Arial" w:hAnsi="Arial"/>
          <w:sz w:val="28"/>
          <w:szCs w:val="28"/>
          <w:color w:val="1F438E"/>
        </w:rPr>
        <w:t>Approval of an Amendment to the</w:t>
      </w:r>
      <w:r>
        <w:rPr>
          <w:rFonts w:ascii="Arial" w:cs="Arial" w:eastAsia="Arial" w:hAnsi="Arial"/>
          <w:sz w:val="28"/>
          <w:szCs w:val="28"/>
          <w:b w:val="1"/>
          <w:bCs w:val="1"/>
          <w:color w:val="1F438E"/>
        </w:rPr>
        <w:t xml:space="preserve"> </w:t>
      </w:r>
      <w:r>
        <w:rPr>
          <w:rFonts w:ascii="Arial" w:cs="Arial" w:eastAsia="Arial" w:hAnsi="Arial"/>
          <w:sz w:val="28"/>
          <w:szCs w:val="28"/>
          <w:color w:val="1F438E"/>
        </w:rPr>
        <w:t>Company’s Restated Certificate of Incorporation to Allow for Exculpation of Officers as Permitted by Delaware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right="540" w:firstLine="270"/>
        <w:spacing w:after="0" w:line="301" w:lineRule="auto"/>
        <w:rPr>
          <w:sz w:val="20"/>
          <w:szCs w:val="20"/>
          <w:color w:val="auto"/>
        </w:rPr>
      </w:pPr>
      <w:r>
        <w:rPr>
          <w:rFonts w:ascii="Arial" w:cs="Arial" w:eastAsia="Arial" w:hAnsi="Arial"/>
          <w:sz w:val="16"/>
          <w:szCs w:val="16"/>
          <w:color w:val="1F438E"/>
        </w:rPr>
        <w:t xml:space="preserve">The Board recommends a </w:t>
      </w:r>
      <w:r>
        <w:rPr>
          <w:rFonts w:ascii="Arial" w:cs="Arial" w:eastAsia="Arial" w:hAnsi="Arial"/>
          <w:sz w:val="30"/>
          <w:szCs w:val="30"/>
          <w:color w:val="000000"/>
          <w:vertAlign w:val="superscript"/>
        </w:rPr>
        <w:t xml:space="preserve">   </w:t>
      </w:r>
      <w:r>
        <w:rPr>
          <w:rFonts w:ascii="Arial" w:cs="Arial" w:eastAsia="Arial" w:hAnsi="Arial"/>
          <w:sz w:val="16"/>
          <w:szCs w:val="16"/>
          <w:color w:val="1F438E"/>
        </w:rPr>
        <w:t xml:space="preserve"> vote </w:t>
      </w:r>
      <w:r>
        <w:rPr>
          <w:rFonts w:ascii="Arial" w:cs="Arial" w:eastAsia="Arial" w:hAnsi="Arial"/>
          <w:sz w:val="16"/>
          <w:szCs w:val="16"/>
          <w:b w:val="1"/>
          <w:bCs w:val="1"/>
          <w:color w:val="376DB5"/>
        </w:rPr>
        <w:t>FOR</w:t>
      </w:r>
      <w:r>
        <w:rPr>
          <w:rFonts w:ascii="Arial" w:cs="Arial" w:eastAsia="Arial" w:hAnsi="Arial"/>
          <w:sz w:val="16"/>
          <w:szCs w:val="16"/>
          <w:color w:val="1F438E"/>
        </w:rPr>
        <w:t xml:space="preserve"> this proposal</w:t>
      </w:r>
    </w:p>
    <w:p>
      <w:pPr>
        <w:spacing w:after="0" w:line="327" w:lineRule="exact"/>
        <w:rPr>
          <w:sz w:val="20"/>
          <w:szCs w:val="20"/>
          <w:color w:val="auto"/>
        </w:rPr>
      </w:pPr>
    </w:p>
    <w:p>
      <w:pPr>
        <w:sectPr>
          <w:pgSz w:w="11900" w:h="16838" w:orient="portrait"/>
          <w:cols w:equalWidth="0" w:num="2">
            <w:col w:w="7660" w:space="580"/>
            <w:col w:w="2900"/>
          </w:cols>
          <w:pgMar w:left="320" w:top="482" w:right="439" w:bottom="1440" w:gutter="0" w:footer="0" w:header="0"/>
          <w:type w:val="continuous"/>
        </w:sectPr>
      </w:pPr>
    </w:p>
    <w:p>
      <w:pPr>
        <w:spacing w:after="0" w:line="89" w:lineRule="exact"/>
        <w:rPr>
          <w:sz w:val="20"/>
          <w:szCs w:val="20"/>
          <w:color w:val="auto"/>
        </w:rPr>
      </w:pPr>
    </w:p>
    <w:p>
      <w:pPr>
        <w:jc w:val="both"/>
        <w:ind w:left="120" w:firstLine="551"/>
        <w:spacing w:after="0" w:line="242" w:lineRule="auto"/>
        <w:rPr>
          <w:sz w:val="20"/>
          <w:szCs w:val="20"/>
          <w:color w:val="auto"/>
        </w:rPr>
      </w:pPr>
      <w:r>
        <w:rPr>
          <w:rFonts w:ascii="Arial" w:cs="Arial" w:eastAsia="Arial" w:hAnsi="Arial"/>
          <w:sz w:val="18"/>
          <w:szCs w:val="18"/>
          <w:color w:val="auto"/>
        </w:rPr>
        <w:t>In August 2022, the State of Delaware, which is the Company’s state of incorporation, enacted legislation that enables Delaware corporations to limit the personal liability of certain of their officers for monetary damages for breach of the duty of care in certain circumstances, as permitted under Section 102(b)(7) of the Delaware General Corporation Law (the “DGCL”). Previously, exculpation was only available for directors under the DGCL. In light of this legislation and the adoption of this provision by many other Delaware corporations, the Board has adopted, and recommends that stockholders approve, an amendment (the “Exculpation Amendment”) to our Restated Certificate of Incorporation to allow for the exculpation of officers as permitted by Delaware law.</w:t>
      </w:r>
    </w:p>
    <w:p>
      <w:pPr>
        <w:spacing w:after="0" w:line="71" w:lineRule="exact"/>
        <w:rPr>
          <w:sz w:val="20"/>
          <w:szCs w:val="20"/>
          <w:color w:val="auto"/>
        </w:rPr>
      </w:pPr>
    </w:p>
    <w:p>
      <w:pPr>
        <w:jc w:val="both"/>
        <w:ind w:left="120" w:firstLine="551"/>
        <w:spacing w:after="0" w:line="244" w:lineRule="auto"/>
        <w:rPr>
          <w:sz w:val="20"/>
          <w:szCs w:val="20"/>
          <w:color w:val="auto"/>
        </w:rPr>
      </w:pPr>
      <w:r>
        <w:rPr>
          <w:rFonts w:ascii="Arial" w:cs="Arial" w:eastAsia="Arial" w:hAnsi="Arial"/>
          <w:sz w:val="18"/>
          <w:szCs w:val="18"/>
          <w:color w:val="auto"/>
        </w:rPr>
        <w:t>In accordance with the DGCL, the officers who would be covered by the Exculpation Amendment include any officer who, during the course of conduct alleged to be wrongful, (i) is or was the Company’s president, chief executive officer, chief operating officer, chief financial officer, chief legal officer, controller, treasurer or chief accounting officer; (ii) is or was identified in the Company’s public filings with the SEC as an NEO of the Company; or (iii) has, by written agreement with the Company, consented to being identified as an officer for purposes of accepting service of process.</w:t>
      </w:r>
    </w:p>
    <w:p>
      <w:pPr>
        <w:spacing w:after="0" w:line="68" w:lineRule="exact"/>
        <w:rPr>
          <w:sz w:val="20"/>
          <w:szCs w:val="20"/>
          <w:color w:val="auto"/>
        </w:rPr>
      </w:pPr>
    </w:p>
    <w:p>
      <w:pPr>
        <w:jc w:val="both"/>
        <w:ind w:left="120" w:right="20" w:firstLine="551"/>
        <w:spacing w:after="0" w:line="244" w:lineRule="auto"/>
        <w:rPr>
          <w:sz w:val="20"/>
          <w:szCs w:val="20"/>
          <w:color w:val="auto"/>
        </w:rPr>
      </w:pPr>
      <w:r>
        <w:rPr>
          <w:rFonts w:ascii="Arial" w:cs="Arial" w:eastAsia="Arial" w:hAnsi="Arial"/>
          <w:sz w:val="18"/>
          <w:szCs w:val="18"/>
          <w:color w:val="auto"/>
        </w:rPr>
        <w:t>The Exculpation Amendment is aligned with the narrow class and type of claims for which certain officers’ liability can be exculpated under Section 102(b)(7) of the DGCL. Accordingly, the Exculpation Amendment would only permit exculpation for direct claims (as opposed to derivative claims made by stockholders on behalf of the Company) and would not apply to: (i) breaches of the duty of loyalty to the Company or its stockholders; (ii) acts or omissions not in good faith or which involve intentional misconduct or a knowing violation of law; or (iii) any transaction in which the officer derived an improper personal benefit.</w:t>
      </w:r>
    </w:p>
    <w:p>
      <w:pPr>
        <w:spacing w:after="0" w:line="68" w:lineRule="exact"/>
        <w:rPr>
          <w:sz w:val="20"/>
          <w:szCs w:val="20"/>
          <w:color w:val="auto"/>
        </w:rPr>
      </w:pPr>
    </w:p>
    <w:p>
      <w:pPr>
        <w:jc w:val="both"/>
        <w:ind w:left="120" w:firstLine="551"/>
        <w:spacing w:after="0" w:line="242" w:lineRule="auto"/>
        <w:rPr>
          <w:sz w:val="20"/>
          <w:szCs w:val="20"/>
          <w:color w:val="auto"/>
        </w:rPr>
      </w:pPr>
      <w:r>
        <w:rPr>
          <w:rFonts w:ascii="Arial" w:cs="Arial" w:eastAsia="Arial" w:hAnsi="Arial"/>
          <w:sz w:val="18"/>
          <w:szCs w:val="18"/>
          <w:color w:val="auto"/>
        </w:rPr>
        <w:t>In considering whether to propose the Exculpation Amendment, the Board considered that the role of an officer (like the role of a director) often requires them to make time-sensitive decisions on critical matters that can create substantial risk of investigations, claims, actions, lawsuits or proceedings seeking to impose liability on the basis of hindsight, especially in the current litigious environment and regardless of merit. The Board believes the proposed Exculpation Amendment better aligns the protections available to our officers with those currently available to our directors and would lower the risk of plaintiffs’ lawyers adding officers to direct claims relating to breaches of the duty of care, which can lead to increased litigation and insurance costs.</w:t>
      </w:r>
    </w:p>
    <w:p>
      <w:pPr>
        <w:spacing w:after="0" w:line="71" w:lineRule="exact"/>
        <w:rPr>
          <w:sz w:val="20"/>
          <w:szCs w:val="20"/>
          <w:color w:val="auto"/>
        </w:rPr>
      </w:pPr>
    </w:p>
    <w:p>
      <w:pPr>
        <w:jc w:val="both"/>
        <w:ind w:left="120" w:right="20" w:firstLine="551"/>
        <w:spacing w:after="0" w:line="244" w:lineRule="auto"/>
        <w:rPr>
          <w:sz w:val="20"/>
          <w:szCs w:val="20"/>
          <w:color w:val="auto"/>
        </w:rPr>
      </w:pPr>
      <w:r>
        <w:rPr>
          <w:rFonts w:ascii="Arial" w:cs="Arial" w:eastAsia="Arial" w:hAnsi="Arial"/>
          <w:sz w:val="18"/>
          <w:szCs w:val="18"/>
          <w:color w:val="auto"/>
        </w:rPr>
        <w:t>In addition, the Board believes that the Exculpation Amendment would better position the Company to continue to attract and retain top executive talent by providing protection against the potential exposure to liabilities and costs of defense tied to such claims. For these reasons, and taking into account the narrow class of officers and the limits on the types of claims for which those officers’ liability would be exculpated, the Board determined that approval of the Exculpation Amendment to allow for exculpation of certain of the Company’s officers is advisable and in the best interests of the Company and its stockholders.</w:t>
      </w:r>
    </w:p>
    <w:p>
      <w:pPr>
        <w:spacing w:after="0" w:line="68" w:lineRule="exact"/>
        <w:rPr>
          <w:sz w:val="20"/>
          <w:szCs w:val="20"/>
          <w:color w:val="auto"/>
        </w:rPr>
      </w:pPr>
    </w:p>
    <w:p>
      <w:pPr>
        <w:jc w:val="both"/>
        <w:ind w:left="120" w:firstLine="551"/>
        <w:spacing w:after="0" w:line="271" w:lineRule="auto"/>
        <w:rPr>
          <w:sz w:val="20"/>
          <w:szCs w:val="20"/>
          <w:color w:val="auto"/>
        </w:rPr>
      </w:pPr>
      <w:r>
        <w:rPr>
          <w:rFonts w:ascii="Arial" w:cs="Arial" w:eastAsia="Arial" w:hAnsi="Arial"/>
          <w:sz w:val="18"/>
          <w:szCs w:val="18"/>
          <w:color w:val="auto"/>
        </w:rPr>
        <w:t>The full text of the Exculpation Amendment, which would add a new Article 8 to our Restated Certificate of Incorporation, is provided below:</w:t>
      </w:r>
    </w:p>
    <w:p>
      <w:pPr>
        <w:spacing w:after="0" w:line="46" w:lineRule="exact"/>
        <w:rPr>
          <w:sz w:val="20"/>
          <w:szCs w:val="20"/>
          <w:color w:val="auto"/>
        </w:rPr>
      </w:pPr>
    </w:p>
    <w:p>
      <w:pPr>
        <w:jc w:val="both"/>
        <w:ind w:left="660"/>
        <w:spacing w:after="0" w:line="245" w:lineRule="auto"/>
        <w:rPr>
          <w:sz w:val="20"/>
          <w:szCs w:val="20"/>
          <w:color w:val="auto"/>
        </w:rPr>
      </w:pPr>
      <w:r>
        <w:rPr>
          <w:rFonts w:ascii="Arial" w:cs="Arial" w:eastAsia="Arial" w:hAnsi="Arial"/>
          <w:sz w:val="18"/>
          <w:szCs w:val="18"/>
          <w:color w:val="auto"/>
        </w:rPr>
        <w:t>“8. (a) An officer of the corporation shall not be liable to the corporation or its stockholders for monetary damages for breach of fiduciary duty as an officer, except for liability (i) for any breach of the officer’s duty of loyalty to the corporation or its stockholders,</w:t>
      </w:r>
    </w:p>
    <w:p>
      <w:pPr>
        <w:ind w:left="660" w:right="20" w:firstLine="7"/>
        <w:spacing w:after="0" w:line="250" w:lineRule="auto"/>
        <w:tabs>
          <w:tab w:leader="none" w:pos="9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 (iii) for any transaction from which the officer derived an improper personal benefit, or (iv) in any action by or in the right of the corporation.”</w:t>
      </w:r>
    </w:p>
    <w:p>
      <w:pPr>
        <w:spacing w:after="0" w:line="172" w:lineRule="exact"/>
        <w:rPr>
          <w:sz w:val="20"/>
          <w:szCs w:val="20"/>
          <w:color w:val="auto"/>
        </w:rPr>
      </w:pPr>
    </w:p>
    <w:p>
      <w:pPr>
        <w:jc w:val="both"/>
        <w:ind w:left="120" w:firstLine="551"/>
        <w:spacing w:after="0" w:line="242" w:lineRule="auto"/>
        <w:rPr>
          <w:sz w:val="20"/>
          <w:szCs w:val="20"/>
          <w:color w:val="auto"/>
        </w:rPr>
      </w:pPr>
      <w:r>
        <w:rPr>
          <w:rFonts w:ascii="Arial" w:cs="Arial" w:eastAsia="Arial" w:hAnsi="Arial"/>
          <w:sz w:val="18"/>
          <w:szCs w:val="18"/>
          <w:color w:val="auto"/>
        </w:rPr>
        <w:t>The Board has approved and declared advisable the Exculpation Amendment in accordance with the DGCL. If stockholders approve the Exculpation Amendment, it will become effective upon the filing of a Certificate of Amendment with the Delaware Secretary of State, which we anticipate doing as soon as reasonably practicable after receiving stockholder approval. Other than the addition of Article 8, the remainder of our Restated Certificate of Incorporation will remain unchanged after effectiveness of the Certificate of Amendment, with the exception of the removal of Article 6(d) as set forth in Proposal 5, if approved by stockholders. The Board retains the discretion to abandon, and not implement, the Exculpation Amendment at any time before it becomes effective, even if it is approved by stockholders.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89</w:t>
      </w:r>
    </w:p>
    <w:p>
      <w:pPr>
        <w:sectPr>
          <w:pgSz w:w="11900" w:h="16838" w:orient="portrait"/>
          <w:cols w:equalWidth="0" w:num="1">
            <w:col w:w="11140"/>
          </w:cols>
          <w:pgMar w:left="320" w:top="482" w:right="4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0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Proxy</w:t>
            </w:r>
          </w:p>
        </w:tc>
        <w:tc>
          <w:tcPr>
            <w:tcW w:w="102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3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Corporate</w:t>
            </w:r>
          </w:p>
        </w:tc>
        <w:tc>
          <w:tcPr>
            <w:tcW w:w="1480" w:type="dxa"/>
            <w:vAlign w:val="bottom"/>
            <w:shd w:val="clear" w:color="auto" w:fill="F2F2F2"/>
          </w:tcPr>
          <w:p>
            <w:pPr>
              <w:ind w:left="16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60"/>
              <w:spacing w:after="0"/>
              <w:rPr>
                <w:sz w:val="20"/>
                <w:szCs w:val="20"/>
                <w:color w:val="auto"/>
              </w:rPr>
            </w:pPr>
            <w:r>
              <w:rPr>
                <w:rFonts w:ascii="Arial" w:cs="Arial" w:eastAsia="Arial" w:hAnsi="Arial"/>
                <w:sz w:val="18"/>
                <w:szCs w:val="18"/>
                <w:color w:val="auto"/>
              </w:rPr>
              <w:t>Audit Committee</w:t>
            </w:r>
          </w:p>
        </w:tc>
        <w:tc>
          <w:tcPr>
            <w:tcW w:w="1460" w:type="dxa"/>
            <w:vAlign w:val="bottom"/>
            <w:gridSpan w:val="3"/>
            <w:shd w:val="clear" w:color="auto" w:fill="F2F2F2"/>
          </w:tcPr>
          <w:p>
            <w:pPr>
              <w:ind w:left="140"/>
              <w:spacing w:after="0"/>
              <w:rPr>
                <w:sz w:val="20"/>
                <w:szCs w:val="20"/>
                <w:color w:val="auto"/>
              </w:rPr>
            </w:pPr>
            <w:r>
              <w:rPr>
                <w:rFonts w:ascii="Arial" w:cs="Arial" w:eastAsia="Arial" w:hAnsi="Arial"/>
                <w:sz w:val="18"/>
                <w:szCs w:val="18"/>
                <w:b w:val="1"/>
                <w:bCs w:val="1"/>
                <w:color w:val="376DB5"/>
              </w:rPr>
              <w:t>Charter</w:t>
            </w:r>
          </w:p>
        </w:tc>
        <w:tc>
          <w:tcPr>
            <w:tcW w:w="1220" w:type="dxa"/>
            <w:vAlign w:val="bottom"/>
            <w:shd w:val="clear" w:color="auto" w:fill="F2F2F2"/>
          </w:tcPr>
          <w:p>
            <w:pPr>
              <w:ind w:left="200"/>
              <w:spacing w:after="0"/>
              <w:rPr>
                <w:sz w:val="20"/>
                <w:szCs w:val="20"/>
                <w:color w:val="auto"/>
              </w:rPr>
            </w:pPr>
            <w:r>
              <w:rPr>
                <w:rFonts w:ascii="Arial" w:cs="Arial" w:eastAsia="Arial" w:hAnsi="Arial"/>
                <w:sz w:val="18"/>
                <w:szCs w:val="18"/>
                <w:color w:val="auto"/>
              </w:rPr>
              <w:t>Stock</w:t>
            </w:r>
          </w:p>
        </w:tc>
        <w:tc>
          <w:tcPr>
            <w:tcW w:w="14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Other</w:t>
            </w:r>
          </w:p>
        </w:tc>
      </w:tr>
      <w:tr>
        <w:trPr>
          <w:trHeight w:val="203"/>
        </w:trPr>
        <w:tc>
          <w:tcPr>
            <w:tcW w:w="1400" w:type="dxa"/>
            <w:vAlign w:val="bottom"/>
            <w:shd w:val="clear" w:color="auto" w:fill="F2F2F2"/>
          </w:tcPr>
          <w:p>
            <w:pPr>
              <w:ind w:left="620"/>
              <w:spacing w:after="0" w:line="202" w:lineRule="exact"/>
              <w:rPr>
                <w:sz w:val="20"/>
                <w:szCs w:val="20"/>
                <w:color w:val="auto"/>
              </w:rPr>
            </w:pPr>
            <w:r>
              <w:rPr>
                <w:rFonts w:ascii="Arial" w:cs="Arial" w:eastAsia="Arial" w:hAnsi="Arial"/>
                <w:sz w:val="18"/>
                <w:szCs w:val="18"/>
                <w:color w:val="auto"/>
                <w:w w:val="98"/>
              </w:rPr>
              <w:t>Summary</w:t>
            </w:r>
          </w:p>
        </w:tc>
        <w:tc>
          <w:tcPr>
            <w:tcW w:w="102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3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Governance</w:t>
            </w:r>
          </w:p>
        </w:tc>
        <w:tc>
          <w:tcPr>
            <w:tcW w:w="148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Matters</w:t>
            </w:r>
          </w:p>
        </w:tc>
        <w:tc>
          <w:tcPr>
            <w:tcW w:w="1460" w:type="dxa"/>
            <w:vAlign w:val="bottom"/>
            <w:gridSpan w:val="3"/>
            <w:shd w:val="clear" w:color="auto" w:fill="F2F2F2"/>
          </w:tcPr>
          <w:p>
            <w:pPr>
              <w:ind w:left="140"/>
              <w:spacing w:after="0" w:line="202" w:lineRule="exact"/>
              <w:rPr>
                <w:sz w:val="20"/>
                <w:szCs w:val="20"/>
                <w:color w:val="auto"/>
              </w:rPr>
            </w:pPr>
            <w:r>
              <w:rPr>
                <w:rFonts w:ascii="Arial" w:cs="Arial" w:eastAsia="Arial" w:hAnsi="Arial"/>
                <w:sz w:val="18"/>
                <w:szCs w:val="18"/>
                <w:b w:val="1"/>
                <w:bCs w:val="1"/>
                <w:color w:val="376DB5"/>
              </w:rPr>
              <w:t>Amendments</w:t>
            </w:r>
          </w:p>
        </w:tc>
        <w:tc>
          <w:tcPr>
            <w:tcW w:w="1220" w:type="dxa"/>
            <w:vAlign w:val="bottom"/>
            <w:shd w:val="clear" w:color="auto" w:fill="F2F2F2"/>
          </w:tcPr>
          <w:p>
            <w:pPr>
              <w:ind w:left="200"/>
              <w:spacing w:after="0" w:line="202" w:lineRule="exact"/>
              <w:rPr>
                <w:sz w:val="20"/>
                <w:szCs w:val="20"/>
                <w:color w:val="auto"/>
              </w:rPr>
            </w:pPr>
            <w:r>
              <w:rPr>
                <w:rFonts w:ascii="Arial" w:cs="Arial" w:eastAsia="Arial" w:hAnsi="Arial"/>
                <w:sz w:val="18"/>
                <w:szCs w:val="18"/>
                <w:color w:val="auto"/>
              </w:rPr>
              <w:t>Ownership</w:t>
            </w:r>
          </w:p>
        </w:tc>
        <w:tc>
          <w:tcPr>
            <w:tcW w:w="14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00" w:type="dxa"/>
            <w:vAlign w:val="bottom"/>
            <w:shd w:val="clear" w:color="auto" w:fill="F2F2F2"/>
          </w:tcPr>
          <w:p>
            <w:pPr>
              <w:spacing w:after="0"/>
              <w:rPr>
                <w:sz w:val="16"/>
                <w:szCs w:val="16"/>
                <w:color w:val="auto"/>
              </w:rPr>
            </w:pPr>
          </w:p>
        </w:tc>
        <w:tc>
          <w:tcPr>
            <w:tcW w:w="102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c>
          <w:tcPr>
            <w:tcW w:w="1660" w:type="dxa"/>
            <w:vAlign w:val="bottom"/>
            <w:shd w:val="clear" w:color="auto" w:fill="F2F2F2"/>
          </w:tcPr>
          <w:p>
            <w:pPr>
              <w:spacing w:after="0"/>
              <w:rPr>
                <w:sz w:val="16"/>
                <w:szCs w:val="16"/>
                <w:color w:val="auto"/>
              </w:rPr>
            </w:pPr>
          </w:p>
        </w:tc>
        <w:tc>
          <w:tcPr>
            <w:tcW w:w="1460" w:type="dxa"/>
            <w:vAlign w:val="bottom"/>
            <w:gridSpan w:val="3"/>
            <w:shd w:val="clear" w:color="auto" w:fill="F2F2F2"/>
          </w:tcPr>
          <w:p>
            <w:pPr>
              <w:ind w:left="140"/>
              <w:spacing w:after="0" w:line="195" w:lineRule="exact"/>
              <w:rPr>
                <w:sz w:val="20"/>
                <w:szCs w:val="20"/>
                <w:color w:val="auto"/>
              </w:rPr>
            </w:pPr>
            <w:r>
              <w:rPr>
                <w:rFonts w:ascii="Arial" w:cs="Arial" w:eastAsia="Arial" w:hAnsi="Arial"/>
                <w:sz w:val="18"/>
                <w:szCs w:val="18"/>
                <w:b w:val="1"/>
                <w:bCs w:val="1"/>
                <w:color w:val="376DB5"/>
              </w:rPr>
              <w:t xml:space="preserve">             </w:t>
            </w:r>
          </w:p>
        </w:tc>
        <w:tc>
          <w:tcPr>
            <w:tcW w:w="122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r>
      <w:tr>
        <w:trPr>
          <w:trHeight w:val="34"/>
        </w:trPr>
        <w:tc>
          <w:tcPr>
            <w:tcW w:w="1400" w:type="dxa"/>
            <w:vAlign w:val="bottom"/>
            <w:tcBorders>
              <w:top w:val="single" w:sz="8" w:color="F2F2F2"/>
            </w:tcBorders>
            <w:shd w:val="clear" w:color="auto" w:fill="F2F2F2"/>
          </w:tcPr>
          <w:p>
            <w:pPr>
              <w:spacing w:after="0"/>
              <w:rPr>
                <w:sz w:val="2"/>
                <w:szCs w:val="2"/>
                <w:color w:val="auto"/>
              </w:rPr>
            </w:pPr>
          </w:p>
        </w:tc>
        <w:tc>
          <w:tcPr>
            <w:tcW w:w="1020" w:type="dxa"/>
            <w:vAlign w:val="bottom"/>
            <w:tcBorders>
              <w:top w:val="single" w:sz="8" w:color="F2F2F2"/>
            </w:tcBorders>
            <w:shd w:val="clear" w:color="auto" w:fill="F2F2F2"/>
          </w:tcPr>
          <w:p>
            <w:pPr>
              <w:spacing w:after="0"/>
              <w:rPr>
                <w:sz w:val="2"/>
                <w:szCs w:val="2"/>
                <w:color w:val="auto"/>
              </w:rPr>
            </w:pPr>
          </w:p>
        </w:tc>
        <w:tc>
          <w:tcPr>
            <w:tcW w:w="13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4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500" w:type="dxa"/>
            <w:vAlign w:val="bottom"/>
            <w:tcBorders>
              <w:top w:val="single" w:sz="8" w:color="F2F2F2"/>
            </w:tcBorders>
            <w:shd w:val="clear" w:color="auto" w:fill="F2F2F2"/>
          </w:tcPr>
          <w:p>
            <w:pPr>
              <w:spacing w:after="0"/>
              <w:rPr>
                <w:sz w:val="2"/>
                <w:szCs w:val="2"/>
                <w:color w:val="auto"/>
              </w:rPr>
            </w:pPr>
          </w:p>
        </w:tc>
        <w:tc>
          <w:tcPr>
            <w:tcW w:w="122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03415" cy="80581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003415" cy="8058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22" w:lineRule="exact"/>
        <w:rPr>
          <w:sz w:val="20"/>
          <w:szCs w:val="20"/>
          <w:color w:val="auto"/>
        </w:rPr>
      </w:pPr>
    </w:p>
    <w:p>
      <w:pPr>
        <w:jc w:val="both"/>
        <w:ind w:left="380" w:right="680"/>
        <w:spacing w:after="0" w:line="274" w:lineRule="auto"/>
        <w:rPr>
          <w:sz w:val="20"/>
          <w:szCs w:val="20"/>
          <w:color w:val="auto"/>
        </w:rPr>
      </w:pPr>
      <w:r>
        <w:rPr>
          <w:rFonts w:ascii="Arial" w:cs="Arial" w:eastAsia="Arial" w:hAnsi="Arial"/>
          <w:sz w:val="28"/>
          <w:szCs w:val="28"/>
          <w:b w:val="1"/>
          <w:bCs w:val="1"/>
          <w:color w:val="1F438E"/>
        </w:rPr>
        <w:t xml:space="preserve">PROPOSAL 5:  </w:t>
      </w:r>
      <w:r>
        <w:rPr>
          <w:rFonts w:ascii="Arial" w:cs="Arial" w:eastAsia="Arial" w:hAnsi="Arial"/>
          <w:sz w:val="28"/>
          <w:szCs w:val="28"/>
          <w:color w:val="1F438E"/>
        </w:rPr>
        <w:t>Approval of an Amendment to the</w:t>
      </w:r>
      <w:r>
        <w:rPr>
          <w:rFonts w:ascii="Arial" w:cs="Arial" w:eastAsia="Arial" w:hAnsi="Arial"/>
          <w:sz w:val="28"/>
          <w:szCs w:val="28"/>
          <w:b w:val="1"/>
          <w:bCs w:val="1"/>
          <w:color w:val="1F438E"/>
        </w:rPr>
        <w:t xml:space="preserve"> </w:t>
      </w:r>
      <w:r>
        <w:rPr>
          <w:rFonts w:ascii="Arial" w:cs="Arial" w:eastAsia="Arial" w:hAnsi="Arial"/>
          <w:sz w:val="28"/>
          <w:szCs w:val="28"/>
          <w:color w:val="1F438E"/>
        </w:rPr>
        <w:t>Company’s Restated Certificate of Incorporation to Eliminate the Supermajority Voting Requirement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right="540" w:firstLine="270"/>
        <w:spacing w:after="0" w:line="301" w:lineRule="auto"/>
        <w:rPr>
          <w:sz w:val="20"/>
          <w:szCs w:val="20"/>
          <w:color w:val="auto"/>
        </w:rPr>
      </w:pPr>
      <w:r>
        <w:rPr>
          <w:rFonts w:ascii="Arial" w:cs="Arial" w:eastAsia="Arial" w:hAnsi="Arial"/>
          <w:sz w:val="16"/>
          <w:szCs w:val="16"/>
          <w:color w:val="1F438E"/>
        </w:rPr>
        <w:t xml:space="preserve">The Board recommends a </w:t>
      </w:r>
      <w:r>
        <w:rPr>
          <w:rFonts w:ascii="Arial" w:cs="Arial" w:eastAsia="Arial" w:hAnsi="Arial"/>
          <w:sz w:val="30"/>
          <w:szCs w:val="30"/>
          <w:color w:val="000000"/>
          <w:vertAlign w:val="superscript"/>
        </w:rPr>
        <w:t xml:space="preserve">   </w:t>
      </w:r>
      <w:r>
        <w:rPr>
          <w:rFonts w:ascii="Arial" w:cs="Arial" w:eastAsia="Arial" w:hAnsi="Arial"/>
          <w:sz w:val="16"/>
          <w:szCs w:val="16"/>
          <w:color w:val="1F438E"/>
        </w:rPr>
        <w:t xml:space="preserve"> vote </w:t>
      </w:r>
      <w:r>
        <w:rPr>
          <w:rFonts w:ascii="Arial" w:cs="Arial" w:eastAsia="Arial" w:hAnsi="Arial"/>
          <w:sz w:val="16"/>
          <w:szCs w:val="16"/>
          <w:b w:val="1"/>
          <w:bCs w:val="1"/>
          <w:color w:val="376DB5"/>
        </w:rPr>
        <w:t>FOR</w:t>
      </w:r>
      <w:r>
        <w:rPr>
          <w:rFonts w:ascii="Arial" w:cs="Arial" w:eastAsia="Arial" w:hAnsi="Arial"/>
          <w:sz w:val="16"/>
          <w:szCs w:val="16"/>
          <w:color w:val="1F438E"/>
        </w:rPr>
        <w:t xml:space="preserve"> this proposal</w:t>
      </w:r>
    </w:p>
    <w:p>
      <w:pPr>
        <w:spacing w:after="0" w:line="327" w:lineRule="exact"/>
        <w:rPr>
          <w:sz w:val="20"/>
          <w:szCs w:val="20"/>
          <w:color w:val="auto"/>
        </w:rPr>
      </w:pPr>
    </w:p>
    <w:p>
      <w:pPr>
        <w:sectPr>
          <w:pgSz w:w="11900" w:h="16838" w:orient="portrait"/>
          <w:cols w:equalWidth="0" w:num="2">
            <w:col w:w="7520" w:space="720"/>
            <w:col w:w="2900"/>
          </w:cols>
          <w:pgMar w:left="320" w:top="482" w:right="439" w:bottom="1440" w:gutter="0" w:footer="0" w:header="0"/>
          <w:type w:val="continuous"/>
        </w:sectPr>
      </w:pPr>
    </w:p>
    <w:p>
      <w:pPr>
        <w:spacing w:after="0" w:line="89" w:lineRule="exact"/>
        <w:rPr>
          <w:sz w:val="20"/>
          <w:szCs w:val="20"/>
          <w:color w:val="auto"/>
        </w:rPr>
      </w:pPr>
    </w:p>
    <w:p>
      <w:pPr>
        <w:jc w:val="both"/>
        <w:ind w:left="120" w:firstLine="551"/>
        <w:spacing w:after="0" w:line="247" w:lineRule="auto"/>
        <w:rPr>
          <w:sz w:val="20"/>
          <w:szCs w:val="20"/>
          <w:color w:val="auto"/>
        </w:rPr>
      </w:pPr>
      <w:r>
        <w:rPr>
          <w:rFonts w:ascii="Arial" w:cs="Arial" w:eastAsia="Arial" w:hAnsi="Arial"/>
          <w:sz w:val="18"/>
          <w:szCs w:val="18"/>
          <w:color w:val="auto"/>
        </w:rPr>
        <w:t>Article 6(d) of the Company’s Restated Certificate of Incorporation currently requires that the affirmative vote of the holders of at least 66-2/3% of the voting power of all of the then-outstanding shares of the stock of the Company entitled to vote generally in the election of directors, voting together as a single class, shall be required to amend or repeal Article 6 of the Company’s Restated Certificate of Incorporation.</w:t>
      </w:r>
    </w:p>
    <w:p>
      <w:pPr>
        <w:spacing w:after="0" w:line="66" w:lineRule="exact"/>
        <w:rPr>
          <w:sz w:val="20"/>
          <w:szCs w:val="20"/>
          <w:color w:val="auto"/>
        </w:rPr>
      </w:pPr>
    </w:p>
    <w:p>
      <w:pPr>
        <w:jc w:val="both"/>
        <w:ind w:left="120" w:firstLine="551"/>
        <w:spacing w:after="0" w:line="242" w:lineRule="auto"/>
        <w:rPr>
          <w:sz w:val="20"/>
          <w:szCs w:val="20"/>
          <w:color w:val="auto"/>
        </w:rPr>
      </w:pPr>
      <w:r>
        <w:rPr>
          <w:rFonts w:ascii="Arial" w:cs="Arial" w:eastAsia="Arial" w:hAnsi="Arial"/>
          <w:sz w:val="18"/>
          <w:szCs w:val="18"/>
          <w:color w:val="auto"/>
        </w:rPr>
        <w:t>The Board seeks approval from the Company’s stockholders to amend the Restated Certificate of Incorporation to eliminate this supermajority voting requirement for stockholders to amend Article 6 of the Company’s Restated Certificate of Incorporation (the “Supermajority Elimination Amendment”), so that stockholders could amend Article 6 of the Company’s Restated Certificate of Incorporation by the affirmative vote of the holders of a majority of the outstanding shares entitled to vote. If the Supermajority Elimination Amendment is approved by the Company’s stockholders, Article 6(d) of the Certificate of Incorporation would be removed in its entirety, which reads:</w:t>
      </w:r>
    </w:p>
    <w:p>
      <w:pPr>
        <w:spacing w:after="0" w:line="71" w:lineRule="exact"/>
        <w:rPr>
          <w:sz w:val="20"/>
          <w:szCs w:val="20"/>
          <w:color w:val="auto"/>
        </w:rPr>
      </w:pPr>
    </w:p>
    <w:p>
      <w:pPr>
        <w:jc w:val="both"/>
        <w:ind w:left="660" w:right="20"/>
        <w:spacing w:after="0" w:line="247" w:lineRule="auto"/>
        <w:rPr>
          <w:sz w:val="20"/>
          <w:szCs w:val="20"/>
          <w:color w:val="auto"/>
        </w:rPr>
      </w:pPr>
      <w:r>
        <w:rPr>
          <w:rFonts w:ascii="Arial" w:cs="Arial" w:eastAsia="Arial" w:hAnsi="Arial"/>
          <w:sz w:val="18"/>
          <w:szCs w:val="18"/>
          <w:color w:val="auto"/>
        </w:rPr>
        <w:t>“(d) In addition to any vote of the holders of any class or series of the stock of this corporation required by law or by this Certificate of Incorporation, the affirmative vote of the holders of at least 66-2/3% of the voting power of all of the then-outstanding shares of the stock of the corporation entitled to vote generally in the election of directors, voting together as a single class, shall be required to amend or repeal this Article.”</w:t>
      </w:r>
    </w:p>
    <w:p>
      <w:pPr>
        <w:spacing w:after="0" w:line="174"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The Board has approved and declared advisable the Supermajority Elimination Amendment in accordance with the DGCL. If stockholders approve the Supermajority Elimination Amendment, it will become effective upon the filing of a Certificate of Amendment with the Delaware Secretary of State, which we anticipate doing as soon as reasonably practicable after receiving stockholder approval. Following such approval and filing, we will not have any supermajority voting standards remaining in our governing documents. Other than the removal of Article 6(d), the remainder of our Restated Certificate of Incorporation will remain unchanged after effectiveness of the Certificate of Amendment, with the exception of the addition of Article 8 as set forth in Proposal 4 regarding the Exculpation Amendment, if approved by stockholders.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90</w:t>
      </w:r>
    </w:p>
    <w:p>
      <w:pPr>
        <w:sectPr>
          <w:pgSz w:w="11900" w:h="16838" w:orient="portrait"/>
          <w:cols w:equalWidth="0" w:num="1">
            <w:col w:w="11140"/>
          </w:cols>
          <w:pgMar w:left="320" w:top="482" w:right="4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0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Proxy</w:t>
            </w:r>
          </w:p>
        </w:tc>
        <w:tc>
          <w:tcPr>
            <w:tcW w:w="102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3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Corporate</w:t>
            </w:r>
          </w:p>
        </w:tc>
        <w:tc>
          <w:tcPr>
            <w:tcW w:w="1480" w:type="dxa"/>
            <w:vAlign w:val="bottom"/>
            <w:shd w:val="clear" w:color="auto" w:fill="F2F2F2"/>
          </w:tcPr>
          <w:p>
            <w:pPr>
              <w:ind w:left="16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80" w:type="dxa"/>
            <w:vAlign w:val="bottom"/>
            <w:shd w:val="clear" w:color="auto" w:fill="F2F2F2"/>
          </w:tcPr>
          <w:p>
            <w:pPr>
              <w:ind w:left="160"/>
              <w:spacing w:after="0"/>
              <w:rPr>
                <w:sz w:val="20"/>
                <w:szCs w:val="20"/>
                <w:color w:val="auto"/>
              </w:rPr>
            </w:pPr>
            <w:r>
              <w:rPr>
                <w:rFonts w:ascii="Arial" w:cs="Arial" w:eastAsia="Arial" w:hAnsi="Arial"/>
                <w:sz w:val="18"/>
                <w:szCs w:val="18"/>
                <w:color w:val="auto"/>
              </w:rPr>
              <w:t>Charter</w:t>
            </w:r>
          </w:p>
        </w:tc>
        <w:tc>
          <w:tcPr>
            <w:tcW w:w="1280" w:type="dxa"/>
            <w:vAlign w:val="bottom"/>
            <w:gridSpan w:val="3"/>
            <w:shd w:val="clear" w:color="auto" w:fill="F2F2F2"/>
          </w:tcPr>
          <w:p>
            <w:pPr>
              <w:ind w:left="160"/>
              <w:spacing w:after="0"/>
              <w:rPr>
                <w:sz w:val="20"/>
                <w:szCs w:val="20"/>
                <w:color w:val="auto"/>
              </w:rPr>
            </w:pPr>
            <w:r>
              <w:rPr>
                <w:rFonts w:ascii="Arial" w:cs="Arial" w:eastAsia="Arial" w:hAnsi="Arial"/>
                <w:sz w:val="18"/>
                <w:szCs w:val="18"/>
                <w:b w:val="1"/>
                <w:bCs w:val="1"/>
                <w:color w:val="376DB5"/>
              </w:rPr>
              <w:t>Stock</w:t>
            </w:r>
          </w:p>
        </w:tc>
        <w:tc>
          <w:tcPr>
            <w:tcW w:w="15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Other</w:t>
            </w:r>
          </w:p>
        </w:tc>
      </w:tr>
      <w:tr>
        <w:trPr>
          <w:trHeight w:val="203"/>
        </w:trPr>
        <w:tc>
          <w:tcPr>
            <w:tcW w:w="1400" w:type="dxa"/>
            <w:vAlign w:val="bottom"/>
            <w:shd w:val="clear" w:color="auto" w:fill="F2F2F2"/>
          </w:tcPr>
          <w:p>
            <w:pPr>
              <w:ind w:left="620"/>
              <w:spacing w:after="0" w:line="202" w:lineRule="exact"/>
              <w:rPr>
                <w:sz w:val="20"/>
                <w:szCs w:val="20"/>
                <w:color w:val="auto"/>
              </w:rPr>
            </w:pPr>
            <w:r>
              <w:rPr>
                <w:rFonts w:ascii="Arial" w:cs="Arial" w:eastAsia="Arial" w:hAnsi="Arial"/>
                <w:sz w:val="18"/>
                <w:szCs w:val="18"/>
                <w:color w:val="auto"/>
                <w:w w:val="98"/>
              </w:rPr>
              <w:t>Summary</w:t>
            </w:r>
          </w:p>
        </w:tc>
        <w:tc>
          <w:tcPr>
            <w:tcW w:w="102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3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Governance</w:t>
            </w:r>
          </w:p>
        </w:tc>
        <w:tc>
          <w:tcPr>
            <w:tcW w:w="148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8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Amendments</w:t>
            </w:r>
          </w:p>
        </w:tc>
        <w:tc>
          <w:tcPr>
            <w:tcW w:w="1280" w:type="dxa"/>
            <w:vAlign w:val="bottom"/>
            <w:gridSpan w:val="3"/>
            <w:shd w:val="clear" w:color="auto" w:fill="F2F2F2"/>
          </w:tcPr>
          <w:p>
            <w:pPr>
              <w:ind w:left="160"/>
              <w:spacing w:after="0" w:line="202" w:lineRule="exact"/>
              <w:rPr>
                <w:sz w:val="20"/>
                <w:szCs w:val="20"/>
                <w:color w:val="auto"/>
              </w:rPr>
            </w:pPr>
            <w:r>
              <w:rPr>
                <w:rFonts w:ascii="Arial" w:cs="Arial" w:eastAsia="Arial" w:hAnsi="Arial"/>
                <w:sz w:val="18"/>
                <w:szCs w:val="18"/>
                <w:b w:val="1"/>
                <w:bCs w:val="1"/>
                <w:color w:val="376DB5"/>
              </w:rPr>
              <w:t>Ownership</w:t>
            </w:r>
          </w:p>
        </w:tc>
        <w:tc>
          <w:tcPr>
            <w:tcW w:w="15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00" w:type="dxa"/>
            <w:vAlign w:val="bottom"/>
            <w:shd w:val="clear" w:color="auto" w:fill="F2F2F2"/>
          </w:tcPr>
          <w:p>
            <w:pPr>
              <w:spacing w:after="0"/>
              <w:rPr>
                <w:sz w:val="16"/>
                <w:szCs w:val="16"/>
                <w:color w:val="auto"/>
              </w:rPr>
            </w:pPr>
          </w:p>
        </w:tc>
        <w:tc>
          <w:tcPr>
            <w:tcW w:w="102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c>
          <w:tcPr>
            <w:tcW w:w="1660" w:type="dxa"/>
            <w:vAlign w:val="bottom"/>
            <w:shd w:val="clear" w:color="auto" w:fill="F2F2F2"/>
          </w:tcPr>
          <w:p>
            <w:pPr>
              <w:spacing w:after="0"/>
              <w:rPr>
                <w:sz w:val="16"/>
                <w:szCs w:val="16"/>
                <w:color w:val="auto"/>
              </w:rPr>
            </w:pPr>
          </w:p>
        </w:tc>
        <w:tc>
          <w:tcPr>
            <w:tcW w:w="1380" w:type="dxa"/>
            <w:vAlign w:val="bottom"/>
            <w:shd w:val="clear" w:color="auto" w:fill="F2F2F2"/>
          </w:tcPr>
          <w:p>
            <w:pPr>
              <w:spacing w:after="0"/>
              <w:rPr>
                <w:sz w:val="16"/>
                <w:szCs w:val="16"/>
                <w:color w:val="auto"/>
              </w:rPr>
            </w:pPr>
          </w:p>
        </w:tc>
        <w:tc>
          <w:tcPr>
            <w:tcW w:w="1280" w:type="dxa"/>
            <w:vAlign w:val="bottom"/>
            <w:gridSpan w:val="3"/>
            <w:shd w:val="clear" w:color="auto" w:fill="F2F2F2"/>
          </w:tcPr>
          <w:p>
            <w:pPr>
              <w:ind w:left="160"/>
              <w:spacing w:after="0" w:line="195" w:lineRule="exact"/>
              <w:rPr>
                <w:sz w:val="20"/>
                <w:szCs w:val="20"/>
                <w:color w:val="auto"/>
              </w:rPr>
            </w:pPr>
            <w:r>
              <w:rPr>
                <w:rFonts w:ascii="Arial" w:cs="Arial" w:eastAsia="Arial" w:hAnsi="Arial"/>
                <w:sz w:val="18"/>
                <w:szCs w:val="18"/>
                <w:b w:val="1"/>
                <w:bCs w:val="1"/>
                <w:color w:val="376DB5"/>
              </w:rPr>
              <w:t xml:space="preserve">             </w:t>
            </w:r>
          </w:p>
        </w:tc>
        <w:tc>
          <w:tcPr>
            <w:tcW w:w="1500" w:type="dxa"/>
            <w:vAlign w:val="bottom"/>
            <w:shd w:val="clear" w:color="auto" w:fill="F2F2F2"/>
          </w:tcPr>
          <w:p>
            <w:pPr>
              <w:spacing w:after="0"/>
              <w:rPr>
                <w:sz w:val="16"/>
                <w:szCs w:val="16"/>
                <w:color w:val="auto"/>
              </w:rPr>
            </w:pPr>
          </w:p>
        </w:tc>
      </w:tr>
      <w:tr>
        <w:trPr>
          <w:trHeight w:val="34"/>
        </w:trPr>
        <w:tc>
          <w:tcPr>
            <w:tcW w:w="1400" w:type="dxa"/>
            <w:vAlign w:val="bottom"/>
            <w:tcBorders>
              <w:top w:val="single" w:sz="8" w:color="F2F2F2"/>
            </w:tcBorders>
            <w:shd w:val="clear" w:color="auto" w:fill="F2F2F2"/>
          </w:tcPr>
          <w:p>
            <w:pPr>
              <w:spacing w:after="0"/>
              <w:rPr>
                <w:sz w:val="2"/>
                <w:szCs w:val="2"/>
                <w:color w:val="auto"/>
              </w:rPr>
            </w:pPr>
          </w:p>
        </w:tc>
        <w:tc>
          <w:tcPr>
            <w:tcW w:w="1020" w:type="dxa"/>
            <w:vAlign w:val="bottom"/>
            <w:tcBorders>
              <w:top w:val="single" w:sz="8" w:color="F2F2F2"/>
            </w:tcBorders>
            <w:shd w:val="clear" w:color="auto" w:fill="F2F2F2"/>
          </w:tcPr>
          <w:p>
            <w:pPr>
              <w:spacing w:after="0"/>
              <w:rPr>
                <w:sz w:val="2"/>
                <w:szCs w:val="2"/>
                <w:color w:val="auto"/>
              </w:rPr>
            </w:pPr>
          </w:p>
        </w:tc>
        <w:tc>
          <w:tcPr>
            <w:tcW w:w="13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80" w:type="dxa"/>
            <w:vAlign w:val="bottom"/>
            <w:tcBorders>
              <w:top w:val="single" w:sz="8" w:color="F2F2F2"/>
            </w:tcBorders>
            <w:shd w:val="clear" w:color="auto" w:fill="F2F2F2"/>
          </w:tcPr>
          <w:p>
            <w:pPr>
              <w:spacing w:after="0"/>
              <w:rPr>
                <w:sz w:val="2"/>
                <w:szCs w:val="2"/>
                <w:color w:val="auto"/>
              </w:rPr>
            </w:pPr>
          </w:p>
        </w:tc>
        <w:tc>
          <w:tcPr>
            <w:tcW w:w="1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300" w:type="dxa"/>
            <w:vAlign w:val="bottom"/>
            <w:tcBorders>
              <w:top w:val="single" w:sz="8" w:color="F2F2F2"/>
            </w:tcBorders>
            <w:shd w:val="clear" w:color="auto" w:fill="F2F2F2"/>
          </w:tcPr>
          <w:p>
            <w:pPr>
              <w:spacing w:after="0"/>
              <w:rPr>
                <w:sz w:val="2"/>
                <w:szCs w:val="2"/>
                <w:color w:val="auto"/>
              </w:rPr>
            </w:pPr>
          </w:p>
        </w:tc>
        <w:tc>
          <w:tcPr>
            <w:tcW w:w="1500" w:type="dxa"/>
            <w:vAlign w:val="bottom"/>
            <w:tcBorders>
              <w:top w:val="single" w:sz="8" w:color="F2F2F2"/>
            </w:tcBorders>
            <w:shd w:val="clear" w:color="auto" w:fill="F2F2F2"/>
          </w:tcPr>
          <w:p>
            <w:pPr>
              <w:spacing w:after="0"/>
              <w:rPr>
                <w:sz w:val="2"/>
                <w:szCs w:val="2"/>
                <w:color w:val="auto"/>
              </w:rPr>
            </w:pPr>
          </w:p>
        </w:tc>
      </w:tr>
    </w:tbl>
    <w:p>
      <w:pPr>
        <w:spacing w:after="0" w:line="1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SECURITY OWNERSHIP OF CERTAIN BENEFICIAL OWNERS AND MANAGEMENT</w:t>
      </w:r>
    </w:p>
    <w:p>
      <w:pPr>
        <w:spacing w:after="0" w:line="339"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Except as otherwise indicated, the following table and accompanying footnotes show information regarding the beneficial ownership of our common stock as of November 28, 2025 by:</w:t>
      </w:r>
    </w:p>
    <w:p>
      <w:pPr>
        <w:spacing w:after="0" w:line="59" w:lineRule="exact"/>
        <w:rPr>
          <w:sz w:val="20"/>
          <w:szCs w:val="20"/>
          <w:color w:val="auto"/>
        </w:rPr>
      </w:pPr>
    </w:p>
    <w:p>
      <w:pPr>
        <w:ind w:left="1640" w:hanging="323"/>
        <w:spacing w:after="0"/>
        <w:tabs>
          <w:tab w:leader="none" w:pos="1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person who is known by us to own beneficially more than 5% of our common stock;</w:t>
      </w:r>
    </w:p>
    <w:p>
      <w:pPr>
        <w:spacing w:after="0" w:line="117" w:lineRule="exact"/>
        <w:rPr>
          <w:rFonts w:ascii="Arial" w:cs="Arial" w:eastAsia="Arial" w:hAnsi="Arial"/>
          <w:sz w:val="18"/>
          <w:szCs w:val="18"/>
          <w:color w:val="auto"/>
        </w:rPr>
      </w:pPr>
    </w:p>
    <w:p>
      <w:pPr>
        <w:ind w:left="1640" w:hanging="323"/>
        <w:spacing w:after="0"/>
        <w:tabs>
          <w:tab w:leader="none" w:pos="1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current director and nominee for director;</w:t>
      </w:r>
    </w:p>
    <w:p>
      <w:pPr>
        <w:spacing w:after="0" w:line="117" w:lineRule="exact"/>
        <w:rPr>
          <w:rFonts w:ascii="Arial" w:cs="Arial" w:eastAsia="Arial" w:hAnsi="Arial"/>
          <w:sz w:val="18"/>
          <w:szCs w:val="18"/>
          <w:color w:val="auto"/>
        </w:rPr>
      </w:pPr>
    </w:p>
    <w:p>
      <w:pPr>
        <w:ind w:left="1640" w:hanging="323"/>
        <w:spacing w:after="0"/>
        <w:tabs>
          <w:tab w:leader="none" w:pos="1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117" w:lineRule="exact"/>
        <w:rPr>
          <w:rFonts w:ascii="Arial" w:cs="Arial" w:eastAsia="Arial" w:hAnsi="Arial"/>
          <w:sz w:val="18"/>
          <w:szCs w:val="18"/>
          <w:color w:val="auto"/>
        </w:rPr>
      </w:pPr>
    </w:p>
    <w:p>
      <w:pPr>
        <w:ind w:left="1640" w:hanging="323"/>
        <w:spacing w:after="0"/>
        <w:tabs>
          <w:tab w:leader="none" w:pos="1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212" w:lineRule="exact"/>
        <w:rPr>
          <w:sz w:val="20"/>
          <w:szCs w:val="20"/>
          <w:color w:val="auto"/>
        </w:rPr>
      </w:pPr>
    </w:p>
    <w:p>
      <w:pPr>
        <w:jc w:val="both"/>
        <w:ind w:left="120" w:right="20" w:firstLine="551"/>
        <w:spacing w:after="0" w:line="244" w:lineRule="auto"/>
        <w:rPr>
          <w:sz w:val="20"/>
          <w:szCs w:val="20"/>
          <w:color w:val="auto"/>
        </w:rPr>
      </w:pPr>
      <w:r>
        <w:rPr>
          <w:rFonts w:ascii="Arial" w:cs="Arial" w:eastAsia="Arial" w:hAnsi="Arial"/>
          <w:sz w:val="18"/>
          <w:szCs w:val="18"/>
          <w:color w:val="auto"/>
        </w:rPr>
        <w:t>As of the dates indicated in footnotes (3) and (4) below, publicly available information indicated that certain stockholders were beneficial owners of more than 5% of the outstanding shares of our common stock. The information in the table below is as reported in their filings with the U.S. Securities and Exchange Commission (“SEC”). The percentages noted in the table are as provided by such beneficial owners as of the date of their filing and not as of November 28, 2025. Based on a review of such SEC filings, we are not aware of any other beneficial owner of more than five percent of our common stock.</w:t>
      </w:r>
    </w:p>
    <w:p>
      <w:pPr>
        <w:spacing w:after="0" w:line="176" w:lineRule="exact"/>
        <w:rPr>
          <w:sz w:val="20"/>
          <w:szCs w:val="20"/>
          <w:color w:val="auto"/>
        </w:rPr>
      </w:pPr>
    </w:p>
    <w:p>
      <w:pPr>
        <w:jc w:val="both"/>
        <w:ind w:left="120" w:right="20" w:firstLine="551"/>
        <w:spacing w:after="0"/>
        <w:rPr>
          <w:sz w:val="20"/>
          <w:szCs w:val="20"/>
          <w:color w:val="auto"/>
        </w:rPr>
      </w:pPr>
      <w:r>
        <w:rPr>
          <w:rFonts w:ascii="Arial" w:cs="Arial" w:eastAsia="Arial" w:hAnsi="Arial"/>
          <w:sz w:val="18"/>
          <w:szCs w:val="18"/>
          <w:color w:val="auto"/>
        </w:rPr>
        <w:t>Shares of common stock underlying options that are currently exercisable or exercisable within 60 days are considered outstanding and beneficially owned by the person holding the options for the purposes of computing the percentage ownership of that person, but are not treated as outstanding for the purpose of computing the percentage ownership of any other person. Similarly, shares of common stock underlying RSUs, PSUs or MSUs that vest within 60 days are considered outstanding and beneficially owned by the person holding the RSUs, PSUs or MSUs for the purposes of computing the percentage ownership of that person, but are not treated as outstanding for the purpose of computing the percentage ownership of any other person. As of November 28, 2025, 23,690,661 shares of common stock were outstanding.</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57"/>
        </w:trPr>
        <w:tc>
          <w:tcPr>
            <w:tcW w:w="7940" w:type="dxa"/>
            <w:vAlign w:val="bottom"/>
            <w:tcBorders>
              <w:top w:val="single" w:sz="8" w:color="376DB5"/>
              <w:bottom w:val="single" w:sz="8" w:color="376DB5"/>
            </w:tcBorders>
            <w:gridSpan w:val="2"/>
          </w:tcPr>
          <w:p>
            <w:pPr>
              <w:spacing w:after="0"/>
              <w:rPr>
                <w:sz w:val="20"/>
                <w:szCs w:val="20"/>
                <w:color w:val="auto"/>
              </w:rPr>
            </w:pPr>
            <w:r>
              <w:rPr>
                <w:rFonts w:ascii="Arial" w:cs="Arial" w:eastAsia="Arial" w:hAnsi="Arial"/>
                <w:sz w:val="18"/>
                <w:szCs w:val="18"/>
                <w:color w:val="376DB5"/>
              </w:rPr>
              <w:t>Directors, Director Nominees, Named Executive Officers,</w:t>
            </w:r>
          </w:p>
        </w:tc>
        <w:tc>
          <w:tcPr>
            <w:tcW w:w="3080" w:type="dxa"/>
            <w:vAlign w:val="bottom"/>
            <w:tcBorders>
              <w:top w:val="single" w:sz="8" w:color="376DB5"/>
              <w:bottom w:val="single" w:sz="8" w:color="376DB5"/>
            </w:tcBorders>
            <w:gridSpan w:val="2"/>
          </w:tcPr>
          <w:p>
            <w:pPr>
              <w:jc w:val="right"/>
              <w:ind w:right="430"/>
              <w:spacing w:after="0" w:line="256" w:lineRule="exact"/>
              <w:rPr>
                <w:sz w:val="20"/>
                <w:szCs w:val="20"/>
                <w:color w:val="auto"/>
              </w:rPr>
            </w:pPr>
            <w:r>
              <w:rPr>
                <w:rFonts w:ascii="Arial" w:cs="Arial" w:eastAsia="Arial" w:hAnsi="Arial"/>
                <w:sz w:val="18"/>
                <w:szCs w:val="18"/>
                <w:color w:val="376DB5"/>
              </w:rPr>
              <w:t>Beneficial Ownership</w:t>
            </w:r>
            <w:r>
              <w:rPr>
                <w:rFonts w:ascii="Arial" w:cs="Arial" w:eastAsia="Arial" w:hAnsi="Arial"/>
                <w:sz w:val="26"/>
                <w:szCs w:val="26"/>
                <w:color w:val="376DB5"/>
                <w:vertAlign w:val="superscript"/>
              </w:rPr>
              <w:t>(1)</w:t>
            </w:r>
            <w:r>
              <w:rPr>
                <w:rFonts w:ascii="Arial" w:cs="Arial" w:eastAsia="Arial" w:hAnsi="Arial"/>
                <w:sz w:val="18"/>
                <w:szCs w:val="18"/>
                <w:color w:val="376DB5"/>
              </w:rPr>
              <w:t xml:space="preserve"> </w:t>
            </w:r>
          </w:p>
        </w:tc>
      </w:tr>
      <w:tr>
        <w:trPr>
          <w:trHeight w:val="277"/>
        </w:trPr>
        <w:tc>
          <w:tcPr>
            <w:tcW w:w="7940" w:type="dxa"/>
            <w:vAlign w:val="bottom"/>
            <w:tcBorders>
              <w:bottom w:val="single" w:sz="8" w:color="376DB5"/>
            </w:tcBorders>
            <w:gridSpan w:val="2"/>
          </w:tcPr>
          <w:p>
            <w:pPr>
              <w:spacing w:after="0"/>
              <w:rPr>
                <w:sz w:val="20"/>
                <w:szCs w:val="20"/>
                <w:color w:val="auto"/>
              </w:rPr>
            </w:pPr>
            <w:r>
              <w:rPr>
                <w:rFonts w:ascii="Arial" w:cs="Arial" w:eastAsia="Arial" w:hAnsi="Arial"/>
                <w:sz w:val="18"/>
                <w:szCs w:val="18"/>
                <w:color w:val="376DB5"/>
              </w:rPr>
              <w:t>Executive Officers and 5% Stockholders</w:t>
            </w:r>
          </w:p>
        </w:tc>
        <w:tc>
          <w:tcPr>
            <w:tcW w:w="1500" w:type="dxa"/>
            <w:vAlign w:val="bottom"/>
            <w:tcBorders>
              <w:bottom w:val="single" w:sz="8" w:color="376DB5"/>
            </w:tcBorders>
          </w:tcPr>
          <w:p>
            <w:pPr>
              <w:jc w:val="right"/>
              <w:ind w:right="350"/>
              <w:spacing w:after="0"/>
              <w:rPr>
                <w:sz w:val="20"/>
                <w:szCs w:val="20"/>
                <w:color w:val="auto"/>
              </w:rPr>
            </w:pPr>
            <w:r>
              <w:rPr>
                <w:rFonts w:ascii="Arial" w:cs="Arial" w:eastAsia="Arial" w:hAnsi="Arial"/>
                <w:sz w:val="18"/>
                <w:szCs w:val="18"/>
                <w:color w:val="376DB5"/>
              </w:rPr>
              <w:t>Number</w:t>
            </w:r>
          </w:p>
        </w:tc>
        <w:tc>
          <w:tcPr>
            <w:tcW w:w="1580" w:type="dxa"/>
            <w:vAlign w:val="bottom"/>
            <w:tcBorders>
              <w:bottom w:val="single" w:sz="8" w:color="376DB5"/>
            </w:tcBorders>
          </w:tcPr>
          <w:p>
            <w:pPr>
              <w:jc w:val="right"/>
              <w:ind w:right="370"/>
              <w:spacing w:after="0" w:line="277" w:lineRule="exact"/>
              <w:rPr>
                <w:sz w:val="20"/>
                <w:szCs w:val="20"/>
                <w:color w:val="auto"/>
              </w:rPr>
            </w:pPr>
            <w:r>
              <w:rPr>
                <w:rFonts w:ascii="Arial" w:cs="Arial" w:eastAsia="Arial" w:hAnsi="Arial"/>
                <w:sz w:val="18"/>
                <w:szCs w:val="18"/>
                <w:color w:val="376DB5"/>
              </w:rPr>
              <w:t>Percent</w:t>
            </w:r>
            <w:r>
              <w:rPr>
                <w:rFonts w:ascii="Arial" w:cs="Arial" w:eastAsia="Arial" w:hAnsi="Arial"/>
                <w:sz w:val="26"/>
                <w:szCs w:val="26"/>
                <w:color w:val="376DB5"/>
                <w:vertAlign w:val="superscript"/>
              </w:rPr>
              <w:t>(2)</w:t>
            </w:r>
            <w:r>
              <w:rPr>
                <w:rFonts w:ascii="Arial" w:cs="Arial" w:eastAsia="Arial" w:hAnsi="Arial"/>
                <w:sz w:val="18"/>
                <w:szCs w:val="18"/>
                <w:color w:val="376DB5"/>
              </w:rPr>
              <w:t xml:space="preserve"> </w:t>
            </w:r>
          </w:p>
        </w:tc>
      </w:tr>
      <w:tr>
        <w:trPr>
          <w:trHeight w:val="191"/>
        </w:trPr>
        <w:tc>
          <w:tcPr>
            <w:tcW w:w="7940" w:type="dxa"/>
            <w:vAlign w:val="bottom"/>
            <w:gridSpan w:val="2"/>
          </w:tcPr>
          <w:p>
            <w:pPr>
              <w:spacing w:after="0" w:line="190" w:lineRule="exact"/>
              <w:rPr>
                <w:sz w:val="20"/>
                <w:szCs w:val="20"/>
                <w:color w:val="auto"/>
              </w:rPr>
            </w:pPr>
            <w:r>
              <w:rPr>
                <w:rFonts w:ascii="Arial" w:cs="Arial" w:eastAsia="Arial" w:hAnsi="Arial"/>
                <w:sz w:val="16"/>
                <w:szCs w:val="16"/>
                <w:color w:val="auto"/>
              </w:rPr>
              <w:t>Vanguard Group, Inc.</w:t>
            </w:r>
            <w:r>
              <w:rPr>
                <w:rFonts w:ascii="Arial" w:cs="Arial" w:eastAsia="Arial" w:hAnsi="Arial"/>
                <w:sz w:val="22"/>
                <w:szCs w:val="22"/>
                <w:color w:val="auto"/>
                <w:vertAlign w:val="superscript"/>
              </w:rPr>
              <w:t>(3)</w:t>
            </w:r>
          </w:p>
        </w:tc>
        <w:tc>
          <w:tcPr>
            <w:tcW w:w="1500" w:type="dxa"/>
            <w:vAlign w:val="bottom"/>
          </w:tcPr>
          <w:p>
            <w:pPr>
              <w:jc w:val="right"/>
              <w:ind w:right="210"/>
              <w:spacing w:after="0" w:line="191" w:lineRule="exact"/>
              <w:rPr>
                <w:sz w:val="20"/>
                <w:szCs w:val="20"/>
                <w:color w:val="auto"/>
              </w:rPr>
            </w:pPr>
            <w:r>
              <w:rPr>
                <w:rFonts w:ascii="Arial" w:cs="Arial" w:eastAsia="Arial" w:hAnsi="Arial"/>
                <w:sz w:val="18"/>
                <w:szCs w:val="18"/>
                <w:color w:val="auto"/>
              </w:rPr>
              <w:t>3,069,749</w:t>
            </w:r>
          </w:p>
        </w:tc>
        <w:tc>
          <w:tcPr>
            <w:tcW w:w="1580" w:type="dxa"/>
            <w:vAlign w:val="bottom"/>
          </w:tcPr>
          <w:p>
            <w:pPr>
              <w:jc w:val="right"/>
              <w:ind w:right="370"/>
              <w:spacing w:after="0" w:line="191" w:lineRule="exact"/>
              <w:rPr>
                <w:sz w:val="20"/>
                <w:szCs w:val="20"/>
                <w:color w:val="auto"/>
              </w:rPr>
            </w:pPr>
            <w:r>
              <w:rPr>
                <w:rFonts w:ascii="Arial" w:cs="Arial" w:eastAsia="Arial" w:hAnsi="Arial"/>
                <w:sz w:val="18"/>
                <w:szCs w:val="18"/>
                <w:color w:val="auto"/>
              </w:rPr>
              <w:t>12.78%</w:t>
            </w:r>
          </w:p>
        </w:tc>
      </w:tr>
      <w:tr>
        <w:trPr>
          <w:trHeight w:val="244"/>
        </w:trPr>
        <w:tc>
          <w:tcPr>
            <w:tcW w:w="120" w:type="dxa"/>
            <w:vAlign w:val="bottom"/>
          </w:tcPr>
          <w:p>
            <w:pPr>
              <w:spacing w:after="0"/>
              <w:rPr>
                <w:sz w:val="21"/>
                <w:szCs w:val="21"/>
                <w:color w:val="auto"/>
              </w:rPr>
            </w:pPr>
          </w:p>
        </w:tc>
        <w:tc>
          <w:tcPr>
            <w:tcW w:w="7820" w:type="dxa"/>
            <w:vAlign w:val="bottom"/>
          </w:tcPr>
          <w:p>
            <w:pPr>
              <w:ind w:left="60"/>
              <w:spacing w:after="0"/>
              <w:rPr>
                <w:sz w:val="20"/>
                <w:szCs w:val="20"/>
                <w:color w:val="auto"/>
              </w:rPr>
            </w:pPr>
            <w:r>
              <w:rPr>
                <w:rFonts w:ascii="Arial" w:cs="Arial" w:eastAsia="Arial" w:hAnsi="Arial"/>
                <w:sz w:val="18"/>
                <w:szCs w:val="18"/>
                <w:color w:val="auto"/>
              </w:rPr>
              <w:t>100 Vanguard Blvd., Malvern, PA 19355</w:t>
            </w:r>
          </w:p>
        </w:tc>
        <w:tc>
          <w:tcPr>
            <w:tcW w:w="15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15"/>
        </w:trPr>
        <w:tc>
          <w:tcPr>
            <w:tcW w:w="7940" w:type="dxa"/>
            <w:vAlign w:val="bottom"/>
            <w:gridSpan w:val="2"/>
            <w:shd w:val="clear" w:color="auto" w:fill="F2F2F2"/>
          </w:tcPr>
          <w:p>
            <w:pPr>
              <w:spacing w:after="0" w:line="216" w:lineRule="exact"/>
              <w:rPr>
                <w:sz w:val="20"/>
                <w:szCs w:val="20"/>
                <w:color w:val="auto"/>
              </w:rPr>
            </w:pPr>
            <w:r>
              <w:rPr>
                <w:rFonts w:ascii="Arial" w:cs="Arial" w:eastAsia="Arial" w:hAnsi="Arial"/>
                <w:sz w:val="17"/>
                <w:szCs w:val="17"/>
                <w:color w:val="auto"/>
              </w:rPr>
              <w:t>BlackRock, Inc.</w:t>
            </w:r>
            <w:r>
              <w:rPr>
                <w:rFonts w:ascii="Arial" w:cs="Arial" w:eastAsia="Arial" w:hAnsi="Arial"/>
                <w:sz w:val="24"/>
                <w:szCs w:val="24"/>
                <w:color w:val="auto"/>
                <w:vertAlign w:val="superscript"/>
              </w:rPr>
              <w:t>(4)</w:t>
            </w:r>
          </w:p>
        </w:tc>
        <w:tc>
          <w:tcPr>
            <w:tcW w:w="1500" w:type="dxa"/>
            <w:vAlign w:val="bottom"/>
            <w:shd w:val="clear" w:color="auto" w:fill="F2F2F2"/>
          </w:tcPr>
          <w:p>
            <w:pPr>
              <w:jc w:val="right"/>
              <w:ind w:right="210"/>
              <w:spacing w:after="0"/>
              <w:rPr>
                <w:sz w:val="20"/>
                <w:szCs w:val="20"/>
                <w:color w:val="auto"/>
              </w:rPr>
            </w:pPr>
            <w:r>
              <w:rPr>
                <w:rFonts w:ascii="Arial" w:cs="Arial" w:eastAsia="Arial" w:hAnsi="Arial"/>
                <w:sz w:val="18"/>
                <w:szCs w:val="18"/>
                <w:color w:val="auto"/>
              </w:rPr>
              <w:t>2,101,659</w:t>
            </w:r>
          </w:p>
        </w:tc>
        <w:tc>
          <w:tcPr>
            <w:tcW w:w="1580" w:type="dxa"/>
            <w:vAlign w:val="bottom"/>
            <w:shd w:val="clear" w:color="auto" w:fill="F2F2F2"/>
          </w:tcPr>
          <w:p>
            <w:pPr>
              <w:jc w:val="right"/>
              <w:ind w:right="370"/>
              <w:spacing w:after="0"/>
              <w:rPr>
                <w:sz w:val="20"/>
                <w:szCs w:val="20"/>
                <w:color w:val="auto"/>
              </w:rPr>
            </w:pPr>
            <w:r>
              <w:rPr>
                <w:rFonts w:ascii="Arial" w:cs="Arial" w:eastAsia="Arial" w:hAnsi="Arial"/>
                <w:sz w:val="18"/>
                <w:szCs w:val="18"/>
                <w:color w:val="auto"/>
              </w:rPr>
              <w:t>8.60%</w:t>
            </w:r>
          </w:p>
        </w:tc>
      </w:tr>
      <w:tr>
        <w:trPr>
          <w:trHeight w:val="248"/>
        </w:trPr>
        <w:tc>
          <w:tcPr>
            <w:tcW w:w="120" w:type="dxa"/>
            <w:vAlign w:val="bottom"/>
            <w:shd w:val="clear" w:color="auto" w:fill="F2F2F2"/>
          </w:tcPr>
          <w:p>
            <w:pPr>
              <w:spacing w:after="0"/>
              <w:rPr>
                <w:sz w:val="21"/>
                <w:szCs w:val="21"/>
                <w:color w:val="auto"/>
              </w:rPr>
            </w:pPr>
          </w:p>
        </w:tc>
        <w:tc>
          <w:tcPr>
            <w:tcW w:w="7820" w:type="dxa"/>
            <w:vAlign w:val="bottom"/>
            <w:shd w:val="clear" w:color="auto" w:fill="F2F2F2"/>
          </w:tcPr>
          <w:p>
            <w:pPr>
              <w:ind w:left="60"/>
              <w:spacing w:after="0"/>
              <w:rPr>
                <w:sz w:val="20"/>
                <w:szCs w:val="20"/>
                <w:color w:val="auto"/>
              </w:rPr>
            </w:pPr>
            <w:r>
              <w:rPr>
                <w:rFonts w:ascii="Arial" w:cs="Arial" w:eastAsia="Arial" w:hAnsi="Arial"/>
                <w:sz w:val="18"/>
                <w:szCs w:val="18"/>
                <w:color w:val="auto"/>
              </w:rPr>
              <w:t>50 Hudson Yards, New York, NY 10001</w:t>
            </w:r>
          </w:p>
        </w:tc>
        <w:tc>
          <w:tcPr>
            <w:tcW w:w="1500" w:type="dxa"/>
            <w:vAlign w:val="bottom"/>
            <w:shd w:val="clear" w:color="auto" w:fill="F2F2F2"/>
          </w:tcPr>
          <w:p>
            <w:pPr>
              <w:spacing w:after="0"/>
              <w:rPr>
                <w:sz w:val="21"/>
                <w:szCs w:val="21"/>
                <w:color w:val="auto"/>
              </w:rPr>
            </w:pPr>
          </w:p>
        </w:tc>
        <w:tc>
          <w:tcPr>
            <w:tcW w:w="1580" w:type="dxa"/>
            <w:vAlign w:val="bottom"/>
            <w:shd w:val="clear" w:color="auto" w:fill="F2F2F2"/>
          </w:tcPr>
          <w:p>
            <w:pPr>
              <w:spacing w:after="0"/>
              <w:rPr>
                <w:sz w:val="21"/>
                <w:szCs w:val="21"/>
                <w:color w:val="auto"/>
              </w:rPr>
            </w:pPr>
          </w:p>
        </w:tc>
      </w:tr>
      <w:tr>
        <w:trPr>
          <w:trHeight w:val="256"/>
        </w:trPr>
        <w:tc>
          <w:tcPr>
            <w:tcW w:w="7940" w:type="dxa"/>
            <w:vAlign w:val="bottom"/>
            <w:gridSpan w:val="2"/>
          </w:tcPr>
          <w:p>
            <w:pPr>
              <w:spacing w:after="0" w:line="256" w:lineRule="exact"/>
              <w:rPr>
                <w:sz w:val="20"/>
                <w:szCs w:val="20"/>
                <w:color w:val="auto"/>
              </w:rPr>
            </w:pPr>
            <w:r>
              <w:rPr>
                <w:rFonts w:ascii="Arial" w:cs="Arial" w:eastAsia="Arial" w:hAnsi="Arial"/>
                <w:sz w:val="18"/>
                <w:szCs w:val="18"/>
                <w:color w:val="auto"/>
              </w:rPr>
              <w:t>William Lansing</w:t>
            </w:r>
            <w:r>
              <w:rPr>
                <w:rFonts w:ascii="Arial" w:cs="Arial" w:eastAsia="Arial" w:hAnsi="Arial"/>
                <w:sz w:val="26"/>
                <w:szCs w:val="26"/>
                <w:color w:val="auto"/>
                <w:vertAlign w:val="superscript"/>
              </w:rPr>
              <w:t>(5)</w:t>
            </w: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420,431</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1.77%</w:t>
            </w:r>
          </w:p>
        </w:tc>
      </w:tr>
      <w:tr>
        <w:trPr>
          <w:trHeight w:val="257"/>
        </w:trPr>
        <w:tc>
          <w:tcPr>
            <w:tcW w:w="7940" w:type="dxa"/>
            <w:vAlign w:val="bottom"/>
            <w:gridSpan w:val="2"/>
            <w:shd w:val="clear" w:color="auto" w:fill="F2F2F2"/>
          </w:tcPr>
          <w:p>
            <w:pPr>
              <w:spacing w:after="0" w:line="256" w:lineRule="exact"/>
              <w:rPr>
                <w:sz w:val="20"/>
                <w:szCs w:val="20"/>
                <w:color w:val="auto"/>
              </w:rPr>
            </w:pPr>
            <w:r>
              <w:rPr>
                <w:rFonts w:ascii="Arial" w:cs="Arial" w:eastAsia="Arial" w:hAnsi="Arial"/>
                <w:sz w:val="18"/>
                <w:szCs w:val="18"/>
                <w:color w:val="auto"/>
              </w:rPr>
              <w:t>Mark Scadina</w:t>
            </w:r>
            <w:r>
              <w:rPr>
                <w:rFonts w:ascii="Arial" w:cs="Arial" w:eastAsia="Arial" w:hAnsi="Arial"/>
                <w:sz w:val="26"/>
                <w:szCs w:val="26"/>
                <w:color w:val="auto"/>
                <w:vertAlign w:val="superscript"/>
              </w:rPr>
              <w:t>(6)</w:t>
            </w:r>
          </w:p>
        </w:tc>
        <w:tc>
          <w:tcPr>
            <w:tcW w:w="1500" w:type="dxa"/>
            <w:vAlign w:val="bottom"/>
            <w:shd w:val="clear" w:color="auto" w:fill="F2F2F2"/>
          </w:tcPr>
          <w:p>
            <w:pPr>
              <w:jc w:val="right"/>
              <w:ind w:right="210"/>
              <w:spacing w:after="0"/>
              <w:rPr>
                <w:sz w:val="20"/>
                <w:szCs w:val="20"/>
                <w:color w:val="auto"/>
              </w:rPr>
            </w:pPr>
            <w:r>
              <w:rPr>
                <w:rFonts w:ascii="Arial" w:cs="Arial" w:eastAsia="Arial" w:hAnsi="Arial"/>
                <w:sz w:val="18"/>
                <w:szCs w:val="18"/>
                <w:color w:val="auto"/>
              </w:rPr>
              <w:t>120,128</w:t>
            </w:r>
          </w:p>
        </w:tc>
        <w:tc>
          <w:tcPr>
            <w:tcW w:w="1580" w:type="dxa"/>
            <w:vAlign w:val="bottom"/>
            <w:shd w:val="clear" w:color="auto" w:fill="F2F2F2"/>
          </w:tcPr>
          <w:p>
            <w:pPr>
              <w:jc w:val="right"/>
              <w:ind w:right="550"/>
              <w:spacing w:after="0"/>
              <w:rPr>
                <w:sz w:val="20"/>
                <w:szCs w:val="20"/>
                <w:color w:val="auto"/>
              </w:rPr>
            </w:pPr>
            <w:r>
              <w:rPr>
                <w:rFonts w:ascii="Arial" w:cs="Arial" w:eastAsia="Arial" w:hAnsi="Arial"/>
                <w:sz w:val="18"/>
                <w:szCs w:val="18"/>
                <w:color w:val="auto"/>
              </w:rPr>
              <w:t>*</w:t>
            </w:r>
          </w:p>
        </w:tc>
      </w:tr>
      <w:tr>
        <w:trPr>
          <w:trHeight w:val="256"/>
        </w:trPr>
        <w:tc>
          <w:tcPr>
            <w:tcW w:w="7940" w:type="dxa"/>
            <w:vAlign w:val="bottom"/>
            <w:gridSpan w:val="2"/>
          </w:tcPr>
          <w:p>
            <w:pPr>
              <w:spacing w:after="0" w:line="256" w:lineRule="exact"/>
              <w:rPr>
                <w:sz w:val="20"/>
                <w:szCs w:val="20"/>
                <w:color w:val="auto"/>
              </w:rPr>
            </w:pPr>
            <w:r>
              <w:rPr>
                <w:rFonts w:ascii="Arial" w:cs="Arial" w:eastAsia="Arial" w:hAnsi="Arial"/>
                <w:sz w:val="18"/>
                <w:szCs w:val="18"/>
                <w:color w:val="auto"/>
              </w:rPr>
              <w:t>Richard Deal</w:t>
            </w:r>
            <w:r>
              <w:rPr>
                <w:rFonts w:ascii="Arial" w:cs="Arial" w:eastAsia="Arial" w:hAnsi="Arial"/>
                <w:sz w:val="26"/>
                <w:szCs w:val="26"/>
                <w:color w:val="auto"/>
                <w:vertAlign w:val="superscript"/>
              </w:rPr>
              <w:t>(7)</w:t>
            </w: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64,476</w:t>
            </w:r>
          </w:p>
        </w:tc>
        <w:tc>
          <w:tcPr>
            <w:tcW w:w="1580" w:type="dxa"/>
            <w:vAlign w:val="bottom"/>
          </w:tcPr>
          <w:p>
            <w:pPr>
              <w:jc w:val="right"/>
              <w:ind w:right="550"/>
              <w:spacing w:after="0"/>
              <w:rPr>
                <w:sz w:val="20"/>
                <w:szCs w:val="20"/>
                <w:color w:val="auto"/>
              </w:rPr>
            </w:pPr>
            <w:r>
              <w:rPr>
                <w:rFonts w:ascii="Arial" w:cs="Arial" w:eastAsia="Arial" w:hAnsi="Arial"/>
                <w:sz w:val="18"/>
                <w:szCs w:val="18"/>
                <w:color w:val="auto"/>
              </w:rPr>
              <w:t>*</w:t>
            </w:r>
          </w:p>
        </w:tc>
      </w:tr>
      <w:tr>
        <w:trPr>
          <w:trHeight w:val="257"/>
        </w:trPr>
        <w:tc>
          <w:tcPr>
            <w:tcW w:w="7940" w:type="dxa"/>
            <w:vAlign w:val="bottom"/>
            <w:gridSpan w:val="2"/>
            <w:shd w:val="clear" w:color="auto" w:fill="F2F2F2"/>
          </w:tcPr>
          <w:p>
            <w:pPr>
              <w:spacing w:after="0"/>
              <w:rPr>
                <w:sz w:val="20"/>
                <w:szCs w:val="20"/>
                <w:color w:val="auto"/>
              </w:rPr>
            </w:pPr>
            <w:r>
              <w:rPr>
                <w:rFonts w:ascii="Arial" w:cs="Arial" w:eastAsia="Arial" w:hAnsi="Arial"/>
                <w:sz w:val="18"/>
                <w:szCs w:val="18"/>
                <w:color w:val="auto"/>
              </w:rPr>
              <w:t>James Wehmann</w:t>
            </w:r>
          </w:p>
        </w:tc>
        <w:tc>
          <w:tcPr>
            <w:tcW w:w="1500" w:type="dxa"/>
            <w:vAlign w:val="bottom"/>
            <w:shd w:val="clear" w:color="auto" w:fill="F2F2F2"/>
          </w:tcPr>
          <w:p>
            <w:pPr>
              <w:jc w:val="right"/>
              <w:ind w:right="210"/>
              <w:spacing w:after="0"/>
              <w:rPr>
                <w:sz w:val="20"/>
                <w:szCs w:val="20"/>
                <w:color w:val="auto"/>
              </w:rPr>
            </w:pPr>
            <w:r>
              <w:rPr>
                <w:rFonts w:ascii="Arial" w:cs="Arial" w:eastAsia="Arial" w:hAnsi="Arial"/>
                <w:sz w:val="18"/>
                <w:szCs w:val="18"/>
                <w:color w:val="auto"/>
              </w:rPr>
              <w:t>51,911</w:t>
            </w:r>
          </w:p>
        </w:tc>
        <w:tc>
          <w:tcPr>
            <w:tcW w:w="1580" w:type="dxa"/>
            <w:vAlign w:val="bottom"/>
            <w:shd w:val="clear" w:color="auto" w:fill="F2F2F2"/>
          </w:tcPr>
          <w:p>
            <w:pPr>
              <w:jc w:val="right"/>
              <w:ind w:right="550"/>
              <w:spacing w:after="0"/>
              <w:rPr>
                <w:sz w:val="20"/>
                <w:szCs w:val="20"/>
                <w:color w:val="auto"/>
              </w:rPr>
            </w:pPr>
            <w:r>
              <w:rPr>
                <w:rFonts w:ascii="Arial" w:cs="Arial" w:eastAsia="Arial" w:hAnsi="Arial"/>
                <w:sz w:val="18"/>
                <w:szCs w:val="18"/>
                <w:color w:val="auto"/>
              </w:rPr>
              <w:t>*</w:t>
            </w:r>
          </w:p>
        </w:tc>
      </w:tr>
      <w:tr>
        <w:trPr>
          <w:trHeight w:val="257"/>
        </w:trPr>
        <w:tc>
          <w:tcPr>
            <w:tcW w:w="7940" w:type="dxa"/>
            <w:vAlign w:val="bottom"/>
            <w:gridSpan w:val="2"/>
          </w:tcPr>
          <w:p>
            <w:pPr>
              <w:spacing w:after="0" w:line="256" w:lineRule="exact"/>
              <w:rPr>
                <w:sz w:val="20"/>
                <w:szCs w:val="20"/>
                <w:color w:val="auto"/>
              </w:rPr>
            </w:pPr>
            <w:r>
              <w:rPr>
                <w:rFonts w:ascii="Arial" w:cs="Arial" w:eastAsia="Arial" w:hAnsi="Arial"/>
                <w:sz w:val="18"/>
                <w:szCs w:val="18"/>
                <w:color w:val="auto"/>
              </w:rPr>
              <w:t>Joanna Rees</w:t>
            </w:r>
            <w:r>
              <w:rPr>
                <w:rFonts w:ascii="Arial" w:cs="Arial" w:eastAsia="Arial" w:hAnsi="Arial"/>
                <w:sz w:val="26"/>
                <w:szCs w:val="26"/>
                <w:color w:val="auto"/>
                <w:vertAlign w:val="superscript"/>
              </w:rPr>
              <w:t>(8)</w:t>
            </w: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19,504</w:t>
            </w:r>
          </w:p>
        </w:tc>
        <w:tc>
          <w:tcPr>
            <w:tcW w:w="1580" w:type="dxa"/>
            <w:vAlign w:val="bottom"/>
          </w:tcPr>
          <w:p>
            <w:pPr>
              <w:jc w:val="right"/>
              <w:ind w:right="550"/>
              <w:spacing w:after="0"/>
              <w:rPr>
                <w:sz w:val="20"/>
                <w:szCs w:val="20"/>
                <w:color w:val="auto"/>
              </w:rPr>
            </w:pPr>
            <w:r>
              <w:rPr>
                <w:rFonts w:ascii="Arial" w:cs="Arial" w:eastAsia="Arial" w:hAnsi="Arial"/>
                <w:sz w:val="18"/>
                <w:szCs w:val="18"/>
                <w:color w:val="auto"/>
              </w:rPr>
              <w:t>*</w:t>
            </w:r>
          </w:p>
        </w:tc>
      </w:tr>
      <w:tr>
        <w:trPr>
          <w:trHeight w:val="256"/>
        </w:trPr>
        <w:tc>
          <w:tcPr>
            <w:tcW w:w="7940" w:type="dxa"/>
            <w:vAlign w:val="bottom"/>
            <w:gridSpan w:val="2"/>
            <w:shd w:val="clear" w:color="auto" w:fill="F2F2F2"/>
          </w:tcPr>
          <w:p>
            <w:pPr>
              <w:spacing w:after="0" w:line="256" w:lineRule="exact"/>
              <w:rPr>
                <w:sz w:val="20"/>
                <w:szCs w:val="20"/>
                <w:color w:val="auto"/>
              </w:rPr>
            </w:pPr>
            <w:r>
              <w:rPr>
                <w:rFonts w:ascii="Arial" w:cs="Arial" w:eastAsia="Arial" w:hAnsi="Arial"/>
                <w:sz w:val="18"/>
                <w:szCs w:val="18"/>
                <w:color w:val="auto"/>
              </w:rPr>
              <w:t>Nikhil Behl</w:t>
            </w:r>
            <w:r>
              <w:rPr>
                <w:rFonts w:ascii="Arial" w:cs="Arial" w:eastAsia="Arial" w:hAnsi="Arial"/>
                <w:sz w:val="26"/>
                <w:szCs w:val="26"/>
                <w:color w:val="auto"/>
                <w:vertAlign w:val="superscript"/>
              </w:rPr>
              <w:t>(9)</w:t>
            </w:r>
          </w:p>
        </w:tc>
        <w:tc>
          <w:tcPr>
            <w:tcW w:w="1500" w:type="dxa"/>
            <w:vAlign w:val="bottom"/>
            <w:shd w:val="clear" w:color="auto" w:fill="F2F2F2"/>
          </w:tcPr>
          <w:p>
            <w:pPr>
              <w:jc w:val="right"/>
              <w:ind w:right="210"/>
              <w:spacing w:after="0"/>
              <w:rPr>
                <w:sz w:val="20"/>
                <w:szCs w:val="20"/>
                <w:color w:val="auto"/>
              </w:rPr>
            </w:pPr>
            <w:r>
              <w:rPr>
                <w:rFonts w:ascii="Arial" w:cs="Arial" w:eastAsia="Arial" w:hAnsi="Arial"/>
                <w:sz w:val="18"/>
                <w:szCs w:val="18"/>
                <w:color w:val="auto"/>
              </w:rPr>
              <w:t>18,744</w:t>
            </w:r>
          </w:p>
        </w:tc>
        <w:tc>
          <w:tcPr>
            <w:tcW w:w="1580" w:type="dxa"/>
            <w:vAlign w:val="bottom"/>
            <w:shd w:val="clear" w:color="auto" w:fill="F2F2F2"/>
          </w:tcPr>
          <w:p>
            <w:pPr>
              <w:jc w:val="right"/>
              <w:ind w:right="550"/>
              <w:spacing w:after="0"/>
              <w:rPr>
                <w:sz w:val="20"/>
                <w:szCs w:val="20"/>
                <w:color w:val="auto"/>
              </w:rPr>
            </w:pPr>
            <w:r>
              <w:rPr>
                <w:rFonts w:ascii="Arial" w:cs="Arial" w:eastAsia="Arial" w:hAnsi="Arial"/>
                <w:sz w:val="18"/>
                <w:szCs w:val="18"/>
                <w:color w:val="auto"/>
              </w:rPr>
              <w:t>*</w:t>
            </w:r>
          </w:p>
        </w:tc>
      </w:tr>
      <w:tr>
        <w:trPr>
          <w:trHeight w:val="257"/>
        </w:trPr>
        <w:tc>
          <w:tcPr>
            <w:tcW w:w="7940" w:type="dxa"/>
            <w:vAlign w:val="bottom"/>
            <w:gridSpan w:val="2"/>
          </w:tcPr>
          <w:p>
            <w:pPr>
              <w:spacing w:after="0" w:line="256" w:lineRule="exact"/>
              <w:rPr>
                <w:sz w:val="20"/>
                <w:szCs w:val="20"/>
                <w:color w:val="auto"/>
              </w:rPr>
            </w:pPr>
            <w:r>
              <w:rPr>
                <w:rFonts w:ascii="Arial" w:cs="Arial" w:eastAsia="Arial" w:hAnsi="Arial"/>
                <w:sz w:val="18"/>
                <w:szCs w:val="18"/>
                <w:color w:val="auto"/>
              </w:rPr>
              <w:t>Braden R. Kelly</w:t>
            </w:r>
            <w:r>
              <w:rPr>
                <w:rFonts w:ascii="Arial" w:cs="Arial" w:eastAsia="Arial" w:hAnsi="Arial"/>
                <w:sz w:val="26"/>
                <w:szCs w:val="26"/>
                <w:color w:val="auto"/>
                <w:vertAlign w:val="superscript"/>
              </w:rPr>
              <w:t>(10)</w:t>
            </w: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15,888</w:t>
            </w:r>
          </w:p>
        </w:tc>
        <w:tc>
          <w:tcPr>
            <w:tcW w:w="1580" w:type="dxa"/>
            <w:vAlign w:val="bottom"/>
          </w:tcPr>
          <w:p>
            <w:pPr>
              <w:jc w:val="right"/>
              <w:ind w:right="550"/>
              <w:spacing w:after="0"/>
              <w:rPr>
                <w:sz w:val="20"/>
                <w:szCs w:val="20"/>
                <w:color w:val="auto"/>
              </w:rPr>
            </w:pPr>
            <w:r>
              <w:rPr>
                <w:rFonts w:ascii="Arial" w:cs="Arial" w:eastAsia="Arial" w:hAnsi="Arial"/>
                <w:sz w:val="18"/>
                <w:szCs w:val="18"/>
                <w:color w:val="auto"/>
              </w:rPr>
              <w:t>*</w:t>
            </w:r>
          </w:p>
        </w:tc>
      </w:tr>
      <w:tr>
        <w:trPr>
          <w:trHeight w:val="256"/>
        </w:trPr>
        <w:tc>
          <w:tcPr>
            <w:tcW w:w="7940" w:type="dxa"/>
            <w:vAlign w:val="bottom"/>
            <w:gridSpan w:val="2"/>
            <w:shd w:val="clear" w:color="auto" w:fill="F2F2F2"/>
          </w:tcPr>
          <w:p>
            <w:pPr>
              <w:spacing w:after="0" w:line="256" w:lineRule="exact"/>
              <w:rPr>
                <w:sz w:val="20"/>
                <w:szCs w:val="20"/>
                <w:color w:val="auto"/>
              </w:rPr>
            </w:pPr>
            <w:r>
              <w:rPr>
                <w:rFonts w:ascii="Arial" w:cs="Arial" w:eastAsia="Arial" w:hAnsi="Arial"/>
                <w:sz w:val="18"/>
                <w:szCs w:val="18"/>
                <w:color w:val="auto"/>
              </w:rPr>
              <w:t>Eva Manolis</w:t>
            </w:r>
            <w:r>
              <w:rPr>
                <w:rFonts w:ascii="Arial" w:cs="Arial" w:eastAsia="Arial" w:hAnsi="Arial"/>
                <w:sz w:val="26"/>
                <w:szCs w:val="26"/>
                <w:color w:val="auto"/>
                <w:vertAlign w:val="superscript"/>
              </w:rPr>
              <w:t>(11)</w:t>
            </w:r>
          </w:p>
        </w:tc>
        <w:tc>
          <w:tcPr>
            <w:tcW w:w="1500" w:type="dxa"/>
            <w:vAlign w:val="bottom"/>
            <w:shd w:val="clear" w:color="auto" w:fill="F2F2F2"/>
          </w:tcPr>
          <w:p>
            <w:pPr>
              <w:jc w:val="right"/>
              <w:ind w:right="210"/>
              <w:spacing w:after="0"/>
              <w:rPr>
                <w:sz w:val="20"/>
                <w:szCs w:val="20"/>
                <w:color w:val="auto"/>
              </w:rPr>
            </w:pPr>
            <w:r>
              <w:rPr>
                <w:rFonts w:ascii="Arial" w:cs="Arial" w:eastAsia="Arial" w:hAnsi="Arial"/>
                <w:sz w:val="18"/>
                <w:szCs w:val="18"/>
                <w:color w:val="auto"/>
              </w:rPr>
              <w:t>7,547</w:t>
            </w:r>
          </w:p>
        </w:tc>
        <w:tc>
          <w:tcPr>
            <w:tcW w:w="1580" w:type="dxa"/>
            <w:vAlign w:val="bottom"/>
            <w:shd w:val="clear" w:color="auto" w:fill="F2F2F2"/>
          </w:tcPr>
          <w:p>
            <w:pPr>
              <w:jc w:val="right"/>
              <w:ind w:right="550"/>
              <w:spacing w:after="0"/>
              <w:rPr>
                <w:sz w:val="20"/>
                <w:szCs w:val="20"/>
                <w:color w:val="auto"/>
              </w:rPr>
            </w:pPr>
            <w:r>
              <w:rPr>
                <w:rFonts w:ascii="Arial" w:cs="Arial" w:eastAsia="Arial" w:hAnsi="Arial"/>
                <w:sz w:val="18"/>
                <w:szCs w:val="18"/>
                <w:color w:val="auto"/>
              </w:rPr>
              <w:t>*</w:t>
            </w:r>
          </w:p>
        </w:tc>
      </w:tr>
      <w:tr>
        <w:trPr>
          <w:trHeight w:val="257"/>
        </w:trPr>
        <w:tc>
          <w:tcPr>
            <w:tcW w:w="7940" w:type="dxa"/>
            <w:vAlign w:val="bottom"/>
            <w:gridSpan w:val="2"/>
          </w:tcPr>
          <w:p>
            <w:pPr>
              <w:spacing w:after="0" w:line="256" w:lineRule="exact"/>
              <w:rPr>
                <w:sz w:val="20"/>
                <w:szCs w:val="20"/>
                <w:color w:val="auto"/>
              </w:rPr>
            </w:pPr>
            <w:r>
              <w:rPr>
                <w:rFonts w:ascii="Arial" w:cs="Arial" w:eastAsia="Arial" w:hAnsi="Arial"/>
                <w:sz w:val="18"/>
                <w:szCs w:val="18"/>
                <w:color w:val="auto"/>
              </w:rPr>
              <w:t>David A. Rey</w:t>
            </w:r>
            <w:r>
              <w:rPr>
                <w:rFonts w:ascii="Arial" w:cs="Arial" w:eastAsia="Arial" w:hAnsi="Arial"/>
                <w:sz w:val="26"/>
                <w:szCs w:val="26"/>
                <w:color w:val="auto"/>
                <w:vertAlign w:val="superscript"/>
              </w:rPr>
              <w:t>(12)</w:t>
            </w: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7,192</w:t>
            </w:r>
          </w:p>
        </w:tc>
        <w:tc>
          <w:tcPr>
            <w:tcW w:w="1580" w:type="dxa"/>
            <w:vAlign w:val="bottom"/>
          </w:tcPr>
          <w:p>
            <w:pPr>
              <w:jc w:val="right"/>
              <w:ind w:right="550"/>
              <w:spacing w:after="0"/>
              <w:rPr>
                <w:sz w:val="20"/>
                <w:szCs w:val="20"/>
                <w:color w:val="auto"/>
              </w:rPr>
            </w:pPr>
            <w:r>
              <w:rPr>
                <w:rFonts w:ascii="Arial" w:cs="Arial" w:eastAsia="Arial" w:hAnsi="Arial"/>
                <w:sz w:val="18"/>
                <w:szCs w:val="18"/>
                <w:color w:val="auto"/>
              </w:rPr>
              <w:t>*</w:t>
            </w:r>
          </w:p>
        </w:tc>
      </w:tr>
      <w:tr>
        <w:trPr>
          <w:trHeight w:val="256"/>
        </w:trPr>
        <w:tc>
          <w:tcPr>
            <w:tcW w:w="7940" w:type="dxa"/>
            <w:vAlign w:val="bottom"/>
            <w:gridSpan w:val="2"/>
            <w:shd w:val="clear" w:color="auto" w:fill="F2F2F2"/>
          </w:tcPr>
          <w:p>
            <w:pPr>
              <w:spacing w:after="0" w:line="256" w:lineRule="exact"/>
              <w:rPr>
                <w:sz w:val="20"/>
                <w:szCs w:val="20"/>
                <w:color w:val="auto"/>
              </w:rPr>
            </w:pPr>
            <w:r>
              <w:rPr>
                <w:rFonts w:ascii="Arial" w:cs="Arial" w:eastAsia="Arial" w:hAnsi="Arial"/>
                <w:sz w:val="18"/>
                <w:szCs w:val="18"/>
                <w:color w:val="auto"/>
              </w:rPr>
              <w:t>Steven Weber</w:t>
            </w:r>
            <w:r>
              <w:rPr>
                <w:rFonts w:ascii="Arial" w:cs="Arial" w:eastAsia="Arial" w:hAnsi="Arial"/>
                <w:sz w:val="26"/>
                <w:szCs w:val="26"/>
                <w:color w:val="auto"/>
                <w:vertAlign w:val="superscript"/>
              </w:rPr>
              <w:t>(13)</w:t>
            </w:r>
          </w:p>
        </w:tc>
        <w:tc>
          <w:tcPr>
            <w:tcW w:w="1500" w:type="dxa"/>
            <w:vAlign w:val="bottom"/>
            <w:shd w:val="clear" w:color="auto" w:fill="F2F2F2"/>
          </w:tcPr>
          <w:p>
            <w:pPr>
              <w:jc w:val="right"/>
              <w:ind w:right="210"/>
              <w:spacing w:after="0"/>
              <w:rPr>
                <w:sz w:val="20"/>
                <w:szCs w:val="20"/>
                <w:color w:val="auto"/>
              </w:rPr>
            </w:pPr>
            <w:r>
              <w:rPr>
                <w:rFonts w:ascii="Arial" w:cs="Arial" w:eastAsia="Arial" w:hAnsi="Arial"/>
                <w:sz w:val="18"/>
                <w:szCs w:val="18"/>
                <w:color w:val="auto"/>
              </w:rPr>
              <w:t>6,757</w:t>
            </w:r>
          </w:p>
        </w:tc>
        <w:tc>
          <w:tcPr>
            <w:tcW w:w="1580" w:type="dxa"/>
            <w:vAlign w:val="bottom"/>
            <w:shd w:val="clear" w:color="auto" w:fill="F2F2F2"/>
          </w:tcPr>
          <w:p>
            <w:pPr>
              <w:jc w:val="right"/>
              <w:ind w:right="550"/>
              <w:spacing w:after="0"/>
              <w:rPr>
                <w:sz w:val="20"/>
                <w:szCs w:val="20"/>
                <w:color w:val="auto"/>
              </w:rPr>
            </w:pPr>
            <w:r>
              <w:rPr>
                <w:rFonts w:ascii="Arial" w:cs="Arial" w:eastAsia="Arial" w:hAnsi="Arial"/>
                <w:sz w:val="18"/>
                <w:szCs w:val="18"/>
                <w:color w:val="auto"/>
              </w:rPr>
              <w:t>*</w:t>
            </w:r>
          </w:p>
        </w:tc>
      </w:tr>
      <w:tr>
        <w:trPr>
          <w:trHeight w:val="256"/>
        </w:trPr>
        <w:tc>
          <w:tcPr>
            <w:tcW w:w="7940" w:type="dxa"/>
            <w:vAlign w:val="bottom"/>
            <w:gridSpan w:val="2"/>
          </w:tcPr>
          <w:p>
            <w:pPr>
              <w:spacing w:after="0" w:line="256" w:lineRule="exact"/>
              <w:rPr>
                <w:sz w:val="20"/>
                <w:szCs w:val="20"/>
                <w:color w:val="auto"/>
              </w:rPr>
            </w:pPr>
            <w:r>
              <w:rPr>
                <w:rFonts w:ascii="Arial" w:cs="Arial" w:eastAsia="Arial" w:hAnsi="Arial"/>
                <w:sz w:val="18"/>
                <w:szCs w:val="18"/>
                <w:color w:val="auto"/>
              </w:rPr>
              <w:t>Fabiola R. Arredondo</w:t>
            </w:r>
            <w:r>
              <w:rPr>
                <w:rFonts w:ascii="Arial" w:cs="Arial" w:eastAsia="Arial" w:hAnsi="Arial"/>
                <w:sz w:val="26"/>
                <w:szCs w:val="26"/>
                <w:color w:val="auto"/>
                <w:vertAlign w:val="superscript"/>
              </w:rPr>
              <w:t>(14)</w:t>
            </w: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6,131</w:t>
            </w:r>
          </w:p>
        </w:tc>
        <w:tc>
          <w:tcPr>
            <w:tcW w:w="1580" w:type="dxa"/>
            <w:vAlign w:val="bottom"/>
          </w:tcPr>
          <w:p>
            <w:pPr>
              <w:jc w:val="right"/>
              <w:ind w:right="550"/>
              <w:spacing w:after="0"/>
              <w:rPr>
                <w:sz w:val="20"/>
                <w:szCs w:val="20"/>
                <w:color w:val="auto"/>
              </w:rPr>
            </w:pPr>
            <w:r>
              <w:rPr>
                <w:rFonts w:ascii="Arial" w:cs="Arial" w:eastAsia="Arial" w:hAnsi="Arial"/>
                <w:sz w:val="18"/>
                <w:szCs w:val="18"/>
                <w:color w:val="auto"/>
              </w:rPr>
              <w:t>*</w:t>
            </w:r>
          </w:p>
        </w:tc>
      </w:tr>
      <w:tr>
        <w:trPr>
          <w:trHeight w:val="256"/>
        </w:trPr>
        <w:tc>
          <w:tcPr>
            <w:tcW w:w="7940" w:type="dxa"/>
            <w:vAlign w:val="bottom"/>
            <w:gridSpan w:val="2"/>
            <w:shd w:val="clear" w:color="auto" w:fill="F2F2F2"/>
          </w:tcPr>
          <w:p>
            <w:pPr>
              <w:spacing w:after="0" w:line="256" w:lineRule="exact"/>
              <w:rPr>
                <w:sz w:val="20"/>
                <w:szCs w:val="20"/>
                <w:color w:val="auto"/>
              </w:rPr>
            </w:pPr>
            <w:r>
              <w:rPr>
                <w:rFonts w:ascii="Arial" w:cs="Arial" w:eastAsia="Arial" w:hAnsi="Arial"/>
                <w:sz w:val="18"/>
                <w:szCs w:val="18"/>
                <w:color w:val="auto"/>
              </w:rPr>
              <w:t>Marc F. McMorris</w:t>
            </w:r>
            <w:r>
              <w:rPr>
                <w:rFonts w:ascii="Arial" w:cs="Arial" w:eastAsia="Arial" w:hAnsi="Arial"/>
                <w:sz w:val="26"/>
                <w:szCs w:val="26"/>
                <w:color w:val="auto"/>
                <w:vertAlign w:val="superscript"/>
              </w:rPr>
              <w:t>(15)</w:t>
            </w:r>
          </w:p>
        </w:tc>
        <w:tc>
          <w:tcPr>
            <w:tcW w:w="1500" w:type="dxa"/>
            <w:vAlign w:val="bottom"/>
            <w:shd w:val="clear" w:color="auto" w:fill="F2F2F2"/>
          </w:tcPr>
          <w:p>
            <w:pPr>
              <w:jc w:val="right"/>
              <w:ind w:right="210"/>
              <w:spacing w:after="0"/>
              <w:rPr>
                <w:sz w:val="20"/>
                <w:szCs w:val="20"/>
                <w:color w:val="auto"/>
              </w:rPr>
            </w:pPr>
            <w:r>
              <w:rPr>
                <w:rFonts w:ascii="Arial" w:cs="Arial" w:eastAsia="Arial" w:hAnsi="Arial"/>
                <w:sz w:val="18"/>
                <w:szCs w:val="18"/>
                <w:color w:val="auto"/>
              </w:rPr>
              <w:t>2,600</w:t>
            </w:r>
          </w:p>
        </w:tc>
        <w:tc>
          <w:tcPr>
            <w:tcW w:w="1580" w:type="dxa"/>
            <w:vAlign w:val="bottom"/>
            <w:shd w:val="clear" w:color="auto" w:fill="F2F2F2"/>
          </w:tcPr>
          <w:p>
            <w:pPr>
              <w:jc w:val="right"/>
              <w:ind w:right="550"/>
              <w:spacing w:after="0"/>
              <w:rPr>
                <w:sz w:val="20"/>
                <w:szCs w:val="20"/>
                <w:color w:val="auto"/>
              </w:rPr>
            </w:pPr>
            <w:r>
              <w:rPr>
                <w:rFonts w:ascii="Arial" w:cs="Arial" w:eastAsia="Arial" w:hAnsi="Arial"/>
                <w:sz w:val="18"/>
                <w:szCs w:val="18"/>
                <w:color w:val="auto"/>
              </w:rPr>
              <w:t>*</w:t>
            </w:r>
          </w:p>
        </w:tc>
      </w:tr>
      <w:tr>
        <w:trPr>
          <w:trHeight w:val="265"/>
        </w:trPr>
        <w:tc>
          <w:tcPr>
            <w:tcW w:w="7940" w:type="dxa"/>
            <w:vAlign w:val="bottom"/>
            <w:gridSpan w:val="2"/>
          </w:tcPr>
          <w:p>
            <w:pPr>
              <w:spacing w:after="0" w:line="265" w:lineRule="exact"/>
              <w:rPr>
                <w:sz w:val="20"/>
                <w:szCs w:val="20"/>
                <w:color w:val="auto"/>
              </w:rPr>
            </w:pPr>
            <w:r>
              <w:rPr>
                <w:rFonts w:ascii="Arial" w:cs="Arial" w:eastAsia="Arial" w:hAnsi="Arial"/>
                <w:sz w:val="18"/>
                <w:szCs w:val="18"/>
                <w:color w:val="auto"/>
              </w:rPr>
              <w:t>H. Tayloe Stansbury</w:t>
            </w:r>
            <w:r>
              <w:rPr>
                <w:rFonts w:ascii="Arial" w:cs="Arial" w:eastAsia="Arial" w:hAnsi="Arial"/>
                <w:sz w:val="26"/>
                <w:szCs w:val="26"/>
                <w:color w:val="auto"/>
                <w:vertAlign w:val="superscript"/>
              </w:rPr>
              <w:t>(16)</w:t>
            </w: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540</w:t>
            </w:r>
          </w:p>
        </w:tc>
        <w:tc>
          <w:tcPr>
            <w:tcW w:w="1580" w:type="dxa"/>
            <w:vAlign w:val="bottom"/>
          </w:tcPr>
          <w:p>
            <w:pPr>
              <w:jc w:val="right"/>
              <w:ind w:right="550"/>
              <w:spacing w:after="0"/>
              <w:rPr>
                <w:sz w:val="20"/>
                <w:szCs w:val="20"/>
                <w:color w:val="auto"/>
              </w:rPr>
            </w:pPr>
            <w:r>
              <w:rPr>
                <w:rFonts w:ascii="Arial" w:cs="Arial" w:eastAsia="Arial" w:hAnsi="Arial"/>
                <w:sz w:val="18"/>
                <w:szCs w:val="18"/>
                <w:color w:val="auto"/>
              </w:rPr>
              <w:t>*</w:t>
            </w:r>
          </w:p>
        </w:tc>
      </w:tr>
      <w:tr>
        <w:trPr>
          <w:trHeight w:val="248"/>
        </w:trPr>
        <w:tc>
          <w:tcPr>
            <w:tcW w:w="7940" w:type="dxa"/>
            <w:vAlign w:val="bottom"/>
            <w:tcBorders>
              <w:bottom w:val="single" w:sz="8" w:color="376DB5"/>
            </w:tcBorders>
            <w:gridSpan w:val="2"/>
          </w:tcPr>
          <w:p>
            <w:pPr>
              <w:spacing w:after="0" w:line="248" w:lineRule="exact"/>
              <w:rPr>
                <w:sz w:val="20"/>
                <w:szCs w:val="20"/>
                <w:color w:val="auto"/>
              </w:rPr>
            </w:pPr>
            <w:r>
              <w:rPr>
                <w:rFonts w:ascii="Arial" w:cs="Arial" w:eastAsia="Arial" w:hAnsi="Arial"/>
                <w:sz w:val="18"/>
                <w:szCs w:val="18"/>
                <w:color w:val="auto"/>
              </w:rPr>
              <w:t>All current directors, nominees and executive officers as a group (14 persons)</w:t>
            </w:r>
            <w:r>
              <w:rPr>
                <w:rFonts w:ascii="Arial" w:cs="Arial" w:eastAsia="Arial" w:hAnsi="Arial"/>
                <w:sz w:val="26"/>
                <w:szCs w:val="26"/>
                <w:color w:val="auto"/>
                <w:vertAlign w:val="superscript"/>
              </w:rPr>
              <w:t>(17)</w:t>
            </w:r>
          </w:p>
        </w:tc>
        <w:tc>
          <w:tcPr>
            <w:tcW w:w="1500" w:type="dxa"/>
            <w:vAlign w:val="bottom"/>
            <w:tcBorders>
              <w:bottom w:val="single" w:sz="8" w:color="376DB5"/>
            </w:tcBorders>
          </w:tcPr>
          <w:p>
            <w:pPr>
              <w:jc w:val="right"/>
              <w:ind w:right="210"/>
              <w:spacing w:after="0"/>
              <w:rPr>
                <w:sz w:val="20"/>
                <w:szCs w:val="20"/>
                <w:color w:val="auto"/>
              </w:rPr>
            </w:pPr>
            <w:r>
              <w:rPr>
                <w:rFonts w:ascii="Arial" w:cs="Arial" w:eastAsia="Arial" w:hAnsi="Arial"/>
                <w:sz w:val="18"/>
                <w:szCs w:val="18"/>
                <w:color w:val="auto"/>
              </w:rPr>
              <w:t>719,282</w:t>
            </w:r>
          </w:p>
        </w:tc>
        <w:tc>
          <w:tcPr>
            <w:tcW w:w="1580" w:type="dxa"/>
            <w:vAlign w:val="bottom"/>
            <w:tcBorders>
              <w:bottom w:val="single" w:sz="8" w:color="376DB5"/>
            </w:tcBorders>
          </w:tcPr>
          <w:p>
            <w:pPr>
              <w:jc w:val="right"/>
              <w:ind w:right="370"/>
              <w:spacing w:after="0"/>
              <w:rPr>
                <w:sz w:val="20"/>
                <w:szCs w:val="20"/>
                <w:color w:val="auto"/>
              </w:rPr>
            </w:pPr>
            <w:r>
              <w:rPr>
                <w:rFonts w:ascii="Arial" w:cs="Arial" w:eastAsia="Arial" w:hAnsi="Arial"/>
                <w:sz w:val="18"/>
                <w:szCs w:val="18"/>
                <w:color w:val="auto"/>
              </w:rPr>
              <w:t>3.02%</w:t>
            </w:r>
          </w:p>
        </w:tc>
      </w:tr>
      <w:tr>
        <w:trPr>
          <w:trHeight w:val="23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7820" w:type="dxa"/>
            <w:vAlign w:val="bottom"/>
          </w:tcPr>
          <w:p>
            <w:pPr>
              <w:ind w:left="300"/>
              <w:spacing w:after="0"/>
              <w:rPr>
                <w:sz w:val="20"/>
                <w:szCs w:val="20"/>
                <w:color w:val="auto"/>
              </w:rPr>
            </w:pPr>
            <w:r>
              <w:rPr>
                <w:rFonts w:ascii="Arial" w:cs="Arial" w:eastAsia="Arial" w:hAnsi="Arial"/>
                <w:sz w:val="18"/>
                <w:szCs w:val="18"/>
                <w:color w:val="auto"/>
              </w:rPr>
              <w:t>Represents holdings of less than 1%.</w:t>
            </w:r>
          </w:p>
        </w:tc>
        <w:tc>
          <w:tcPr>
            <w:tcW w:w="150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91</w:t>
      </w:r>
    </w:p>
    <w:p>
      <w:pPr>
        <w:sectPr>
          <w:pgSz w:w="11900" w:h="16838" w:orient="portrait"/>
          <w:cols w:equalWidth="0" w:num="1">
            <w:col w:w="11140"/>
          </w:cols>
          <w:pgMar w:left="320" w:top="482"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40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Proxy</w:t>
            </w:r>
          </w:p>
        </w:tc>
        <w:tc>
          <w:tcPr>
            <w:tcW w:w="102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3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Corporate</w:t>
            </w:r>
          </w:p>
        </w:tc>
        <w:tc>
          <w:tcPr>
            <w:tcW w:w="1480" w:type="dxa"/>
            <w:vAlign w:val="bottom"/>
            <w:shd w:val="clear" w:color="auto" w:fill="F2F2F2"/>
          </w:tcPr>
          <w:p>
            <w:pPr>
              <w:ind w:left="160"/>
              <w:spacing w:after="0"/>
              <w:rPr>
                <w:sz w:val="20"/>
                <w:szCs w:val="20"/>
                <w:color w:val="auto"/>
              </w:rPr>
            </w:pPr>
            <w:r>
              <w:rPr>
                <w:rFonts w:ascii="Arial" w:cs="Arial" w:eastAsia="Arial" w:hAnsi="Arial"/>
                <w:sz w:val="18"/>
                <w:szCs w:val="18"/>
                <w:color w:val="auto"/>
              </w:rPr>
              <w:t>Executive</w:t>
            </w:r>
          </w:p>
        </w:tc>
        <w:tc>
          <w:tcPr>
            <w:tcW w:w="1660" w:type="dxa"/>
            <w:vAlign w:val="bottom"/>
            <w:shd w:val="clear" w:color="auto" w:fill="F2F2F2"/>
          </w:tcPr>
          <w:p>
            <w:pPr>
              <w:ind w:left="180"/>
              <w:spacing w:after="0"/>
              <w:rPr>
                <w:sz w:val="20"/>
                <w:szCs w:val="20"/>
                <w:color w:val="auto"/>
              </w:rPr>
            </w:pPr>
            <w:r>
              <w:rPr>
                <w:rFonts w:ascii="Arial" w:cs="Arial" w:eastAsia="Arial" w:hAnsi="Arial"/>
                <w:sz w:val="18"/>
                <w:szCs w:val="18"/>
                <w:color w:val="auto"/>
              </w:rPr>
              <w:t>Audit Committee</w:t>
            </w:r>
          </w:p>
        </w:tc>
        <w:tc>
          <w:tcPr>
            <w:tcW w:w="1380" w:type="dxa"/>
            <w:vAlign w:val="bottom"/>
            <w:shd w:val="clear" w:color="auto" w:fill="F2F2F2"/>
          </w:tcPr>
          <w:p>
            <w:pPr>
              <w:ind w:left="160"/>
              <w:spacing w:after="0"/>
              <w:rPr>
                <w:sz w:val="20"/>
                <w:szCs w:val="20"/>
                <w:color w:val="auto"/>
              </w:rPr>
            </w:pPr>
            <w:r>
              <w:rPr>
                <w:rFonts w:ascii="Arial" w:cs="Arial" w:eastAsia="Arial" w:hAnsi="Arial"/>
                <w:sz w:val="18"/>
                <w:szCs w:val="18"/>
                <w:color w:val="auto"/>
              </w:rPr>
              <w:t>Charter</w:t>
            </w:r>
          </w:p>
        </w:tc>
        <w:tc>
          <w:tcPr>
            <w:tcW w:w="1280" w:type="dxa"/>
            <w:vAlign w:val="bottom"/>
            <w:gridSpan w:val="3"/>
            <w:shd w:val="clear" w:color="auto" w:fill="F2F2F2"/>
          </w:tcPr>
          <w:p>
            <w:pPr>
              <w:ind w:left="160"/>
              <w:spacing w:after="0"/>
              <w:rPr>
                <w:sz w:val="20"/>
                <w:szCs w:val="20"/>
                <w:color w:val="auto"/>
              </w:rPr>
            </w:pPr>
            <w:r>
              <w:rPr>
                <w:rFonts w:ascii="Arial" w:cs="Arial" w:eastAsia="Arial" w:hAnsi="Arial"/>
                <w:sz w:val="18"/>
                <w:szCs w:val="18"/>
                <w:b w:val="1"/>
                <w:bCs w:val="1"/>
                <w:color w:val="376DB5"/>
              </w:rPr>
              <w:t>Stock</w:t>
            </w:r>
          </w:p>
        </w:tc>
        <w:tc>
          <w:tcPr>
            <w:tcW w:w="1500" w:type="dxa"/>
            <w:vAlign w:val="bottom"/>
            <w:shd w:val="clear" w:color="auto" w:fill="F2F2F2"/>
          </w:tcPr>
          <w:p>
            <w:pPr>
              <w:ind w:left="160"/>
              <w:spacing w:after="0"/>
              <w:rPr>
                <w:sz w:val="20"/>
                <w:szCs w:val="20"/>
                <w:color w:val="auto"/>
              </w:rPr>
            </w:pPr>
            <w:r>
              <w:rPr>
                <w:rFonts w:ascii="Arial" w:cs="Arial" w:eastAsia="Arial" w:hAnsi="Arial"/>
                <w:sz w:val="18"/>
                <w:szCs w:val="18"/>
                <w:color w:val="auto"/>
              </w:rPr>
              <w:t>Other</w:t>
            </w:r>
          </w:p>
        </w:tc>
      </w:tr>
      <w:tr>
        <w:trPr>
          <w:trHeight w:val="203"/>
        </w:trPr>
        <w:tc>
          <w:tcPr>
            <w:tcW w:w="1400" w:type="dxa"/>
            <w:vAlign w:val="bottom"/>
            <w:shd w:val="clear" w:color="auto" w:fill="F2F2F2"/>
          </w:tcPr>
          <w:p>
            <w:pPr>
              <w:ind w:left="620"/>
              <w:spacing w:after="0" w:line="202" w:lineRule="exact"/>
              <w:rPr>
                <w:sz w:val="20"/>
                <w:szCs w:val="20"/>
                <w:color w:val="auto"/>
              </w:rPr>
            </w:pPr>
            <w:r>
              <w:rPr>
                <w:rFonts w:ascii="Arial" w:cs="Arial" w:eastAsia="Arial" w:hAnsi="Arial"/>
                <w:sz w:val="18"/>
                <w:szCs w:val="18"/>
                <w:color w:val="auto"/>
                <w:w w:val="98"/>
              </w:rPr>
              <w:t>Summary</w:t>
            </w:r>
          </w:p>
        </w:tc>
        <w:tc>
          <w:tcPr>
            <w:tcW w:w="102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3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Governance</w:t>
            </w:r>
          </w:p>
        </w:tc>
        <w:tc>
          <w:tcPr>
            <w:tcW w:w="148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Compensation</w:t>
            </w:r>
          </w:p>
        </w:tc>
        <w:tc>
          <w:tcPr>
            <w:tcW w:w="1660" w:type="dxa"/>
            <w:vAlign w:val="bottom"/>
            <w:shd w:val="clear" w:color="auto" w:fill="F2F2F2"/>
          </w:tcPr>
          <w:p>
            <w:pPr>
              <w:ind w:left="180"/>
              <w:spacing w:after="0" w:line="202" w:lineRule="exact"/>
              <w:rPr>
                <w:sz w:val="20"/>
                <w:szCs w:val="20"/>
                <w:color w:val="auto"/>
              </w:rPr>
            </w:pPr>
            <w:r>
              <w:rPr>
                <w:rFonts w:ascii="Arial" w:cs="Arial" w:eastAsia="Arial" w:hAnsi="Arial"/>
                <w:sz w:val="18"/>
                <w:szCs w:val="18"/>
                <w:color w:val="auto"/>
              </w:rPr>
              <w:t>Matters</w:t>
            </w:r>
          </w:p>
        </w:tc>
        <w:tc>
          <w:tcPr>
            <w:tcW w:w="138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Amendments</w:t>
            </w:r>
          </w:p>
        </w:tc>
        <w:tc>
          <w:tcPr>
            <w:tcW w:w="1280" w:type="dxa"/>
            <w:vAlign w:val="bottom"/>
            <w:gridSpan w:val="3"/>
            <w:shd w:val="clear" w:color="auto" w:fill="F2F2F2"/>
          </w:tcPr>
          <w:p>
            <w:pPr>
              <w:ind w:left="160"/>
              <w:spacing w:after="0" w:line="202" w:lineRule="exact"/>
              <w:rPr>
                <w:sz w:val="20"/>
                <w:szCs w:val="20"/>
                <w:color w:val="auto"/>
              </w:rPr>
            </w:pPr>
            <w:r>
              <w:rPr>
                <w:rFonts w:ascii="Arial" w:cs="Arial" w:eastAsia="Arial" w:hAnsi="Arial"/>
                <w:sz w:val="18"/>
                <w:szCs w:val="18"/>
                <w:b w:val="1"/>
                <w:bCs w:val="1"/>
                <w:color w:val="376DB5"/>
              </w:rPr>
              <w:t>Ownership</w:t>
            </w:r>
          </w:p>
        </w:tc>
        <w:tc>
          <w:tcPr>
            <w:tcW w:w="1500" w:type="dxa"/>
            <w:vAlign w:val="bottom"/>
            <w:shd w:val="clear" w:color="auto" w:fill="F2F2F2"/>
          </w:tcPr>
          <w:p>
            <w:pPr>
              <w:ind w:left="160"/>
              <w:spacing w:after="0" w:line="202" w:lineRule="exact"/>
              <w:rPr>
                <w:sz w:val="20"/>
                <w:szCs w:val="20"/>
                <w:color w:val="auto"/>
              </w:rPr>
            </w:pPr>
            <w:r>
              <w:rPr>
                <w:rFonts w:ascii="Arial" w:cs="Arial" w:eastAsia="Arial" w:hAnsi="Arial"/>
                <w:sz w:val="18"/>
                <w:szCs w:val="18"/>
                <w:color w:val="auto"/>
              </w:rPr>
              <w:t>Matters</w:t>
            </w:r>
          </w:p>
        </w:tc>
      </w:tr>
      <w:tr>
        <w:trPr>
          <w:trHeight w:val="194"/>
        </w:trPr>
        <w:tc>
          <w:tcPr>
            <w:tcW w:w="1400" w:type="dxa"/>
            <w:vAlign w:val="bottom"/>
            <w:shd w:val="clear" w:color="auto" w:fill="F2F2F2"/>
          </w:tcPr>
          <w:p>
            <w:pPr>
              <w:spacing w:after="0"/>
              <w:rPr>
                <w:sz w:val="16"/>
                <w:szCs w:val="16"/>
                <w:color w:val="auto"/>
              </w:rPr>
            </w:pPr>
          </w:p>
        </w:tc>
        <w:tc>
          <w:tcPr>
            <w:tcW w:w="102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c>
          <w:tcPr>
            <w:tcW w:w="1660" w:type="dxa"/>
            <w:vAlign w:val="bottom"/>
            <w:shd w:val="clear" w:color="auto" w:fill="F2F2F2"/>
          </w:tcPr>
          <w:p>
            <w:pPr>
              <w:spacing w:after="0"/>
              <w:rPr>
                <w:sz w:val="16"/>
                <w:szCs w:val="16"/>
                <w:color w:val="auto"/>
              </w:rPr>
            </w:pPr>
          </w:p>
        </w:tc>
        <w:tc>
          <w:tcPr>
            <w:tcW w:w="1380" w:type="dxa"/>
            <w:vAlign w:val="bottom"/>
            <w:shd w:val="clear" w:color="auto" w:fill="F2F2F2"/>
          </w:tcPr>
          <w:p>
            <w:pPr>
              <w:spacing w:after="0"/>
              <w:rPr>
                <w:sz w:val="16"/>
                <w:szCs w:val="16"/>
                <w:color w:val="auto"/>
              </w:rPr>
            </w:pPr>
          </w:p>
        </w:tc>
        <w:tc>
          <w:tcPr>
            <w:tcW w:w="1280" w:type="dxa"/>
            <w:vAlign w:val="bottom"/>
            <w:gridSpan w:val="3"/>
            <w:shd w:val="clear" w:color="auto" w:fill="F2F2F2"/>
          </w:tcPr>
          <w:p>
            <w:pPr>
              <w:ind w:left="160"/>
              <w:spacing w:after="0" w:line="195" w:lineRule="exact"/>
              <w:rPr>
                <w:sz w:val="20"/>
                <w:szCs w:val="20"/>
                <w:color w:val="auto"/>
              </w:rPr>
            </w:pPr>
            <w:r>
              <w:rPr>
                <w:rFonts w:ascii="Arial" w:cs="Arial" w:eastAsia="Arial" w:hAnsi="Arial"/>
                <w:sz w:val="18"/>
                <w:szCs w:val="18"/>
                <w:b w:val="1"/>
                <w:bCs w:val="1"/>
                <w:color w:val="376DB5"/>
              </w:rPr>
              <w:t xml:space="preserve">             </w:t>
            </w:r>
          </w:p>
        </w:tc>
        <w:tc>
          <w:tcPr>
            <w:tcW w:w="1500" w:type="dxa"/>
            <w:vAlign w:val="bottom"/>
            <w:shd w:val="clear" w:color="auto" w:fill="F2F2F2"/>
          </w:tcPr>
          <w:p>
            <w:pPr>
              <w:spacing w:after="0"/>
              <w:rPr>
                <w:sz w:val="16"/>
                <w:szCs w:val="16"/>
                <w:color w:val="auto"/>
              </w:rPr>
            </w:pPr>
          </w:p>
        </w:tc>
      </w:tr>
      <w:tr>
        <w:trPr>
          <w:trHeight w:val="34"/>
        </w:trPr>
        <w:tc>
          <w:tcPr>
            <w:tcW w:w="1400" w:type="dxa"/>
            <w:vAlign w:val="bottom"/>
            <w:tcBorders>
              <w:top w:val="single" w:sz="8" w:color="F2F2F2"/>
            </w:tcBorders>
            <w:shd w:val="clear" w:color="auto" w:fill="F2F2F2"/>
          </w:tcPr>
          <w:p>
            <w:pPr>
              <w:spacing w:after="0"/>
              <w:rPr>
                <w:sz w:val="2"/>
                <w:szCs w:val="2"/>
                <w:color w:val="auto"/>
              </w:rPr>
            </w:pPr>
          </w:p>
        </w:tc>
        <w:tc>
          <w:tcPr>
            <w:tcW w:w="1020" w:type="dxa"/>
            <w:vAlign w:val="bottom"/>
            <w:tcBorders>
              <w:top w:val="single" w:sz="8" w:color="F2F2F2"/>
            </w:tcBorders>
            <w:shd w:val="clear" w:color="auto" w:fill="F2F2F2"/>
          </w:tcPr>
          <w:p>
            <w:pPr>
              <w:spacing w:after="0"/>
              <w:rPr>
                <w:sz w:val="2"/>
                <w:szCs w:val="2"/>
                <w:color w:val="auto"/>
              </w:rPr>
            </w:pPr>
          </w:p>
        </w:tc>
        <w:tc>
          <w:tcPr>
            <w:tcW w:w="1300" w:type="dxa"/>
            <w:vAlign w:val="bottom"/>
            <w:tcBorders>
              <w:top w:val="single" w:sz="8" w:color="F2F2F2"/>
            </w:tcBorders>
            <w:shd w:val="clear" w:color="auto" w:fill="F2F2F2"/>
          </w:tcPr>
          <w:p>
            <w:pPr>
              <w:spacing w:after="0"/>
              <w:rPr>
                <w:sz w:val="2"/>
                <w:szCs w:val="2"/>
                <w:color w:val="auto"/>
              </w:rPr>
            </w:pPr>
          </w:p>
        </w:tc>
        <w:tc>
          <w:tcPr>
            <w:tcW w:w="1480" w:type="dxa"/>
            <w:vAlign w:val="bottom"/>
            <w:tcBorders>
              <w:top w:val="single" w:sz="8" w:color="F2F2F2"/>
            </w:tcBorders>
            <w:shd w:val="clear" w:color="auto" w:fill="F2F2F2"/>
          </w:tcPr>
          <w:p>
            <w:pPr>
              <w:spacing w:after="0"/>
              <w:rPr>
                <w:sz w:val="2"/>
                <w:szCs w:val="2"/>
                <w:color w:val="auto"/>
              </w:rPr>
            </w:pPr>
          </w:p>
        </w:tc>
        <w:tc>
          <w:tcPr>
            <w:tcW w:w="1660" w:type="dxa"/>
            <w:vAlign w:val="bottom"/>
            <w:tcBorders>
              <w:top w:val="single" w:sz="8" w:color="F2F2F2"/>
            </w:tcBorders>
            <w:shd w:val="clear" w:color="auto" w:fill="F2F2F2"/>
          </w:tcPr>
          <w:p>
            <w:pPr>
              <w:spacing w:after="0"/>
              <w:rPr>
                <w:sz w:val="2"/>
                <w:szCs w:val="2"/>
                <w:color w:val="auto"/>
              </w:rPr>
            </w:pPr>
          </w:p>
        </w:tc>
        <w:tc>
          <w:tcPr>
            <w:tcW w:w="1380" w:type="dxa"/>
            <w:vAlign w:val="bottom"/>
            <w:tcBorders>
              <w:top w:val="single" w:sz="8" w:color="F2F2F2"/>
            </w:tcBorders>
            <w:shd w:val="clear" w:color="auto" w:fill="F2F2F2"/>
          </w:tcPr>
          <w:p>
            <w:pPr>
              <w:spacing w:after="0"/>
              <w:rPr>
                <w:sz w:val="2"/>
                <w:szCs w:val="2"/>
                <w:color w:val="auto"/>
              </w:rPr>
            </w:pPr>
          </w:p>
        </w:tc>
        <w:tc>
          <w:tcPr>
            <w:tcW w:w="16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300" w:type="dxa"/>
            <w:vAlign w:val="bottom"/>
            <w:tcBorders>
              <w:top w:val="single" w:sz="8" w:color="F2F2F2"/>
            </w:tcBorders>
            <w:shd w:val="clear" w:color="auto" w:fill="F2F2F2"/>
          </w:tcPr>
          <w:p>
            <w:pPr>
              <w:spacing w:after="0"/>
              <w:rPr>
                <w:sz w:val="2"/>
                <w:szCs w:val="2"/>
                <w:color w:val="auto"/>
              </w:rPr>
            </w:pPr>
          </w:p>
        </w:tc>
        <w:tc>
          <w:tcPr>
            <w:tcW w:w="150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ind w:left="760" w:right="80" w:hanging="428"/>
        <w:spacing w:after="0" w:line="213" w:lineRule="auto"/>
        <w:tabs>
          <w:tab w:leader="none" w:pos="760" w:val="left"/>
        </w:tabs>
        <w:numPr>
          <w:ilvl w:val="0"/>
          <w:numId w:val="79"/>
        </w:numPr>
        <w:rPr>
          <w:rFonts w:ascii="Arial" w:cs="Arial" w:eastAsia="Arial" w:hAnsi="Arial"/>
          <w:sz w:val="27"/>
          <w:szCs w:val="27"/>
          <w:color w:val="auto"/>
          <w:vertAlign w:val="superscript"/>
        </w:rPr>
      </w:pPr>
      <w:r>
        <w:rPr>
          <w:rFonts w:ascii="Arial" w:cs="Arial" w:eastAsia="Arial" w:hAnsi="Arial"/>
          <w:sz w:val="18"/>
          <w:szCs w:val="18"/>
          <w:color w:val="auto"/>
        </w:rPr>
        <w:t>To the Company’s knowledge, the persons named in the table have sole voting and sole dispositive power with respect to all shares shown as beneficially owned by them, subject to community property laws where applicable and the information contained in the footnotes to this table.</w:t>
      </w:r>
    </w:p>
    <w:p>
      <w:pPr>
        <w:spacing w:after="0" w:line="86" w:lineRule="exact"/>
        <w:rPr>
          <w:rFonts w:ascii="Arial" w:cs="Arial" w:eastAsia="Arial" w:hAnsi="Arial"/>
          <w:sz w:val="27"/>
          <w:szCs w:val="27"/>
          <w:color w:val="auto"/>
          <w:vertAlign w:val="superscript"/>
        </w:rPr>
      </w:pPr>
    </w:p>
    <w:p>
      <w:pPr>
        <w:ind w:left="760" w:right="140" w:hanging="428"/>
        <w:spacing w:after="0" w:line="218" w:lineRule="auto"/>
        <w:tabs>
          <w:tab w:leader="none" w:pos="760" w:val="left"/>
        </w:tabs>
        <w:numPr>
          <w:ilvl w:val="0"/>
          <w:numId w:val="79"/>
        </w:numPr>
        <w:rPr>
          <w:rFonts w:ascii="Arial" w:cs="Arial" w:eastAsia="Arial" w:hAnsi="Arial"/>
          <w:sz w:val="27"/>
          <w:szCs w:val="27"/>
          <w:color w:val="auto"/>
          <w:vertAlign w:val="superscript"/>
        </w:rPr>
      </w:pPr>
      <w:r>
        <w:rPr>
          <w:rFonts w:ascii="Arial" w:cs="Arial" w:eastAsia="Arial" w:hAnsi="Arial"/>
          <w:sz w:val="18"/>
          <w:szCs w:val="18"/>
          <w:color w:val="auto"/>
        </w:rPr>
        <w:t>If the named person holds stock options exercisable on or prior to January 27, 2026, or RSUs, PSUs or MSUs that will vest on or prior to January 27, 2026, the shares underlying those options, RSUs, PSUs and MSUs are included in the number for such person. Shares deemed issued to a holder of stock options, RSUs, PSUs or MSUs pursuant to the preceding sentence are not deemed issued and outstanding for purposes of the percentage calculation with respect to any other stockholder.</w:t>
      </w:r>
    </w:p>
    <w:p>
      <w:pPr>
        <w:ind w:left="760" w:hanging="428"/>
        <w:spacing w:after="0" w:line="236" w:lineRule="auto"/>
        <w:tabs>
          <w:tab w:leader="none" w:pos="760" w:val="left"/>
        </w:tabs>
        <w:numPr>
          <w:ilvl w:val="0"/>
          <w:numId w:val="79"/>
        </w:numPr>
        <w:rPr>
          <w:rFonts w:ascii="Arial" w:cs="Arial" w:eastAsia="Arial" w:hAnsi="Arial"/>
          <w:sz w:val="27"/>
          <w:szCs w:val="27"/>
          <w:color w:val="auto"/>
          <w:vertAlign w:val="superscript"/>
        </w:rPr>
      </w:pPr>
      <w:r>
        <w:rPr>
          <w:rFonts w:ascii="Arial" w:cs="Arial" w:eastAsia="Arial" w:hAnsi="Arial"/>
          <w:sz w:val="18"/>
          <w:szCs w:val="18"/>
          <w:color w:val="auto"/>
        </w:rPr>
        <w:t>Information as to this person (including affiliated entities) is based on the Schedule 13G/A filed by this person on October 30,</w:t>
      </w:r>
    </w:p>
    <w:p>
      <w:pPr>
        <w:ind w:left="760" w:right="360"/>
        <w:spacing w:after="0" w:line="250" w:lineRule="auto"/>
        <w:rPr>
          <w:rFonts w:ascii="Arial" w:cs="Arial" w:eastAsia="Arial" w:hAnsi="Arial"/>
          <w:sz w:val="27"/>
          <w:szCs w:val="27"/>
          <w:color w:val="auto"/>
          <w:vertAlign w:val="superscript"/>
        </w:rPr>
      </w:pPr>
      <w:r>
        <w:rPr>
          <w:rFonts w:ascii="Arial" w:cs="Arial" w:eastAsia="Arial" w:hAnsi="Arial"/>
          <w:sz w:val="18"/>
          <w:szCs w:val="18"/>
          <w:color w:val="auto"/>
        </w:rPr>
        <w:t>2025. The Vanguard Group has shared voting power as to 143,199 shares, sole dispositive power as to 2,840,425 shares and shared dispositive power as to 229,324 shares.</w:t>
      </w:r>
    </w:p>
    <w:p>
      <w:pPr>
        <w:spacing w:after="0" w:line="77" w:lineRule="exact"/>
        <w:rPr>
          <w:rFonts w:ascii="Arial" w:cs="Arial" w:eastAsia="Arial" w:hAnsi="Arial"/>
          <w:sz w:val="27"/>
          <w:szCs w:val="27"/>
          <w:color w:val="auto"/>
          <w:vertAlign w:val="superscript"/>
        </w:rPr>
      </w:pPr>
    </w:p>
    <w:p>
      <w:pPr>
        <w:ind w:left="760" w:right="460" w:hanging="428"/>
        <w:spacing w:after="0" w:line="204" w:lineRule="auto"/>
        <w:tabs>
          <w:tab w:leader="none" w:pos="760" w:val="left"/>
        </w:tabs>
        <w:numPr>
          <w:ilvl w:val="0"/>
          <w:numId w:val="79"/>
        </w:numPr>
        <w:rPr>
          <w:rFonts w:ascii="Arial" w:cs="Arial" w:eastAsia="Arial" w:hAnsi="Arial"/>
          <w:sz w:val="27"/>
          <w:szCs w:val="27"/>
          <w:color w:val="auto"/>
          <w:vertAlign w:val="superscript"/>
        </w:rPr>
      </w:pPr>
      <w:r>
        <w:rPr>
          <w:rFonts w:ascii="Arial" w:cs="Arial" w:eastAsia="Arial" w:hAnsi="Arial"/>
          <w:sz w:val="18"/>
          <w:szCs w:val="18"/>
          <w:color w:val="auto"/>
        </w:rPr>
        <w:t>Information as to this person is based on the Schedule 13G/A filed by this person on April 17, 2025. BlackRock, Inc. has sole voting power as to 1,925,321 shares and sole dispositive power as to 2,101,659 shares.</w:t>
      </w:r>
    </w:p>
    <w:p>
      <w:pPr>
        <w:spacing w:after="0" w:line="86" w:lineRule="exact"/>
        <w:rPr>
          <w:rFonts w:ascii="Arial" w:cs="Arial" w:eastAsia="Arial" w:hAnsi="Arial"/>
          <w:sz w:val="27"/>
          <w:szCs w:val="27"/>
          <w:color w:val="auto"/>
          <w:vertAlign w:val="superscript"/>
        </w:rPr>
      </w:pPr>
    </w:p>
    <w:p>
      <w:pPr>
        <w:ind w:left="760" w:right="180" w:hanging="428"/>
        <w:spacing w:after="0" w:line="213" w:lineRule="auto"/>
        <w:tabs>
          <w:tab w:leader="none" w:pos="760" w:val="left"/>
        </w:tabs>
        <w:numPr>
          <w:ilvl w:val="0"/>
          <w:numId w:val="79"/>
        </w:numPr>
        <w:rPr>
          <w:rFonts w:ascii="Arial" w:cs="Arial" w:eastAsia="Arial" w:hAnsi="Arial"/>
          <w:sz w:val="27"/>
          <w:szCs w:val="27"/>
          <w:color w:val="auto"/>
          <w:vertAlign w:val="superscript"/>
        </w:rPr>
      </w:pPr>
      <w:r>
        <w:rPr>
          <w:rFonts w:ascii="Arial" w:cs="Arial" w:eastAsia="Arial" w:hAnsi="Arial"/>
          <w:sz w:val="18"/>
          <w:szCs w:val="18"/>
          <w:color w:val="auto"/>
        </w:rPr>
        <w:t>Includes options to purchase 9,782 shares, RSUs representing 9,500 shares, PSUs representing 16,270 shares and MSUs representing 13,490 shares. The Lansing Revocable Trust holds 300,018 shares. The Lansing 2025 DRAT holds 18,300 shares, and the Lansing Foundation holds 10,933 shares.</w:t>
      </w:r>
    </w:p>
    <w:p>
      <w:pPr>
        <w:spacing w:after="0" w:line="86" w:lineRule="exact"/>
        <w:rPr>
          <w:rFonts w:ascii="Arial" w:cs="Arial" w:eastAsia="Arial" w:hAnsi="Arial"/>
          <w:sz w:val="27"/>
          <w:szCs w:val="27"/>
          <w:color w:val="auto"/>
          <w:vertAlign w:val="superscript"/>
        </w:rPr>
      </w:pPr>
    </w:p>
    <w:p>
      <w:pPr>
        <w:ind w:left="760" w:right="200" w:hanging="428"/>
        <w:spacing w:after="0" w:line="204" w:lineRule="auto"/>
        <w:tabs>
          <w:tab w:leader="none" w:pos="760" w:val="left"/>
        </w:tabs>
        <w:numPr>
          <w:ilvl w:val="0"/>
          <w:numId w:val="79"/>
        </w:numPr>
        <w:rPr>
          <w:rFonts w:ascii="Arial" w:cs="Arial" w:eastAsia="Arial" w:hAnsi="Arial"/>
          <w:sz w:val="27"/>
          <w:szCs w:val="27"/>
          <w:color w:val="auto"/>
          <w:vertAlign w:val="superscript"/>
        </w:rPr>
      </w:pPr>
      <w:r>
        <w:rPr>
          <w:rFonts w:ascii="Arial" w:cs="Arial" w:eastAsia="Arial" w:hAnsi="Arial"/>
          <w:sz w:val="18"/>
          <w:szCs w:val="18"/>
          <w:color w:val="auto"/>
        </w:rPr>
        <w:t>Includes RSUs representing 2,143 shares, PSUs representing 3,202 shares and MSUs representing 2,682 shares. The Scadina Revocable Trust holds 85,081 shares.</w:t>
      </w:r>
    </w:p>
    <w:p>
      <w:pPr>
        <w:spacing w:after="0" w:line="86" w:lineRule="exact"/>
        <w:rPr>
          <w:rFonts w:ascii="Arial" w:cs="Arial" w:eastAsia="Arial" w:hAnsi="Arial"/>
          <w:sz w:val="27"/>
          <w:szCs w:val="27"/>
          <w:color w:val="auto"/>
          <w:vertAlign w:val="superscript"/>
        </w:rPr>
      </w:pPr>
    </w:p>
    <w:p>
      <w:pPr>
        <w:ind w:left="760" w:right="20" w:hanging="428"/>
        <w:spacing w:after="0" w:line="204" w:lineRule="auto"/>
        <w:tabs>
          <w:tab w:leader="none" w:pos="760" w:val="left"/>
        </w:tabs>
        <w:numPr>
          <w:ilvl w:val="0"/>
          <w:numId w:val="79"/>
        </w:numPr>
        <w:rPr>
          <w:rFonts w:ascii="Arial" w:cs="Arial" w:eastAsia="Arial" w:hAnsi="Arial"/>
          <w:sz w:val="27"/>
          <w:szCs w:val="27"/>
          <w:color w:val="auto"/>
          <w:vertAlign w:val="superscript"/>
        </w:rPr>
      </w:pPr>
      <w:r>
        <w:rPr>
          <w:rFonts w:ascii="Arial" w:cs="Arial" w:eastAsia="Arial" w:hAnsi="Arial"/>
          <w:sz w:val="18"/>
          <w:szCs w:val="18"/>
          <w:color w:val="auto"/>
        </w:rPr>
        <w:t>Includes RSUs representing 2,143 shares, PSUs representing 3,202 shares and MSUs representing 2,682 shares. The Richard S. Deal Revocable Trust holds 56,449 shares.</w:t>
      </w:r>
    </w:p>
    <w:p>
      <w:pPr>
        <w:spacing w:after="0" w:line="15" w:lineRule="exact"/>
        <w:rPr>
          <w:rFonts w:ascii="Arial" w:cs="Arial" w:eastAsia="Arial" w:hAnsi="Arial"/>
          <w:sz w:val="27"/>
          <w:szCs w:val="27"/>
          <w:color w:val="auto"/>
          <w:vertAlign w:val="superscript"/>
        </w:rPr>
      </w:pPr>
    </w:p>
    <w:p>
      <w:pPr>
        <w:ind w:left="760" w:hanging="428"/>
        <w:spacing w:after="0"/>
        <w:tabs>
          <w:tab w:leader="none" w:pos="760" w:val="left"/>
        </w:tabs>
        <w:numPr>
          <w:ilvl w:val="0"/>
          <w:numId w:val="79"/>
        </w:numPr>
        <w:rPr>
          <w:rFonts w:ascii="Arial" w:cs="Arial" w:eastAsia="Arial" w:hAnsi="Arial"/>
          <w:sz w:val="27"/>
          <w:szCs w:val="27"/>
          <w:color w:val="auto"/>
          <w:vertAlign w:val="superscript"/>
        </w:rPr>
      </w:pPr>
      <w:r>
        <w:rPr>
          <w:rFonts w:ascii="Arial" w:cs="Arial" w:eastAsia="Arial" w:hAnsi="Arial"/>
          <w:sz w:val="18"/>
          <w:szCs w:val="18"/>
          <w:color w:val="auto"/>
        </w:rPr>
        <w:t>Includes options to purchase 8,300 shares. The Joanna Rees Revocable Trust holds 11,204 shares.</w:t>
      </w:r>
    </w:p>
    <w:p>
      <w:pPr>
        <w:spacing w:after="0" w:line="103" w:lineRule="exact"/>
        <w:rPr>
          <w:rFonts w:ascii="Arial" w:cs="Arial" w:eastAsia="Arial" w:hAnsi="Arial"/>
          <w:sz w:val="27"/>
          <w:szCs w:val="27"/>
          <w:color w:val="auto"/>
          <w:vertAlign w:val="superscript"/>
        </w:rPr>
      </w:pPr>
    </w:p>
    <w:p>
      <w:pPr>
        <w:ind w:left="760" w:right="180" w:hanging="428"/>
        <w:spacing w:after="0" w:line="207" w:lineRule="auto"/>
        <w:tabs>
          <w:tab w:leader="none" w:pos="760" w:val="left"/>
        </w:tabs>
        <w:numPr>
          <w:ilvl w:val="0"/>
          <w:numId w:val="79"/>
        </w:numPr>
        <w:rPr>
          <w:rFonts w:ascii="Arial" w:cs="Arial" w:eastAsia="Arial" w:hAnsi="Arial"/>
          <w:sz w:val="27"/>
          <w:szCs w:val="27"/>
          <w:color w:val="auto"/>
          <w:vertAlign w:val="superscript"/>
        </w:rPr>
      </w:pPr>
      <w:r>
        <w:rPr>
          <w:rFonts w:ascii="Arial" w:cs="Arial" w:eastAsia="Arial" w:hAnsi="Arial"/>
          <w:sz w:val="18"/>
          <w:szCs w:val="18"/>
          <w:color w:val="auto"/>
        </w:rPr>
        <w:t>Includes RSUs representing 1,315 shares, PSUs representing 1,240 shares and MSUs representing 714 shares. The Trust of Nikhil and Malvika holds 15,424 shares, and 5,000 of such shares are used to secure a margin loan account for non-FICO share purchases.</w:t>
      </w:r>
    </w:p>
    <w:p>
      <w:pPr>
        <w:spacing w:after="0" w:line="14" w:lineRule="exact"/>
        <w:rPr>
          <w:rFonts w:ascii="Arial" w:cs="Arial" w:eastAsia="Arial" w:hAnsi="Arial"/>
          <w:sz w:val="27"/>
          <w:szCs w:val="27"/>
          <w:color w:val="auto"/>
          <w:vertAlign w:val="superscript"/>
        </w:rPr>
      </w:pPr>
    </w:p>
    <w:p>
      <w:pPr>
        <w:ind w:left="760" w:hanging="428"/>
        <w:spacing w:after="0"/>
        <w:tabs>
          <w:tab w:leader="none" w:pos="760" w:val="left"/>
        </w:tabs>
        <w:numPr>
          <w:ilvl w:val="0"/>
          <w:numId w:val="79"/>
        </w:numPr>
        <w:rPr>
          <w:rFonts w:ascii="Arial" w:cs="Arial" w:eastAsia="Arial" w:hAnsi="Arial"/>
          <w:sz w:val="27"/>
          <w:szCs w:val="27"/>
          <w:color w:val="auto"/>
          <w:vertAlign w:val="superscript"/>
        </w:rPr>
      </w:pPr>
      <w:r>
        <w:rPr>
          <w:rFonts w:ascii="Arial" w:cs="Arial" w:eastAsia="Arial" w:hAnsi="Arial"/>
          <w:sz w:val="18"/>
          <w:szCs w:val="18"/>
          <w:color w:val="auto"/>
        </w:rPr>
        <w:t>Includes options to purchase 6,101 shares.</w:t>
      </w:r>
    </w:p>
    <w:p>
      <w:pPr>
        <w:spacing w:after="0" w:line="103" w:lineRule="exact"/>
        <w:rPr>
          <w:rFonts w:ascii="Arial" w:cs="Arial" w:eastAsia="Arial" w:hAnsi="Arial"/>
          <w:sz w:val="27"/>
          <w:szCs w:val="27"/>
          <w:color w:val="auto"/>
          <w:vertAlign w:val="superscript"/>
        </w:rPr>
      </w:pPr>
    </w:p>
    <w:p>
      <w:pPr>
        <w:ind w:left="760" w:hanging="428"/>
        <w:spacing w:after="0" w:line="184" w:lineRule="auto"/>
        <w:tabs>
          <w:tab w:leader="none" w:pos="760" w:val="left"/>
        </w:tabs>
        <w:numPr>
          <w:ilvl w:val="0"/>
          <w:numId w:val="79"/>
        </w:numPr>
        <w:rPr>
          <w:rFonts w:ascii="Arial" w:cs="Arial" w:eastAsia="Arial" w:hAnsi="Arial"/>
          <w:sz w:val="25"/>
          <w:szCs w:val="25"/>
          <w:color w:val="auto"/>
          <w:vertAlign w:val="superscript"/>
        </w:rPr>
      </w:pPr>
      <w:r>
        <w:rPr>
          <w:rFonts w:ascii="Arial" w:cs="Arial" w:eastAsia="Arial" w:hAnsi="Arial"/>
          <w:sz w:val="17"/>
          <w:szCs w:val="17"/>
          <w:color w:val="auto"/>
        </w:rPr>
        <w:t>Includes options to purchase 7,203 shares.</w:t>
      </w:r>
    </w:p>
    <w:p>
      <w:pPr>
        <w:spacing w:after="0" w:line="103" w:lineRule="exact"/>
        <w:rPr>
          <w:rFonts w:ascii="Arial" w:cs="Arial" w:eastAsia="Arial" w:hAnsi="Arial"/>
          <w:sz w:val="25"/>
          <w:szCs w:val="25"/>
          <w:color w:val="auto"/>
          <w:vertAlign w:val="superscript"/>
        </w:rPr>
      </w:pPr>
    </w:p>
    <w:p>
      <w:pPr>
        <w:ind w:left="760" w:hanging="428"/>
        <w:spacing w:after="0" w:line="184" w:lineRule="auto"/>
        <w:tabs>
          <w:tab w:leader="none" w:pos="760" w:val="left"/>
        </w:tabs>
        <w:numPr>
          <w:ilvl w:val="0"/>
          <w:numId w:val="79"/>
        </w:numPr>
        <w:rPr>
          <w:rFonts w:ascii="Arial" w:cs="Arial" w:eastAsia="Arial" w:hAnsi="Arial"/>
          <w:sz w:val="25"/>
          <w:szCs w:val="25"/>
          <w:color w:val="auto"/>
          <w:vertAlign w:val="superscript"/>
        </w:rPr>
      </w:pPr>
      <w:r>
        <w:rPr>
          <w:rFonts w:ascii="Arial" w:cs="Arial" w:eastAsia="Arial" w:hAnsi="Arial"/>
          <w:sz w:val="17"/>
          <w:szCs w:val="17"/>
          <w:color w:val="auto"/>
        </w:rPr>
        <w:t>Includes options to purchase 5,417 shares.</w:t>
      </w:r>
    </w:p>
    <w:p>
      <w:pPr>
        <w:spacing w:after="0" w:line="103" w:lineRule="exact"/>
        <w:rPr>
          <w:rFonts w:ascii="Arial" w:cs="Arial" w:eastAsia="Arial" w:hAnsi="Arial"/>
          <w:sz w:val="25"/>
          <w:szCs w:val="25"/>
          <w:color w:val="auto"/>
          <w:vertAlign w:val="superscript"/>
        </w:rPr>
      </w:pPr>
    </w:p>
    <w:p>
      <w:pPr>
        <w:ind w:left="760" w:hanging="428"/>
        <w:spacing w:after="0" w:line="184" w:lineRule="auto"/>
        <w:tabs>
          <w:tab w:leader="none" w:pos="760" w:val="left"/>
        </w:tabs>
        <w:numPr>
          <w:ilvl w:val="0"/>
          <w:numId w:val="79"/>
        </w:numPr>
        <w:rPr>
          <w:rFonts w:ascii="Arial" w:cs="Arial" w:eastAsia="Arial" w:hAnsi="Arial"/>
          <w:sz w:val="25"/>
          <w:szCs w:val="25"/>
          <w:color w:val="auto"/>
          <w:vertAlign w:val="superscript"/>
        </w:rPr>
      </w:pPr>
      <w:r>
        <w:rPr>
          <w:rFonts w:ascii="Arial" w:cs="Arial" w:eastAsia="Arial" w:hAnsi="Arial"/>
          <w:sz w:val="17"/>
          <w:szCs w:val="17"/>
          <w:color w:val="auto"/>
        </w:rPr>
        <w:t>Includes RSUs representing 2,335 shares, PSUs representing 1,540 shares and MSUs representing 1,020 shares.</w:t>
      </w:r>
    </w:p>
    <w:p>
      <w:pPr>
        <w:spacing w:after="0" w:line="103" w:lineRule="exact"/>
        <w:rPr>
          <w:rFonts w:ascii="Arial" w:cs="Arial" w:eastAsia="Arial" w:hAnsi="Arial"/>
          <w:sz w:val="25"/>
          <w:szCs w:val="25"/>
          <w:color w:val="auto"/>
          <w:vertAlign w:val="superscript"/>
        </w:rPr>
      </w:pPr>
    </w:p>
    <w:p>
      <w:pPr>
        <w:ind w:left="760" w:hanging="428"/>
        <w:spacing w:after="0" w:line="184" w:lineRule="auto"/>
        <w:tabs>
          <w:tab w:leader="none" w:pos="760" w:val="left"/>
        </w:tabs>
        <w:numPr>
          <w:ilvl w:val="0"/>
          <w:numId w:val="79"/>
        </w:numPr>
        <w:rPr>
          <w:rFonts w:ascii="Arial" w:cs="Arial" w:eastAsia="Arial" w:hAnsi="Arial"/>
          <w:sz w:val="25"/>
          <w:szCs w:val="25"/>
          <w:color w:val="auto"/>
          <w:vertAlign w:val="superscript"/>
        </w:rPr>
      </w:pPr>
      <w:r>
        <w:rPr>
          <w:rFonts w:ascii="Arial" w:cs="Arial" w:eastAsia="Arial" w:hAnsi="Arial"/>
          <w:sz w:val="17"/>
          <w:szCs w:val="17"/>
          <w:color w:val="auto"/>
        </w:rPr>
        <w:t>Includes options to purchase 4,203 shares.</w:t>
      </w:r>
    </w:p>
    <w:p>
      <w:pPr>
        <w:spacing w:after="0" w:line="103" w:lineRule="exact"/>
        <w:rPr>
          <w:rFonts w:ascii="Arial" w:cs="Arial" w:eastAsia="Arial" w:hAnsi="Arial"/>
          <w:sz w:val="25"/>
          <w:szCs w:val="25"/>
          <w:color w:val="auto"/>
          <w:vertAlign w:val="superscript"/>
        </w:rPr>
      </w:pPr>
    </w:p>
    <w:p>
      <w:pPr>
        <w:ind w:left="760" w:hanging="428"/>
        <w:spacing w:after="0" w:line="184" w:lineRule="auto"/>
        <w:tabs>
          <w:tab w:leader="none" w:pos="760" w:val="left"/>
        </w:tabs>
        <w:numPr>
          <w:ilvl w:val="0"/>
          <w:numId w:val="79"/>
        </w:numPr>
        <w:rPr>
          <w:rFonts w:ascii="Arial" w:cs="Arial" w:eastAsia="Arial" w:hAnsi="Arial"/>
          <w:sz w:val="25"/>
          <w:szCs w:val="25"/>
          <w:color w:val="auto"/>
          <w:vertAlign w:val="superscript"/>
        </w:rPr>
      </w:pPr>
      <w:r>
        <w:rPr>
          <w:rFonts w:ascii="Arial" w:cs="Arial" w:eastAsia="Arial" w:hAnsi="Arial"/>
          <w:sz w:val="17"/>
          <w:szCs w:val="17"/>
          <w:color w:val="auto"/>
        </w:rPr>
        <w:t>Includes options to purchase 2,358 shares.</w:t>
      </w:r>
    </w:p>
    <w:p>
      <w:pPr>
        <w:spacing w:after="0" w:line="103" w:lineRule="exact"/>
        <w:rPr>
          <w:rFonts w:ascii="Arial" w:cs="Arial" w:eastAsia="Arial" w:hAnsi="Arial"/>
          <w:sz w:val="25"/>
          <w:szCs w:val="25"/>
          <w:color w:val="auto"/>
          <w:vertAlign w:val="superscript"/>
        </w:rPr>
      </w:pPr>
    </w:p>
    <w:p>
      <w:pPr>
        <w:ind w:left="760" w:hanging="428"/>
        <w:spacing w:after="0" w:line="184" w:lineRule="auto"/>
        <w:tabs>
          <w:tab w:leader="none" w:pos="760" w:val="left"/>
        </w:tabs>
        <w:numPr>
          <w:ilvl w:val="0"/>
          <w:numId w:val="79"/>
        </w:numPr>
        <w:rPr>
          <w:rFonts w:ascii="Arial" w:cs="Arial" w:eastAsia="Arial" w:hAnsi="Arial"/>
          <w:sz w:val="25"/>
          <w:szCs w:val="25"/>
          <w:color w:val="auto"/>
          <w:vertAlign w:val="superscript"/>
        </w:rPr>
      </w:pPr>
      <w:r>
        <w:rPr>
          <w:rFonts w:ascii="Arial" w:cs="Arial" w:eastAsia="Arial" w:hAnsi="Arial"/>
          <w:sz w:val="17"/>
          <w:szCs w:val="17"/>
          <w:color w:val="auto"/>
        </w:rPr>
        <w:t>Includes options to purchase 357 shares.</w:t>
      </w:r>
    </w:p>
    <w:p>
      <w:pPr>
        <w:spacing w:after="0" w:line="103" w:lineRule="exact"/>
        <w:rPr>
          <w:rFonts w:ascii="Arial" w:cs="Arial" w:eastAsia="Arial" w:hAnsi="Arial"/>
          <w:sz w:val="25"/>
          <w:szCs w:val="25"/>
          <w:color w:val="auto"/>
          <w:vertAlign w:val="superscript"/>
        </w:rPr>
      </w:pPr>
    </w:p>
    <w:p>
      <w:pPr>
        <w:ind w:left="760" w:right="100" w:hanging="428"/>
        <w:spacing w:after="0" w:line="213" w:lineRule="auto"/>
        <w:tabs>
          <w:tab w:leader="none" w:pos="760" w:val="left"/>
        </w:tabs>
        <w:numPr>
          <w:ilvl w:val="0"/>
          <w:numId w:val="79"/>
        </w:numPr>
        <w:rPr>
          <w:rFonts w:ascii="Arial" w:cs="Arial" w:eastAsia="Arial" w:hAnsi="Arial"/>
          <w:sz w:val="27"/>
          <w:szCs w:val="27"/>
          <w:color w:val="auto"/>
          <w:vertAlign w:val="superscript"/>
        </w:rPr>
      </w:pPr>
      <w:r>
        <w:rPr>
          <w:rFonts w:ascii="Arial" w:cs="Arial" w:eastAsia="Arial" w:hAnsi="Arial"/>
          <w:sz w:val="18"/>
          <w:szCs w:val="18"/>
          <w:color w:val="auto"/>
        </w:rPr>
        <w:t>Reflects all options, RSUs, PSUs, MSUs and shares held directly and indirectly by individuals or entities listed in the table, referenced in footnotes 5 through 16 above, plus additional options to purchase 7,664 shares, RSUs representing 2,202 shares, PSUs representing 2,148 shares and MSUs representing 1,857 shares held by executive officers who are not individually listed in this table. Mr. Wehmann’s ownership is excluded from this amount as he is no longer an executive officer.</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92</w:t>
      </w:r>
    </w:p>
    <w:p>
      <w:pPr>
        <w:sectPr>
          <w:pgSz w:w="11900" w:h="16838" w:orient="portrait"/>
          <w:cols w:equalWidth="0" w:num="1">
            <w:col w:w="11140"/>
          </w:cols>
          <w:pgMar w:left="320" w:top="482"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720" w:type="dxa"/>
            <w:vAlign w:val="bottom"/>
            <w:shd w:val="clear" w:color="auto" w:fill="F2F2F2"/>
          </w:tcPr>
          <w:p>
            <w:pPr>
              <w:ind w:left="740"/>
              <w:spacing w:after="0"/>
              <w:rPr>
                <w:sz w:val="20"/>
                <w:szCs w:val="20"/>
                <w:color w:val="auto"/>
              </w:rPr>
            </w:pPr>
            <w:r>
              <w:rPr>
                <w:rFonts w:ascii="Arial" w:cs="Arial" w:eastAsia="Arial" w:hAnsi="Arial"/>
                <w:sz w:val="18"/>
                <w:szCs w:val="18"/>
                <w:color w:val="auto"/>
              </w:rPr>
              <w:t>Proxy</w:t>
            </w:r>
          </w:p>
        </w:tc>
        <w:tc>
          <w:tcPr>
            <w:tcW w:w="9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24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Corporate</w:t>
            </w:r>
          </w:p>
        </w:tc>
        <w:tc>
          <w:tcPr>
            <w:tcW w:w="1420" w:type="dxa"/>
            <w:vAlign w:val="bottom"/>
            <w:shd w:val="clear" w:color="auto" w:fill="F2F2F2"/>
          </w:tcPr>
          <w:p>
            <w:pPr>
              <w:ind w:left="120"/>
              <w:spacing w:after="0"/>
              <w:rPr>
                <w:sz w:val="20"/>
                <w:szCs w:val="20"/>
                <w:color w:val="auto"/>
              </w:rPr>
            </w:pPr>
            <w:r>
              <w:rPr>
                <w:rFonts w:ascii="Arial" w:cs="Arial" w:eastAsia="Arial" w:hAnsi="Arial"/>
                <w:sz w:val="18"/>
                <w:szCs w:val="18"/>
                <w:color w:val="auto"/>
              </w:rPr>
              <w:t>Executive</w:t>
            </w:r>
          </w:p>
        </w:tc>
        <w:tc>
          <w:tcPr>
            <w:tcW w:w="15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Audit Committee</w:t>
            </w:r>
          </w:p>
        </w:tc>
        <w:tc>
          <w:tcPr>
            <w:tcW w:w="1300" w:type="dxa"/>
            <w:vAlign w:val="bottom"/>
            <w:shd w:val="clear" w:color="auto" w:fill="F2F2F2"/>
          </w:tcPr>
          <w:p>
            <w:pPr>
              <w:ind w:left="100"/>
              <w:spacing w:after="0"/>
              <w:rPr>
                <w:sz w:val="20"/>
                <w:szCs w:val="20"/>
                <w:color w:val="auto"/>
              </w:rPr>
            </w:pPr>
            <w:r>
              <w:rPr>
                <w:rFonts w:ascii="Arial" w:cs="Arial" w:eastAsia="Arial" w:hAnsi="Arial"/>
                <w:sz w:val="18"/>
                <w:szCs w:val="18"/>
                <w:color w:val="auto"/>
              </w:rPr>
              <w:t>Charter</w:t>
            </w:r>
          </w:p>
        </w:tc>
        <w:tc>
          <w:tcPr>
            <w:tcW w:w="1240" w:type="dxa"/>
            <w:vAlign w:val="bottom"/>
            <w:shd w:val="clear" w:color="auto" w:fill="F2F2F2"/>
          </w:tcPr>
          <w:p>
            <w:pPr>
              <w:ind w:left="120"/>
              <w:spacing w:after="0"/>
              <w:rPr>
                <w:sz w:val="20"/>
                <w:szCs w:val="20"/>
                <w:color w:val="auto"/>
              </w:rPr>
            </w:pPr>
            <w:r>
              <w:rPr>
                <w:rFonts w:ascii="Arial" w:cs="Arial" w:eastAsia="Arial" w:hAnsi="Arial"/>
                <w:sz w:val="18"/>
                <w:szCs w:val="18"/>
                <w:color w:val="auto"/>
              </w:rPr>
              <w:t>Stock</w:t>
            </w:r>
          </w:p>
        </w:tc>
        <w:tc>
          <w:tcPr>
            <w:tcW w:w="15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Other</w:t>
            </w:r>
          </w:p>
        </w:tc>
      </w:tr>
      <w:tr>
        <w:trPr>
          <w:trHeight w:val="203"/>
        </w:trPr>
        <w:tc>
          <w:tcPr>
            <w:tcW w:w="1720" w:type="dxa"/>
            <w:vAlign w:val="bottom"/>
            <w:shd w:val="clear" w:color="auto" w:fill="F2F2F2"/>
          </w:tcPr>
          <w:p>
            <w:pPr>
              <w:ind w:left="740"/>
              <w:spacing w:after="0" w:line="202" w:lineRule="exact"/>
              <w:rPr>
                <w:sz w:val="20"/>
                <w:szCs w:val="20"/>
                <w:color w:val="auto"/>
              </w:rPr>
            </w:pPr>
            <w:r>
              <w:rPr>
                <w:rFonts w:ascii="Arial" w:cs="Arial" w:eastAsia="Arial" w:hAnsi="Arial"/>
                <w:sz w:val="18"/>
                <w:szCs w:val="18"/>
                <w:color w:val="auto"/>
              </w:rPr>
              <w:t>Summary</w:t>
            </w:r>
          </w:p>
        </w:tc>
        <w:tc>
          <w:tcPr>
            <w:tcW w:w="98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24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Governance</w:t>
            </w:r>
          </w:p>
        </w:tc>
        <w:tc>
          <w:tcPr>
            <w:tcW w:w="142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Compensation</w:t>
            </w:r>
          </w:p>
        </w:tc>
        <w:tc>
          <w:tcPr>
            <w:tcW w:w="15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c>
          <w:tcPr>
            <w:tcW w:w="1300" w:type="dxa"/>
            <w:vAlign w:val="bottom"/>
            <w:shd w:val="clear" w:color="auto" w:fill="F2F2F2"/>
          </w:tcPr>
          <w:p>
            <w:pPr>
              <w:ind w:left="100"/>
              <w:spacing w:after="0" w:line="202" w:lineRule="exact"/>
              <w:rPr>
                <w:sz w:val="20"/>
                <w:szCs w:val="20"/>
                <w:color w:val="auto"/>
              </w:rPr>
            </w:pPr>
            <w:r>
              <w:rPr>
                <w:rFonts w:ascii="Arial" w:cs="Arial" w:eastAsia="Arial" w:hAnsi="Arial"/>
                <w:sz w:val="18"/>
                <w:szCs w:val="18"/>
                <w:color w:val="auto"/>
              </w:rPr>
              <w:t>Amendments</w:t>
            </w:r>
          </w:p>
        </w:tc>
        <w:tc>
          <w:tcPr>
            <w:tcW w:w="124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Ownership</w:t>
            </w:r>
          </w:p>
        </w:tc>
        <w:tc>
          <w:tcPr>
            <w:tcW w:w="15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Matters</w:t>
            </w:r>
          </w:p>
        </w:tc>
      </w:tr>
      <w:tr>
        <w:trPr>
          <w:trHeight w:val="194"/>
        </w:trPr>
        <w:tc>
          <w:tcPr>
            <w:tcW w:w="1720" w:type="dxa"/>
            <w:vAlign w:val="bottom"/>
            <w:shd w:val="clear" w:color="auto" w:fill="F2F2F2"/>
          </w:tcPr>
          <w:p>
            <w:pPr>
              <w:spacing w:after="0"/>
              <w:rPr>
                <w:sz w:val="16"/>
                <w:szCs w:val="16"/>
                <w:color w:val="auto"/>
              </w:rPr>
            </w:pPr>
          </w:p>
        </w:tc>
        <w:tc>
          <w:tcPr>
            <w:tcW w:w="98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420" w:type="dxa"/>
            <w:vAlign w:val="bottom"/>
            <w:shd w:val="clear" w:color="auto" w:fill="F2F2F2"/>
          </w:tcPr>
          <w:p>
            <w:pPr>
              <w:spacing w:after="0"/>
              <w:rPr>
                <w:sz w:val="16"/>
                <w:szCs w:val="16"/>
                <w:color w:val="auto"/>
              </w:rPr>
            </w:pPr>
          </w:p>
        </w:tc>
        <w:tc>
          <w:tcPr>
            <w:tcW w:w="158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5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r>
      <w:tr>
        <w:trPr>
          <w:trHeight w:val="34"/>
        </w:trPr>
        <w:tc>
          <w:tcPr>
            <w:tcW w:w="1720" w:type="dxa"/>
            <w:vAlign w:val="bottom"/>
            <w:tcBorders>
              <w:top w:val="single" w:sz="8" w:color="F2F2F2"/>
            </w:tcBorders>
            <w:shd w:val="clear" w:color="auto" w:fill="F2F2F2"/>
          </w:tcPr>
          <w:p>
            <w:pPr>
              <w:spacing w:after="0"/>
              <w:rPr>
                <w:sz w:val="2"/>
                <w:szCs w:val="2"/>
                <w:color w:val="auto"/>
              </w:rPr>
            </w:pPr>
          </w:p>
        </w:tc>
        <w:tc>
          <w:tcPr>
            <w:tcW w:w="980" w:type="dxa"/>
            <w:vAlign w:val="bottom"/>
            <w:tcBorders>
              <w:top w:val="single" w:sz="8" w:color="F2F2F2"/>
            </w:tcBorders>
            <w:shd w:val="clear" w:color="auto" w:fill="F2F2F2"/>
          </w:tcPr>
          <w:p>
            <w:pPr>
              <w:spacing w:after="0"/>
              <w:rPr>
                <w:sz w:val="2"/>
                <w:szCs w:val="2"/>
                <w:color w:val="auto"/>
              </w:rPr>
            </w:pPr>
          </w:p>
        </w:tc>
        <w:tc>
          <w:tcPr>
            <w:tcW w:w="1240" w:type="dxa"/>
            <w:vAlign w:val="bottom"/>
            <w:tcBorders>
              <w:top w:val="single" w:sz="8" w:color="F2F2F2"/>
            </w:tcBorders>
            <w:shd w:val="clear" w:color="auto" w:fill="F2F2F2"/>
          </w:tcPr>
          <w:p>
            <w:pPr>
              <w:spacing w:after="0"/>
              <w:rPr>
                <w:sz w:val="2"/>
                <w:szCs w:val="2"/>
                <w:color w:val="auto"/>
              </w:rPr>
            </w:pPr>
          </w:p>
        </w:tc>
        <w:tc>
          <w:tcPr>
            <w:tcW w:w="1420" w:type="dxa"/>
            <w:vAlign w:val="bottom"/>
            <w:tcBorders>
              <w:top w:val="single" w:sz="8" w:color="F2F2F2"/>
            </w:tcBorders>
            <w:shd w:val="clear" w:color="auto" w:fill="F2F2F2"/>
          </w:tcPr>
          <w:p>
            <w:pPr>
              <w:spacing w:after="0"/>
              <w:rPr>
                <w:sz w:val="2"/>
                <w:szCs w:val="2"/>
                <w:color w:val="auto"/>
              </w:rPr>
            </w:pPr>
          </w:p>
        </w:tc>
        <w:tc>
          <w:tcPr>
            <w:tcW w:w="1580" w:type="dxa"/>
            <w:vAlign w:val="bottom"/>
            <w:tcBorders>
              <w:top w:val="single" w:sz="8" w:color="F2F2F2"/>
            </w:tcBorders>
            <w:shd w:val="clear" w:color="auto" w:fill="F2F2F2"/>
          </w:tcPr>
          <w:p>
            <w:pPr>
              <w:spacing w:after="0"/>
              <w:rPr>
                <w:sz w:val="2"/>
                <w:szCs w:val="2"/>
                <w:color w:val="auto"/>
              </w:rPr>
            </w:pPr>
          </w:p>
        </w:tc>
        <w:tc>
          <w:tcPr>
            <w:tcW w:w="1300" w:type="dxa"/>
            <w:vAlign w:val="bottom"/>
            <w:tcBorders>
              <w:top w:val="single" w:sz="8" w:color="F2F2F2"/>
            </w:tcBorders>
            <w:shd w:val="clear" w:color="auto" w:fill="F2F2F2"/>
          </w:tcPr>
          <w:p>
            <w:pPr>
              <w:spacing w:after="0"/>
              <w:rPr>
                <w:sz w:val="2"/>
                <w:szCs w:val="2"/>
                <w:color w:val="auto"/>
              </w:rPr>
            </w:pPr>
          </w:p>
        </w:tc>
        <w:tc>
          <w:tcPr>
            <w:tcW w:w="124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720" w:type="dxa"/>
            <w:vAlign w:val="bottom"/>
            <w:tcBorders>
              <w:top w:val="single" w:sz="8" w:color="F2F2F2"/>
            </w:tcBorders>
            <w:shd w:val="clear" w:color="auto" w:fill="F2F2F2"/>
          </w:tcPr>
          <w:p>
            <w:pPr>
              <w:spacing w:after="0"/>
              <w:rPr>
                <w:sz w:val="2"/>
                <w:szCs w:val="2"/>
                <w:color w:val="auto"/>
              </w:rPr>
            </w:pPr>
          </w:p>
        </w:tc>
      </w:tr>
    </w:tbl>
    <w:p>
      <w:pPr>
        <w:spacing w:after="0" w:line="11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QUESTIONS AND ANSWERS ABOUT THE ANNUAL MEETING</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did I receive this proxy statement?</w:t>
      </w:r>
    </w:p>
    <w:p>
      <w:pPr>
        <w:spacing w:after="0" w:line="104"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The Board of Directors is soliciting your proxy to vote at the Annual Meeting to be held on March 4, 2026, because you were a stockholder of Fair Isaac Corporation at the close of business on January 5, 2026, the record date, and are entitled to vote at the meeting.</w:t>
      </w:r>
    </w:p>
    <w:p>
      <w:pPr>
        <w:spacing w:after="0" w:line="46"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This proxy statement, the proxy card and the Annual Report (collectively, the “Proxy Material”) are being mailed to stockholders beginning on or about January 27, 2026. The proxy statement summarizes the information you need to know to vote at the Annual Meeting. You do not need to attend the Annual Meeting to vote your shares.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104"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If your shares are registered directly in your name with our transfer agent, Computershare, you are considered the “stockholder of record” with respect to those shares. We sent the Proxy Material directly to you. You have the right to vote these shares directly.</w:t>
      </w:r>
    </w:p>
    <w:p>
      <w:pPr>
        <w:spacing w:after="0" w:line="154" w:lineRule="exact"/>
        <w:rPr>
          <w:sz w:val="20"/>
          <w:szCs w:val="20"/>
          <w:color w:val="auto"/>
        </w:rPr>
      </w:pPr>
    </w:p>
    <w:p>
      <w:pPr>
        <w:jc w:val="both"/>
        <w:ind w:left="120" w:right="20" w:firstLine="551"/>
        <w:spacing w:after="0" w:line="244" w:lineRule="auto"/>
        <w:rPr>
          <w:sz w:val="20"/>
          <w:szCs w:val="20"/>
          <w:color w:val="auto"/>
        </w:rPr>
      </w:pPr>
      <w:r>
        <w:rPr>
          <w:rFonts w:ascii="Arial" w:cs="Arial" w:eastAsia="Arial" w:hAnsi="Arial"/>
          <w:sz w:val="18"/>
          <w:szCs w:val="18"/>
          <w:color w:val="auto"/>
        </w:rPr>
        <w:t>If your shares are held in a stock brokerage account or by a bank or other nominee, you are considered the “beneficial owner” of shares held in street name. In this case, the Proxy Material has been forwarded to you by your broker, bank or nominee who is considered the stockholder of record with respect to those shares. As the beneficial owner, you have the right to direct your broker, bank or nominee how to vote your shares by using the voting instruction card included in the mailing or by following their instructions for voting by telephone or the internet.</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am I voting on and how does the Board recommend that I vote?</w:t>
      </w:r>
    </w:p>
    <w:p>
      <w:pPr>
        <w:spacing w:after="0" w:line="117" w:lineRule="exact"/>
        <w:rPr>
          <w:sz w:val="20"/>
          <w:szCs w:val="20"/>
          <w:color w:val="auto"/>
        </w:rPr>
      </w:pPr>
    </w:p>
    <w:p>
      <w:pPr>
        <w:ind w:left="1300" w:hanging="644"/>
        <w:spacing w:after="0" w:line="271"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Election of eight directors: Braden R. Kelly, Fabiola R. Arredondo, William J. Lansing, Eva Manolis, Marc F. McMorris, Joanna Rees, David A. Rey, and H. Tayloe Stansbury;</w:t>
      </w:r>
    </w:p>
    <w:p>
      <w:pPr>
        <w:spacing w:after="0" w:line="59" w:lineRule="exact"/>
        <w:rPr>
          <w:rFonts w:ascii="Arial" w:cs="Arial" w:eastAsia="Arial" w:hAnsi="Arial"/>
          <w:sz w:val="18"/>
          <w:szCs w:val="18"/>
          <w:color w:val="auto"/>
        </w:rPr>
      </w:pPr>
    </w:p>
    <w:p>
      <w:pPr>
        <w:ind w:left="1300" w:right="20" w:hanging="644"/>
        <w:spacing w:after="0" w:line="271"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Approval of the advisory (non-binding) resolution relating to the named executive officer compensation as disclosed in this proxy statement;</w:t>
      </w:r>
    </w:p>
    <w:p>
      <w:pPr>
        <w:spacing w:after="0" w:line="59" w:lineRule="exact"/>
        <w:rPr>
          <w:rFonts w:ascii="Arial" w:cs="Arial" w:eastAsia="Arial" w:hAnsi="Arial"/>
          <w:sz w:val="18"/>
          <w:szCs w:val="18"/>
          <w:color w:val="auto"/>
        </w:rPr>
      </w:pPr>
    </w:p>
    <w:p>
      <w:pPr>
        <w:ind w:left="1300" w:right="20" w:hanging="644"/>
        <w:spacing w:after="0" w:line="271"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Ratification of the appointment of Deloitte &amp; Touche LLP as our independent registered public accounting firm for the fiscal year ending September 30, 2026;</w:t>
      </w:r>
    </w:p>
    <w:p>
      <w:pPr>
        <w:spacing w:after="0" w:line="59" w:lineRule="exact"/>
        <w:rPr>
          <w:rFonts w:ascii="Arial" w:cs="Arial" w:eastAsia="Arial" w:hAnsi="Arial"/>
          <w:sz w:val="18"/>
          <w:szCs w:val="18"/>
          <w:color w:val="auto"/>
        </w:rPr>
      </w:pPr>
    </w:p>
    <w:p>
      <w:pPr>
        <w:ind w:left="1300" w:right="20" w:hanging="644"/>
        <w:spacing w:after="0" w:line="271"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Approval of an amendment to our Restated Certificate of Incorporation to allow for exculpation of officers as permitted by Delaware law;</w:t>
      </w:r>
    </w:p>
    <w:p>
      <w:pPr>
        <w:spacing w:after="0" w:line="59" w:lineRule="exact"/>
        <w:rPr>
          <w:rFonts w:ascii="Arial" w:cs="Arial" w:eastAsia="Arial" w:hAnsi="Arial"/>
          <w:sz w:val="18"/>
          <w:szCs w:val="18"/>
          <w:color w:val="auto"/>
        </w:rPr>
      </w:pPr>
    </w:p>
    <w:p>
      <w:pPr>
        <w:ind w:left="1300" w:right="20" w:hanging="644"/>
        <w:spacing w:after="0" w:line="271"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Approval of an amendment to our Restated Certificate of Incorporation to eliminate the supermajority voting requirement; and</w:t>
      </w:r>
    </w:p>
    <w:p>
      <w:pPr>
        <w:spacing w:after="0" w:line="59" w:lineRule="exact"/>
        <w:rPr>
          <w:rFonts w:ascii="Arial" w:cs="Arial" w:eastAsia="Arial" w:hAnsi="Arial"/>
          <w:sz w:val="18"/>
          <w:szCs w:val="18"/>
          <w:color w:val="auto"/>
        </w:rPr>
      </w:pPr>
    </w:p>
    <w:p>
      <w:pPr>
        <w:ind w:left="1300" w:hanging="64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such business as may properly come before the meeting or any adjournment thereof.</w:t>
      </w:r>
    </w:p>
    <w:p>
      <w:pPr>
        <w:spacing w:after="0" w:line="212" w:lineRule="exact"/>
        <w:rPr>
          <w:sz w:val="20"/>
          <w:szCs w:val="20"/>
          <w:color w:val="auto"/>
        </w:rPr>
      </w:pPr>
    </w:p>
    <w:p>
      <w:pPr>
        <w:jc w:val="both"/>
        <w:ind w:left="120" w:firstLine="551"/>
        <w:spacing w:after="0" w:line="244" w:lineRule="auto"/>
        <w:rPr>
          <w:sz w:val="20"/>
          <w:szCs w:val="20"/>
          <w:color w:val="auto"/>
        </w:rPr>
      </w:pPr>
      <w:r>
        <w:rPr>
          <w:rFonts w:ascii="Arial" w:cs="Arial" w:eastAsia="Arial" w:hAnsi="Arial"/>
          <w:sz w:val="18"/>
          <w:szCs w:val="18"/>
          <w:color w:val="auto"/>
        </w:rPr>
        <w:t xml:space="preserve">The Board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 nominees to the Board of Directors,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the advisory (non-binding) resolution relating to the named executive officer compensation as disclosed in this proxy statement,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Deloitte’s appointment as independent registered public accounting firm for the fiscal year ending September 30, 2026,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the amendment to our Restated Certificate of Incorporation to allow for exculpation of officers as permitted by Delaware law,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the amendment to our Restated Certificate of Incorporation to eliminate the supermajority voting requirement.</w:t>
      </w:r>
    </w:p>
    <w:p>
      <w:pPr>
        <w:spacing w:after="0" w:line="176"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For all proposals, all votes will be tabulated by the inspector of election appointed for the Annual Meeting, who will tabulate affirmative votes, negative votes, abstentions and broker non-votes.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voting requirement to elect the directors (Proposal 1)?</w:t>
      </w:r>
    </w:p>
    <w:p>
      <w:pPr>
        <w:spacing w:after="0" w:line="104" w:lineRule="exact"/>
        <w:rPr>
          <w:sz w:val="20"/>
          <w:szCs w:val="20"/>
          <w:color w:val="auto"/>
        </w:rPr>
      </w:pPr>
    </w:p>
    <w:p>
      <w:pPr>
        <w:jc w:val="both"/>
        <w:ind w:left="120" w:right="20" w:firstLine="551"/>
        <w:spacing w:after="0" w:line="242" w:lineRule="auto"/>
        <w:rPr>
          <w:sz w:val="20"/>
          <w:szCs w:val="20"/>
          <w:color w:val="auto"/>
        </w:rPr>
      </w:pPr>
      <w:r>
        <w:rPr>
          <w:rFonts w:ascii="Arial" w:cs="Arial" w:eastAsia="Arial" w:hAnsi="Arial"/>
          <w:sz w:val="18"/>
          <w:szCs w:val="18"/>
          <w:color w:val="auto"/>
        </w:rPr>
        <w:t>To be elected, the number of votes cast “FOR” a director nominee must exceed the number of votes cast “AGAINST” that nominee. The Company requires that all nominees submit an irrevocable letter of resignation as a condition to being named as a nominee, which resignation will be effective if (i) the nominee fails to receive a sufficient number of votes to be elected and (ii) the Board accepts such resignation. Cumulative voting for the election of directors is not permitted. Abstentions will not be counted “FOR” or “AGAINST” a nominee. Your broker or other nominee does not have discretionary authority to vote your shares on the election of directors, so any shares you hold</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93</w:t>
      </w:r>
    </w:p>
    <w:p>
      <w:pPr>
        <w:sectPr>
          <w:pgSz w:w="11900" w:h="16838" w:orient="portrait"/>
          <w:cols w:equalWidth="0" w:num="1">
            <w:col w:w="11140"/>
          </w:cols>
          <w:pgMar w:left="320" w:top="482"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720" w:type="dxa"/>
            <w:vAlign w:val="bottom"/>
            <w:shd w:val="clear" w:color="auto" w:fill="F2F2F2"/>
          </w:tcPr>
          <w:p>
            <w:pPr>
              <w:ind w:left="740"/>
              <w:spacing w:after="0"/>
              <w:rPr>
                <w:sz w:val="20"/>
                <w:szCs w:val="20"/>
                <w:color w:val="auto"/>
              </w:rPr>
            </w:pPr>
            <w:r>
              <w:rPr>
                <w:rFonts w:ascii="Arial" w:cs="Arial" w:eastAsia="Arial" w:hAnsi="Arial"/>
                <w:sz w:val="18"/>
                <w:szCs w:val="18"/>
                <w:color w:val="auto"/>
              </w:rPr>
              <w:t>Proxy</w:t>
            </w:r>
          </w:p>
        </w:tc>
        <w:tc>
          <w:tcPr>
            <w:tcW w:w="9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24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Corporate</w:t>
            </w:r>
          </w:p>
        </w:tc>
        <w:tc>
          <w:tcPr>
            <w:tcW w:w="1420" w:type="dxa"/>
            <w:vAlign w:val="bottom"/>
            <w:shd w:val="clear" w:color="auto" w:fill="F2F2F2"/>
          </w:tcPr>
          <w:p>
            <w:pPr>
              <w:ind w:left="120"/>
              <w:spacing w:after="0"/>
              <w:rPr>
                <w:sz w:val="20"/>
                <w:szCs w:val="20"/>
                <w:color w:val="auto"/>
              </w:rPr>
            </w:pPr>
            <w:r>
              <w:rPr>
                <w:rFonts w:ascii="Arial" w:cs="Arial" w:eastAsia="Arial" w:hAnsi="Arial"/>
                <w:sz w:val="18"/>
                <w:szCs w:val="18"/>
                <w:color w:val="auto"/>
              </w:rPr>
              <w:t>Executive</w:t>
            </w:r>
          </w:p>
        </w:tc>
        <w:tc>
          <w:tcPr>
            <w:tcW w:w="15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Audit Committee</w:t>
            </w:r>
          </w:p>
        </w:tc>
        <w:tc>
          <w:tcPr>
            <w:tcW w:w="1300" w:type="dxa"/>
            <w:vAlign w:val="bottom"/>
            <w:shd w:val="clear" w:color="auto" w:fill="F2F2F2"/>
          </w:tcPr>
          <w:p>
            <w:pPr>
              <w:ind w:left="100"/>
              <w:spacing w:after="0"/>
              <w:rPr>
                <w:sz w:val="20"/>
                <w:szCs w:val="20"/>
                <w:color w:val="auto"/>
              </w:rPr>
            </w:pPr>
            <w:r>
              <w:rPr>
                <w:rFonts w:ascii="Arial" w:cs="Arial" w:eastAsia="Arial" w:hAnsi="Arial"/>
                <w:sz w:val="18"/>
                <w:szCs w:val="18"/>
                <w:color w:val="auto"/>
              </w:rPr>
              <w:t>Charter</w:t>
            </w:r>
          </w:p>
        </w:tc>
        <w:tc>
          <w:tcPr>
            <w:tcW w:w="1240" w:type="dxa"/>
            <w:vAlign w:val="bottom"/>
            <w:shd w:val="clear" w:color="auto" w:fill="F2F2F2"/>
          </w:tcPr>
          <w:p>
            <w:pPr>
              <w:ind w:left="120"/>
              <w:spacing w:after="0"/>
              <w:rPr>
                <w:sz w:val="20"/>
                <w:szCs w:val="20"/>
                <w:color w:val="auto"/>
              </w:rPr>
            </w:pPr>
            <w:r>
              <w:rPr>
                <w:rFonts w:ascii="Arial" w:cs="Arial" w:eastAsia="Arial" w:hAnsi="Arial"/>
                <w:sz w:val="18"/>
                <w:szCs w:val="18"/>
                <w:color w:val="auto"/>
              </w:rPr>
              <w:t>Stock</w:t>
            </w:r>
          </w:p>
        </w:tc>
        <w:tc>
          <w:tcPr>
            <w:tcW w:w="15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Other</w:t>
            </w:r>
          </w:p>
        </w:tc>
      </w:tr>
      <w:tr>
        <w:trPr>
          <w:trHeight w:val="203"/>
        </w:trPr>
        <w:tc>
          <w:tcPr>
            <w:tcW w:w="1720" w:type="dxa"/>
            <w:vAlign w:val="bottom"/>
            <w:shd w:val="clear" w:color="auto" w:fill="F2F2F2"/>
          </w:tcPr>
          <w:p>
            <w:pPr>
              <w:ind w:left="740"/>
              <w:spacing w:after="0" w:line="202" w:lineRule="exact"/>
              <w:rPr>
                <w:sz w:val="20"/>
                <w:szCs w:val="20"/>
                <w:color w:val="auto"/>
              </w:rPr>
            </w:pPr>
            <w:r>
              <w:rPr>
                <w:rFonts w:ascii="Arial" w:cs="Arial" w:eastAsia="Arial" w:hAnsi="Arial"/>
                <w:sz w:val="18"/>
                <w:szCs w:val="18"/>
                <w:color w:val="auto"/>
              </w:rPr>
              <w:t>Summary</w:t>
            </w:r>
          </w:p>
        </w:tc>
        <w:tc>
          <w:tcPr>
            <w:tcW w:w="98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24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Governance</w:t>
            </w:r>
          </w:p>
        </w:tc>
        <w:tc>
          <w:tcPr>
            <w:tcW w:w="142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Compensation</w:t>
            </w:r>
          </w:p>
        </w:tc>
        <w:tc>
          <w:tcPr>
            <w:tcW w:w="15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c>
          <w:tcPr>
            <w:tcW w:w="1300" w:type="dxa"/>
            <w:vAlign w:val="bottom"/>
            <w:shd w:val="clear" w:color="auto" w:fill="F2F2F2"/>
          </w:tcPr>
          <w:p>
            <w:pPr>
              <w:ind w:left="100"/>
              <w:spacing w:after="0" w:line="202" w:lineRule="exact"/>
              <w:rPr>
                <w:sz w:val="20"/>
                <w:szCs w:val="20"/>
                <w:color w:val="auto"/>
              </w:rPr>
            </w:pPr>
            <w:r>
              <w:rPr>
                <w:rFonts w:ascii="Arial" w:cs="Arial" w:eastAsia="Arial" w:hAnsi="Arial"/>
                <w:sz w:val="18"/>
                <w:szCs w:val="18"/>
                <w:color w:val="auto"/>
              </w:rPr>
              <w:t>Amendments</w:t>
            </w:r>
          </w:p>
        </w:tc>
        <w:tc>
          <w:tcPr>
            <w:tcW w:w="124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Ownership</w:t>
            </w:r>
          </w:p>
        </w:tc>
        <w:tc>
          <w:tcPr>
            <w:tcW w:w="15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Matters</w:t>
            </w:r>
          </w:p>
        </w:tc>
      </w:tr>
      <w:tr>
        <w:trPr>
          <w:trHeight w:val="194"/>
        </w:trPr>
        <w:tc>
          <w:tcPr>
            <w:tcW w:w="1720" w:type="dxa"/>
            <w:vAlign w:val="bottom"/>
            <w:shd w:val="clear" w:color="auto" w:fill="F2F2F2"/>
          </w:tcPr>
          <w:p>
            <w:pPr>
              <w:spacing w:after="0"/>
              <w:rPr>
                <w:sz w:val="16"/>
                <w:szCs w:val="16"/>
                <w:color w:val="auto"/>
              </w:rPr>
            </w:pPr>
          </w:p>
        </w:tc>
        <w:tc>
          <w:tcPr>
            <w:tcW w:w="98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420" w:type="dxa"/>
            <w:vAlign w:val="bottom"/>
            <w:shd w:val="clear" w:color="auto" w:fill="F2F2F2"/>
          </w:tcPr>
          <w:p>
            <w:pPr>
              <w:spacing w:after="0"/>
              <w:rPr>
                <w:sz w:val="16"/>
                <w:szCs w:val="16"/>
                <w:color w:val="auto"/>
              </w:rPr>
            </w:pPr>
          </w:p>
        </w:tc>
        <w:tc>
          <w:tcPr>
            <w:tcW w:w="158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5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r>
      <w:tr>
        <w:trPr>
          <w:trHeight w:val="34"/>
        </w:trPr>
        <w:tc>
          <w:tcPr>
            <w:tcW w:w="1720" w:type="dxa"/>
            <w:vAlign w:val="bottom"/>
            <w:tcBorders>
              <w:top w:val="single" w:sz="8" w:color="F2F2F2"/>
            </w:tcBorders>
            <w:shd w:val="clear" w:color="auto" w:fill="F2F2F2"/>
          </w:tcPr>
          <w:p>
            <w:pPr>
              <w:spacing w:after="0"/>
              <w:rPr>
                <w:sz w:val="2"/>
                <w:szCs w:val="2"/>
                <w:color w:val="auto"/>
              </w:rPr>
            </w:pPr>
          </w:p>
        </w:tc>
        <w:tc>
          <w:tcPr>
            <w:tcW w:w="980" w:type="dxa"/>
            <w:vAlign w:val="bottom"/>
            <w:tcBorders>
              <w:top w:val="single" w:sz="8" w:color="F2F2F2"/>
            </w:tcBorders>
            <w:shd w:val="clear" w:color="auto" w:fill="F2F2F2"/>
          </w:tcPr>
          <w:p>
            <w:pPr>
              <w:spacing w:after="0"/>
              <w:rPr>
                <w:sz w:val="2"/>
                <w:szCs w:val="2"/>
                <w:color w:val="auto"/>
              </w:rPr>
            </w:pPr>
          </w:p>
        </w:tc>
        <w:tc>
          <w:tcPr>
            <w:tcW w:w="1240" w:type="dxa"/>
            <w:vAlign w:val="bottom"/>
            <w:tcBorders>
              <w:top w:val="single" w:sz="8" w:color="F2F2F2"/>
            </w:tcBorders>
            <w:shd w:val="clear" w:color="auto" w:fill="F2F2F2"/>
          </w:tcPr>
          <w:p>
            <w:pPr>
              <w:spacing w:after="0"/>
              <w:rPr>
                <w:sz w:val="2"/>
                <w:szCs w:val="2"/>
                <w:color w:val="auto"/>
              </w:rPr>
            </w:pPr>
          </w:p>
        </w:tc>
        <w:tc>
          <w:tcPr>
            <w:tcW w:w="1420" w:type="dxa"/>
            <w:vAlign w:val="bottom"/>
            <w:tcBorders>
              <w:top w:val="single" w:sz="8" w:color="F2F2F2"/>
            </w:tcBorders>
            <w:shd w:val="clear" w:color="auto" w:fill="F2F2F2"/>
          </w:tcPr>
          <w:p>
            <w:pPr>
              <w:spacing w:after="0"/>
              <w:rPr>
                <w:sz w:val="2"/>
                <w:szCs w:val="2"/>
                <w:color w:val="auto"/>
              </w:rPr>
            </w:pPr>
          </w:p>
        </w:tc>
        <w:tc>
          <w:tcPr>
            <w:tcW w:w="1580" w:type="dxa"/>
            <w:vAlign w:val="bottom"/>
            <w:tcBorders>
              <w:top w:val="single" w:sz="8" w:color="F2F2F2"/>
            </w:tcBorders>
            <w:shd w:val="clear" w:color="auto" w:fill="F2F2F2"/>
          </w:tcPr>
          <w:p>
            <w:pPr>
              <w:spacing w:after="0"/>
              <w:rPr>
                <w:sz w:val="2"/>
                <w:szCs w:val="2"/>
                <w:color w:val="auto"/>
              </w:rPr>
            </w:pPr>
          </w:p>
        </w:tc>
        <w:tc>
          <w:tcPr>
            <w:tcW w:w="1300" w:type="dxa"/>
            <w:vAlign w:val="bottom"/>
            <w:tcBorders>
              <w:top w:val="single" w:sz="8" w:color="F2F2F2"/>
            </w:tcBorders>
            <w:shd w:val="clear" w:color="auto" w:fill="F2F2F2"/>
          </w:tcPr>
          <w:p>
            <w:pPr>
              <w:spacing w:after="0"/>
              <w:rPr>
                <w:sz w:val="2"/>
                <w:szCs w:val="2"/>
                <w:color w:val="auto"/>
              </w:rPr>
            </w:pPr>
          </w:p>
        </w:tc>
        <w:tc>
          <w:tcPr>
            <w:tcW w:w="124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72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in street name will not be cast if your broker, bank, trust or other nominee does not receive voting instructions from you. Therefore, broker non-votes will be counted toward the presence of a quorum but will not be counted “FOR” or “AGAINST” a nominee.</w:t>
      </w:r>
    </w:p>
    <w:p>
      <w:pPr>
        <w:spacing w:after="0" w:line="154" w:lineRule="exact"/>
        <w:rPr>
          <w:sz w:val="20"/>
          <w:szCs w:val="20"/>
          <w:color w:val="auto"/>
        </w:rPr>
      </w:pPr>
    </w:p>
    <w:p>
      <w:pPr>
        <w:ind w:left="120" w:right="340"/>
        <w:spacing w:after="0" w:line="281" w:lineRule="auto"/>
        <w:rPr>
          <w:sz w:val="20"/>
          <w:szCs w:val="20"/>
          <w:color w:val="auto"/>
        </w:rPr>
      </w:pPr>
      <w:r>
        <w:rPr>
          <w:rFonts w:ascii="Arial" w:cs="Arial" w:eastAsia="Arial" w:hAnsi="Arial"/>
          <w:sz w:val="18"/>
          <w:szCs w:val="18"/>
          <w:b w:val="1"/>
          <w:bCs w:val="1"/>
          <w:color w:val="auto"/>
        </w:rPr>
        <w:t>What is the voting requirement for advisory approval of the named executive officer compensation as disclosed in this proxy statement (Proposal 2)?</w:t>
      </w:r>
    </w:p>
    <w:p>
      <w:pPr>
        <w:spacing w:after="0" w:line="28"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The affirmative vote of a majority of the shares present or represented by proxy and entitled to vote on this proposal at the Annual Meeting is necessary for advisory approval of the named executive officer compensation as disclosed in this proxy statement. Because your vote on executive compensation is advisory, it will not be binding upon the Company or the Board of Directors. However, the LDCC will take into account the outcome of the vote when considering future executive officer compensation programs. Abstentions will be counted toward a quorum and have the effect of negative votes with respect to this proposal. Your broker or other nominee does not have discretionary authority to vote your shares on compensation-related proposals, so any shares you hold in street name will not be cast if your broker, bank, trust or other nominee does not receive voting instructions from you. Therefore, broker non-votes will be counted toward the presence of a quorum but will not be counted “FOR,” “AGAINST” or “ABSTAIN” on Proposal 2.</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voting requirement to ratify the appointment of Deloitte (Proposal 3)?</w:t>
      </w:r>
    </w:p>
    <w:p>
      <w:pPr>
        <w:spacing w:after="0" w:line="104" w:lineRule="exact"/>
        <w:rPr>
          <w:sz w:val="20"/>
          <w:szCs w:val="20"/>
          <w:color w:val="auto"/>
        </w:rPr>
      </w:pPr>
    </w:p>
    <w:p>
      <w:pPr>
        <w:jc w:val="both"/>
        <w:ind w:left="120" w:firstLine="551"/>
        <w:spacing w:after="0" w:line="244" w:lineRule="auto"/>
        <w:rPr>
          <w:sz w:val="20"/>
          <w:szCs w:val="20"/>
          <w:color w:val="auto"/>
        </w:rPr>
      </w:pPr>
      <w:r>
        <w:rPr>
          <w:rFonts w:ascii="Arial" w:cs="Arial" w:eastAsia="Arial" w:hAnsi="Arial"/>
          <w:sz w:val="18"/>
          <w:szCs w:val="18"/>
          <w:color w:val="auto"/>
        </w:rPr>
        <w:t>The affirmative vote of a majority of the shares present or represented by proxy and entitled to vote on this proposal at the Annual Meeting is necessary to ratify the appointment of Deloitte as our independent auditors for the fiscal year ending September 30, 2026. Abstentions will be counted toward a quorum and have the effect of negative votes with respect to this proposal. Your broker or other nominee does have discretionary authority to vote your shares on Proposal 3, even if the broker or other nominee does not receive voting instructions from you. Therefore, we do not expect any broker non-votes with respect to Proposal 3.</w:t>
      </w:r>
    </w:p>
    <w:p>
      <w:pPr>
        <w:spacing w:after="0" w:line="176" w:lineRule="exact"/>
        <w:rPr>
          <w:sz w:val="20"/>
          <w:szCs w:val="20"/>
          <w:color w:val="auto"/>
        </w:rPr>
      </w:pPr>
    </w:p>
    <w:p>
      <w:pPr>
        <w:ind w:left="120" w:right="300"/>
        <w:spacing w:after="0" w:line="281" w:lineRule="auto"/>
        <w:rPr>
          <w:sz w:val="20"/>
          <w:szCs w:val="20"/>
          <w:color w:val="auto"/>
        </w:rPr>
      </w:pPr>
      <w:r>
        <w:rPr>
          <w:rFonts w:ascii="Arial" w:cs="Arial" w:eastAsia="Arial" w:hAnsi="Arial"/>
          <w:sz w:val="18"/>
          <w:szCs w:val="18"/>
          <w:b w:val="1"/>
          <w:bCs w:val="1"/>
          <w:color w:val="auto"/>
        </w:rPr>
        <w:t>What is the voting requirement to approve the amendment to the Company’s Restated Certificate of Incorporation to allow for exculpation of officers as permitted by Delaware law (Proposal 4)?</w:t>
      </w:r>
    </w:p>
    <w:p>
      <w:pPr>
        <w:spacing w:after="0" w:line="28" w:lineRule="exact"/>
        <w:rPr>
          <w:sz w:val="20"/>
          <w:szCs w:val="20"/>
          <w:color w:val="auto"/>
        </w:rPr>
      </w:pPr>
    </w:p>
    <w:p>
      <w:pPr>
        <w:jc w:val="both"/>
        <w:ind w:left="120" w:right="20" w:firstLine="551"/>
        <w:spacing w:after="0" w:line="242" w:lineRule="auto"/>
        <w:rPr>
          <w:sz w:val="20"/>
          <w:szCs w:val="20"/>
          <w:color w:val="auto"/>
        </w:rPr>
      </w:pPr>
      <w:r>
        <w:rPr>
          <w:rFonts w:ascii="Arial" w:cs="Arial" w:eastAsia="Arial" w:hAnsi="Arial"/>
          <w:sz w:val="18"/>
          <w:szCs w:val="18"/>
          <w:color w:val="auto"/>
        </w:rPr>
        <w:t>The affirmative vote of a majority of the outstanding shares entitled to vote on this proposal at the Annual Meeting is necessary to approve the amendment to the Company’s Restated Certificate of Incorporation to allow for exculpation of officers as permitted by Delaware law. Abstentions will be counted toward a quorum and have the effect of negative votes with respect to this proposal. Your broker or other nominee does not have discretionary authority to vote your shares on Proposal 4, so any shares you hold in street name will not be cast if your broker, bank, trust or other nominee does not receive voting instructions from you. Therefore, broker non-votes will be counted toward the presence of a quorum and will have the same effect as votes cast “AGAINST” Proposal 4.</w:t>
      </w:r>
    </w:p>
    <w:p>
      <w:pPr>
        <w:spacing w:after="0" w:line="179" w:lineRule="exact"/>
        <w:rPr>
          <w:sz w:val="20"/>
          <w:szCs w:val="20"/>
          <w:color w:val="auto"/>
        </w:rPr>
      </w:pPr>
    </w:p>
    <w:p>
      <w:pPr>
        <w:ind w:left="120" w:right="260"/>
        <w:spacing w:after="0" w:line="281" w:lineRule="auto"/>
        <w:rPr>
          <w:sz w:val="20"/>
          <w:szCs w:val="20"/>
          <w:color w:val="auto"/>
        </w:rPr>
      </w:pPr>
      <w:r>
        <w:rPr>
          <w:rFonts w:ascii="Arial" w:cs="Arial" w:eastAsia="Arial" w:hAnsi="Arial"/>
          <w:sz w:val="18"/>
          <w:szCs w:val="18"/>
          <w:b w:val="1"/>
          <w:bCs w:val="1"/>
          <w:color w:val="auto"/>
        </w:rPr>
        <w:t>What is the voting requirement to approve the amendment to the Company’s Restated Certificate of Incorporation to eliminate the supermajority voting requirement (Proposal 5)?</w:t>
      </w:r>
    </w:p>
    <w:p>
      <w:pPr>
        <w:spacing w:after="0" w:line="28" w:lineRule="exact"/>
        <w:rPr>
          <w:sz w:val="20"/>
          <w:szCs w:val="20"/>
          <w:color w:val="auto"/>
        </w:rPr>
      </w:pPr>
    </w:p>
    <w:p>
      <w:pPr>
        <w:jc w:val="both"/>
        <w:ind w:left="120" w:right="20" w:firstLine="551"/>
        <w:spacing w:after="0" w:line="242" w:lineRule="auto"/>
        <w:rPr>
          <w:sz w:val="20"/>
          <w:szCs w:val="20"/>
          <w:color w:val="auto"/>
        </w:rPr>
      </w:pPr>
      <w:r>
        <w:rPr>
          <w:rFonts w:ascii="Arial" w:cs="Arial" w:eastAsia="Arial" w:hAnsi="Arial"/>
          <w:sz w:val="18"/>
          <w:szCs w:val="18"/>
          <w:color w:val="auto"/>
        </w:rPr>
        <w:t>The affirmative vote of the holders of at least 66-2/3% of the outstanding shares entitled to vote on this proposal at the Annual Meeting is necessary to approve the amendment to the Company’s Restated Certificate of Incorporation to eliminate the supermajority voting requirement in Article 6(d). Abstentions will be counted toward a quorum and have the effect of negative votes with respect to this proposal. Your broker or other nominee does not have discretionary authority to vote your shares on Proposal 5, so any shares you hold in street name will not be cast if your broker, bank, trust or other nominee does not receive voting instructions from you. Therefore, broker non-votes will be counted toward the presence of a quorum and will have the same effect as votes cast “AGAINST” Proposal 5.</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other business is properly brought before the Annual Meeting for stockholder action?</w:t>
      </w:r>
    </w:p>
    <w:p>
      <w:pPr>
        <w:spacing w:after="0" w:line="104"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The Board knows of no other matters to be presented for stockholder action at the Annual Meeting. However, if other matters are properly brought before the Annual Meeting, the persons named as proxies in the accompanying proxy card will have discretion with respect to how to vote the shares represented by them.</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do I have?</w:t>
      </w:r>
    </w:p>
    <w:p>
      <w:pPr>
        <w:spacing w:after="0" w:line="104"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You are entitled to one vote for each share of common stock that you hold for each nominee for director and for each other matter presented for a vote at the Annual Meeting. There is no cumulative voting.</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94</w:t>
      </w:r>
    </w:p>
    <w:p>
      <w:pPr>
        <w:sectPr>
          <w:pgSz w:w="11900" w:h="16838" w:orient="portrait"/>
          <w:cols w:equalWidth="0" w:num="1">
            <w:col w:w="11140"/>
          </w:cols>
          <w:pgMar w:left="320" w:top="482"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720" w:type="dxa"/>
            <w:vAlign w:val="bottom"/>
            <w:shd w:val="clear" w:color="auto" w:fill="F2F2F2"/>
          </w:tcPr>
          <w:p>
            <w:pPr>
              <w:ind w:left="740"/>
              <w:spacing w:after="0"/>
              <w:rPr>
                <w:sz w:val="20"/>
                <w:szCs w:val="20"/>
                <w:color w:val="auto"/>
              </w:rPr>
            </w:pPr>
            <w:r>
              <w:rPr>
                <w:rFonts w:ascii="Arial" w:cs="Arial" w:eastAsia="Arial" w:hAnsi="Arial"/>
                <w:sz w:val="18"/>
                <w:szCs w:val="18"/>
                <w:color w:val="auto"/>
              </w:rPr>
              <w:t>Proxy</w:t>
            </w:r>
          </w:p>
        </w:tc>
        <w:tc>
          <w:tcPr>
            <w:tcW w:w="9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24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Corporate</w:t>
            </w:r>
          </w:p>
        </w:tc>
        <w:tc>
          <w:tcPr>
            <w:tcW w:w="1420" w:type="dxa"/>
            <w:vAlign w:val="bottom"/>
            <w:shd w:val="clear" w:color="auto" w:fill="F2F2F2"/>
          </w:tcPr>
          <w:p>
            <w:pPr>
              <w:ind w:left="120"/>
              <w:spacing w:after="0"/>
              <w:rPr>
                <w:sz w:val="20"/>
                <w:szCs w:val="20"/>
                <w:color w:val="auto"/>
              </w:rPr>
            </w:pPr>
            <w:r>
              <w:rPr>
                <w:rFonts w:ascii="Arial" w:cs="Arial" w:eastAsia="Arial" w:hAnsi="Arial"/>
                <w:sz w:val="18"/>
                <w:szCs w:val="18"/>
                <w:color w:val="auto"/>
              </w:rPr>
              <w:t>Executive</w:t>
            </w:r>
          </w:p>
        </w:tc>
        <w:tc>
          <w:tcPr>
            <w:tcW w:w="15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Audit Committee</w:t>
            </w:r>
          </w:p>
        </w:tc>
        <w:tc>
          <w:tcPr>
            <w:tcW w:w="1300" w:type="dxa"/>
            <w:vAlign w:val="bottom"/>
            <w:shd w:val="clear" w:color="auto" w:fill="F2F2F2"/>
          </w:tcPr>
          <w:p>
            <w:pPr>
              <w:ind w:left="100"/>
              <w:spacing w:after="0"/>
              <w:rPr>
                <w:sz w:val="20"/>
                <w:szCs w:val="20"/>
                <w:color w:val="auto"/>
              </w:rPr>
            </w:pPr>
            <w:r>
              <w:rPr>
                <w:rFonts w:ascii="Arial" w:cs="Arial" w:eastAsia="Arial" w:hAnsi="Arial"/>
                <w:sz w:val="18"/>
                <w:szCs w:val="18"/>
                <w:color w:val="auto"/>
              </w:rPr>
              <w:t>Charter</w:t>
            </w:r>
          </w:p>
        </w:tc>
        <w:tc>
          <w:tcPr>
            <w:tcW w:w="1240" w:type="dxa"/>
            <w:vAlign w:val="bottom"/>
            <w:shd w:val="clear" w:color="auto" w:fill="F2F2F2"/>
          </w:tcPr>
          <w:p>
            <w:pPr>
              <w:ind w:left="120"/>
              <w:spacing w:after="0"/>
              <w:rPr>
                <w:sz w:val="20"/>
                <w:szCs w:val="20"/>
                <w:color w:val="auto"/>
              </w:rPr>
            </w:pPr>
            <w:r>
              <w:rPr>
                <w:rFonts w:ascii="Arial" w:cs="Arial" w:eastAsia="Arial" w:hAnsi="Arial"/>
                <w:sz w:val="18"/>
                <w:szCs w:val="18"/>
                <w:color w:val="auto"/>
              </w:rPr>
              <w:t>Stock</w:t>
            </w:r>
          </w:p>
        </w:tc>
        <w:tc>
          <w:tcPr>
            <w:tcW w:w="15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Other</w:t>
            </w:r>
          </w:p>
        </w:tc>
      </w:tr>
      <w:tr>
        <w:trPr>
          <w:trHeight w:val="203"/>
        </w:trPr>
        <w:tc>
          <w:tcPr>
            <w:tcW w:w="1720" w:type="dxa"/>
            <w:vAlign w:val="bottom"/>
            <w:shd w:val="clear" w:color="auto" w:fill="F2F2F2"/>
          </w:tcPr>
          <w:p>
            <w:pPr>
              <w:ind w:left="740"/>
              <w:spacing w:after="0" w:line="202" w:lineRule="exact"/>
              <w:rPr>
                <w:sz w:val="20"/>
                <w:szCs w:val="20"/>
                <w:color w:val="auto"/>
              </w:rPr>
            </w:pPr>
            <w:r>
              <w:rPr>
                <w:rFonts w:ascii="Arial" w:cs="Arial" w:eastAsia="Arial" w:hAnsi="Arial"/>
                <w:sz w:val="18"/>
                <w:szCs w:val="18"/>
                <w:color w:val="auto"/>
              </w:rPr>
              <w:t>Summary</w:t>
            </w:r>
          </w:p>
        </w:tc>
        <w:tc>
          <w:tcPr>
            <w:tcW w:w="98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24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Governance</w:t>
            </w:r>
          </w:p>
        </w:tc>
        <w:tc>
          <w:tcPr>
            <w:tcW w:w="142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Compensation</w:t>
            </w:r>
          </w:p>
        </w:tc>
        <w:tc>
          <w:tcPr>
            <w:tcW w:w="15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c>
          <w:tcPr>
            <w:tcW w:w="1300" w:type="dxa"/>
            <w:vAlign w:val="bottom"/>
            <w:shd w:val="clear" w:color="auto" w:fill="F2F2F2"/>
          </w:tcPr>
          <w:p>
            <w:pPr>
              <w:ind w:left="100"/>
              <w:spacing w:after="0" w:line="202" w:lineRule="exact"/>
              <w:rPr>
                <w:sz w:val="20"/>
                <w:szCs w:val="20"/>
                <w:color w:val="auto"/>
              </w:rPr>
            </w:pPr>
            <w:r>
              <w:rPr>
                <w:rFonts w:ascii="Arial" w:cs="Arial" w:eastAsia="Arial" w:hAnsi="Arial"/>
                <w:sz w:val="18"/>
                <w:szCs w:val="18"/>
                <w:color w:val="auto"/>
              </w:rPr>
              <w:t>Amendments</w:t>
            </w:r>
          </w:p>
        </w:tc>
        <w:tc>
          <w:tcPr>
            <w:tcW w:w="124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Ownership</w:t>
            </w:r>
          </w:p>
        </w:tc>
        <w:tc>
          <w:tcPr>
            <w:tcW w:w="15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Matters</w:t>
            </w:r>
          </w:p>
        </w:tc>
      </w:tr>
      <w:tr>
        <w:trPr>
          <w:trHeight w:val="194"/>
        </w:trPr>
        <w:tc>
          <w:tcPr>
            <w:tcW w:w="1720" w:type="dxa"/>
            <w:vAlign w:val="bottom"/>
            <w:shd w:val="clear" w:color="auto" w:fill="F2F2F2"/>
          </w:tcPr>
          <w:p>
            <w:pPr>
              <w:spacing w:after="0"/>
              <w:rPr>
                <w:sz w:val="16"/>
                <w:szCs w:val="16"/>
                <w:color w:val="auto"/>
              </w:rPr>
            </w:pPr>
          </w:p>
        </w:tc>
        <w:tc>
          <w:tcPr>
            <w:tcW w:w="98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420" w:type="dxa"/>
            <w:vAlign w:val="bottom"/>
            <w:shd w:val="clear" w:color="auto" w:fill="F2F2F2"/>
          </w:tcPr>
          <w:p>
            <w:pPr>
              <w:spacing w:after="0"/>
              <w:rPr>
                <w:sz w:val="16"/>
                <w:szCs w:val="16"/>
                <w:color w:val="auto"/>
              </w:rPr>
            </w:pPr>
          </w:p>
        </w:tc>
        <w:tc>
          <w:tcPr>
            <w:tcW w:w="158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5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r>
      <w:tr>
        <w:trPr>
          <w:trHeight w:val="34"/>
        </w:trPr>
        <w:tc>
          <w:tcPr>
            <w:tcW w:w="1720" w:type="dxa"/>
            <w:vAlign w:val="bottom"/>
            <w:tcBorders>
              <w:top w:val="single" w:sz="8" w:color="F2F2F2"/>
            </w:tcBorders>
            <w:shd w:val="clear" w:color="auto" w:fill="F2F2F2"/>
          </w:tcPr>
          <w:p>
            <w:pPr>
              <w:spacing w:after="0"/>
              <w:rPr>
                <w:sz w:val="2"/>
                <w:szCs w:val="2"/>
                <w:color w:val="auto"/>
              </w:rPr>
            </w:pPr>
          </w:p>
        </w:tc>
        <w:tc>
          <w:tcPr>
            <w:tcW w:w="980" w:type="dxa"/>
            <w:vAlign w:val="bottom"/>
            <w:tcBorders>
              <w:top w:val="single" w:sz="8" w:color="F2F2F2"/>
            </w:tcBorders>
            <w:shd w:val="clear" w:color="auto" w:fill="F2F2F2"/>
          </w:tcPr>
          <w:p>
            <w:pPr>
              <w:spacing w:after="0"/>
              <w:rPr>
                <w:sz w:val="2"/>
                <w:szCs w:val="2"/>
                <w:color w:val="auto"/>
              </w:rPr>
            </w:pPr>
          </w:p>
        </w:tc>
        <w:tc>
          <w:tcPr>
            <w:tcW w:w="1240" w:type="dxa"/>
            <w:vAlign w:val="bottom"/>
            <w:tcBorders>
              <w:top w:val="single" w:sz="8" w:color="F2F2F2"/>
            </w:tcBorders>
            <w:shd w:val="clear" w:color="auto" w:fill="F2F2F2"/>
          </w:tcPr>
          <w:p>
            <w:pPr>
              <w:spacing w:after="0"/>
              <w:rPr>
                <w:sz w:val="2"/>
                <w:szCs w:val="2"/>
                <w:color w:val="auto"/>
              </w:rPr>
            </w:pPr>
          </w:p>
        </w:tc>
        <w:tc>
          <w:tcPr>
            <w:tcW w:w="1420" w:type="dxa"/>
            <w:vAlign w:val="bottom"/>
            <w:tcBorders>
              <w:top w:val="single" w:sz="8" w:color="F2F2F2"/>
            </w:tcBorders>
            <w:shd w:val="clear" w:color="auto" w:fill="F2F2F2"/>
          </w:tcPr>
          <w:p>
            <w:pPr>
              <w:spacing w:after="0"/>
              <w:rPr>
                <w:sz w:val="2"/>
                <w:szCs w:val="2"/>
                <w:color w:val="auto"/>
              </w:rPr>
            </w:pPr>
          </w:p>
        </w:tc>
        <w:tc>
          <w:tcPr>
            <w:tcW w:w="1580" w:type="dxa"/>
            <w:vAlign w:val="bottom"/>
            <w:tcBorders>
              <w:top w:val="single" w:sz="8" w:color="F2F2F2"/>
            </w:tcBorders>
            <w:shd w:val="clear" w:color="auto" w:fill="F2F2F2"/>
          </w:tcPr>
          <w:p>
            <w:pPr>
              <w:spacing w:after="0"/>
              <w:rPr>
                <w:sz w:val="2"/>
                <w:szCs w:val="2"/>
                <w:color w:val="auto"/>
              </w:rPr>
            </w:pPr>
          </w:p>
        </w:tc>
        <w:tc>
          <w:tcPr>
            <w:tcW w:w="1300" w:type="dxa"/>
            <w:vAlign w:val="bottom"/>
            <w:tcBorders>
              <w:top w:val="single" w:sz="8" w:color="F2F2F2"/>
            </w:tcBorders>
            <w:shd w:val="clear" w:color="auto" w:fill="F2F2F2"/>
          </w:tcPr>
          <w:p>
            <w:pPr>
              <w:spacing w:after="0"/>
              <w:rPr>
                <w:sz w:val="2"/>
                <w:szCs w:val="2"/>
                <w:color w:val="auto"/>
              </w:rPr>
            </w:pPr>
          </w:p>
        </w:tc>
        <w:tc>
          <w:tcPr>
            <w:tcW w:w="124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72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 my shares?</w:t>
      </w:r>
    </w:p>
    <w:p>
      <w:pPr>
        <w:spacing w:after="0" w:line="104"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If you are a stockholder of record, you may vote by proxy prior to the Annual Meeting by marking, signing, dating and returning the proxy card, or by following the internet or telephone voting instructions on the proxy card. You many also attend the Annual Meeting and vote in person.</w:t>
      </w:r>
    </w:p>
    <w:p>
      <w:pPr>
        <w:spacing w:after="0" w:line="169"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If you are a beneficial owner of shares held in street name, you may vote by proxy prior to the Annual Meeting by following the instructions you receive from the broker, bank or nominee that is considered the stockholder of record with respect to those shares. If you would like to vote at the Annual Meeting, you must obtain a legal proxy from your broker, bank or nominee and present it to the inspector of election with your ballot when you vote at the meeting.</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can I do if I change my mind after I vote my shares?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are a stockholder of record, you may revoke your proxy at any time before it is voted at the Annual Meeting by:</w:t>
      </w:r>
    </w:p>
    <w:p>
      <w:pPr>
        <w:spacing w:after="0" w:line="117" w:lineRule="exact"/>
        <w:rPr>
          <w:sz w:val="20"/>
          <w:szCs w:val="20"/>
          <w:color w:val="auto"/>
        </w:rPr>
      </w:pPr>
    </w:p>
    <w:p>
      <w:pPr>
        <w:ind w:left="1200" w:right="300" w:hanging="544"/>
        <w:spacing w:after="0" w:line="271" w:lineRule="auto"/>
        <w:tabs>
          <w:tab w:leader="none" w:pos="12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Sending written notice of revocation to the Corporate Secretary of FICO, 181 Metro Drive, Suite 700, San Jose, California 95110;</w:t>
      </w:r>
    </w:p>
    <w:p>
      <w:pPr>
        <w:spacing w:after="0" w:line="59" w:lineRule="exact"/>
        <w:rPr>
          <w:rFonts w:ascii="Arial" w:cs="Arial" w:eastAsia="Arial" w:hAnsi="Arial"/>
          <w:sz w:val="18"/>
          <w:szCs w:val="18"/>
          <w:color w:val="auto"/>
        </w:rPr>
      </w:pPr>
    </w:p>
    <w:p>
      <w:pPr>
        <w:ind w:left="1200" w:hanging="544"/>
        <w:spacing w:after="0"/>
        <w:tabs>
          <w:tab w:leader="none" w:pos="12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Submitting a new proxy by telephone, internet or paper ballot after the date of the revoked proxy; or</w:t>
      </w:r>
    </w:p>
    <w:p>
      <w:pPr>
        <w:spacing w:after="0" w:line="117" w:lineRule="exact"/>
        <w:rPr>
          <w:rFonts w:ascii="Arial" w:cs="Arial" w:eastAsia="Arial" w:hAnsi="Arial"/>
          <w:sz w:val="18"/>
          <w:szCs w:val="18"/>
          <w:color w:val="auto"/>
        </w:rPr>
      </w:pPr>
    </w:p>
    <w:p>
      <w:pPr>
        <w:ind w:left="1200" w:hanging="544"/>
        <w:spacing w:after="0"/>
        <w:tabs>
          <w:tab w:leader="none" w:pos="12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Attending the Annual Meeting and voting in person.</w:t>
      </w:r>
    </w:p>
    <w:p>
      <w:pPr>
        <w:spacing w:after="0" w:line="212"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If you are a beneficial owner of shares, you may submit new voting instructions by contacting your broker, bank or nominee. You may also vote in person at the Annual Meeting if you obtain a legal proxy as described in the answer to the previous question.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will count the vote?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Representatives of Broadridge Financial Solutions, Inc. will tabulate the votes and act as the inspector of election.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 my vote confidential?</w:t>
      </w:r>
    </w:p>
    <w:p>
      <w:pPr>
        <w:spacing w:after="0" w:line="104" w:lineRule="exact"/>
        <w:rPr>
          <w:sz w:val="20"/>
          <w:szCs w:val="20"/>
          <w:color w:val="auto"/>
        </w:rPr>
      </w:pPr>
    </w:p>
    <w:p>
      <w:pPr>
        <w:jc w:val="both"/>
        <w:ind w:left="120" w:right="20" w:firstLine="551"/>
        <w:spacing w:after="0" w:line="244" w:lineRule="auto"/>
        <w:rPr>
          <w:sz w:val="20"/>
          <w:szCs w:val="20"/>
          <w:color w:val="auto"/>
        </w:rPr>
      </w:pPr>
      <w:r>
        <w:rPr>
          <w:rFonts w:ascii="Arial" w:cs="Arial" w:eastAsia="Arial" w:hAnsi="Arial"/>
          <w:sz w:val="18"/>
          <w:szCs w:val="18"/>
          <w:color w:val="auto"/>
        </w:rPr>
        <w:t>Any proxy, ballot or other voting material that identifies the particular vote of a stockholder and contains the stockholder’s request for confidential treatment will be kept confidential, except in the event of a contested proxy solicitation or as may be required by law. We may be informed whether or not a particular stockholder has voted and will have access to any comment written on a proxy, ballot or other material and to the identity of the commenting stockholder. The inspector of election will be an independent third party not under our control.</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constitutes a quorum?</w:t>
      </w:r>
    </w:p>
    <w:p>
      <w:pPr>
        <w:spacing w:after="0" w:line="104"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As of the record date, 23,765,456 shares of FICO common stock were issued and outstanding. A majority of the outstanding shares, present or represented by proxy, constitutes a quorum for the purpose of adopting proposals at the Annual Meeting. If you submit a properly executed proxy, then you will be considered part of the quorum. Abstentions and broker non-votes will be counted in determining if there is a quorum.</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attend the Annual Meeting?</w:t>
      </w:r>
    </w:p>
    <w:p>
      <w:pPr>
        <w:spacing w:after="0" w:line="104" w:lineRule="exact"/>
        <w:rPr>
          <w:sz w:val="20"/>
          <w:szCs w:val="20"/>
          <w:color w:val="auto"/>
        </w:rPr>
      </w:pPr>
    </w:p>
    <w:p>
      <w:pPr>
        <w:jc w:val="both"/>
        <w:ind w:left="120" w:right="20" w:firstLine="551"/>
        <w:spacing w:after="0"/>
        <w:rPr>
          <w:sz w:val="20"/>
          <w:szCs w:val="20"/>
          <w:color w:val="auto"/>
        </w:rPr>
      </w:pPr>
      <w:r>
        <w:rPr>
          <w:rFonts w:ascii="Arial" w:cs="Arial" w:eastAsia="Arial" w:hAnsi="Arial"/>
          <w:sz w:val="18"/>
          <w:szCs w:val="18"/>
          <w:color w:val="auto"/>
        </w:rPr>
        <w:t>All stockholders as of the record date may attend the Annual Meeting but must have an admission ticket. If you are a stockholder of record, the ticket attached to the proxy card will admit you. If you are a beneficial owner, you may request a ticket by writing to the Corporate Secretary, 181 Metro Drive, Suite 700, San Jose, California 95110. You must provide evidence of your ownership of shares with your ticket request, which you can obtain from your broker, bank or nominee. Stockholders who arrive at the Annual Meeting without an admission ticket will be required to present identification matching the corresponding stockholder account name at the registration table located outside the meeting room. If you are a stockholder whose shares are held by a bank, broker or other nominee, you will be asked to certify to such ownership at the registration table prior to the Annual Meeting.</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are FICO’s costs associated with this proxy solicitation?</w:t>
      </w:r>
    </w:p>
    <w:p>
      <w:pPr>
        <w:spacing w:after="0" w:line="104"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We have hired Innisfree M&amp;A Incorporated to assist in the solicitation of proxies for a fee not to exceed $25,000, plus reasonable out-of-pocket expenses. FICO employees, officers and directors may also solicit proxies. We will bear the expense of preparing, printing and mailing the Proxy Material, and reimburse brokerage houses and other</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95</w:t>
      </w:r>
    </w:p>
    <w:p>
      <w:pPr>
        <w:sectPr>
          <w:pgSz w:w="11900" w:h="16838" w:orient="portrait"/>
          <w:cols w:equalWidth="0" w:num="1">
            <w:col w:w="11140"/>
          </w:cols>
          <w:pgMar w:left="320" w:top="482"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720" w:type="dxa"/>
            <w:vAlign w:val="bottom"/>
            <w:shd w:val="clear" w:color="auto" w:fill="F2F2F2"/>
          </w:tcPr>
          <w:p>
            <w:pPr>
              <w:ind w:left="740"/>
              <w:spacing w:after="0"/>
              <w:rPr>
                <w:sz w:val="20"/>
                <w:szCs w:val="20"/>
                <w:color w:val="auto"/>
              </w:rPr>
            </w:pPr>
            <w:r>
              <w:rPr>
                <w:rFonts w:ascii="Arial" w:cs="Arial" w:eastAsia="Arial" w:hAnsi="Arial"/>
                <w:sz w:val="18"/>
                <w:szCs w:val="18"/>
                <w:color w:val="auto"/>
              </w:rPr>
              <w:t>Proxy</w:t>
            </w:r>
          </w:p>
        </w:tc>
        <w:tc>
          <w:tcPr>
            <w:tcW w:w="9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24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Corporate</w:t>
            </w:r>
          </w:p>
        </w:tc>
        <w:tc>
          <w:tcPr>
            <w:tcW w:w="1420" w:type="dxa"/>
            <w:vAlign w:val="bottom"/>
            <w:shd w:val="clear" w:color="auto" w:fill="F2F2F2"/>
          </w:tcPr>
          <w:p>
            <w:pPr>
              <w:ind w:left="120"/>
              <w:spacing w:after="0"/>
              <w:rPr>
                <w:sz w:val="20"/>
                <w:szCs w:val="20"/>
                <w:color w:val="auto"/>
              </w:rPr>
            </w:pPr>
            <w:r>
              <w:rPr>
                <w:rFonts w:ascii="Arial" w:cs="Arial" w:eastAsia="Arial" w:hAnsi="Arial"/>
                <w:sz w:val="18"/>
                <w:szCs w:val="18"/>
                <w:color w:val="auto"/>
              </w:rPr>
              <w:t>Executive</w:t>
            </w:r>
          </w:p>
        </w:tc>
        <w:tc>
          <w:tcPr>
            <w:tcW w:w="15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Audit Committee</w:t>
            </w:r>
          </w:p>
        </w:tc>
        <w:tc>
          <w:tcPr>
            <w:tcW w:w="1300" w:type="dxa"/>
            <w:vAlign w:val="bottom"/>
            <w:shd w:val="clear" w:color="auto" w:fill="F2F2F2"/>
          </w:tcPr>
          <w:p>
            <w:pPr>
              <w:ind w:left="100"/>
              <w:spacing w:after="0"/>
              <w:rPr>
                <w:sz w:val="20"/>
                <w:szCs w:val="20"/>
                <w:color w:val="auto"/>
              </w:rPr>
            </w:pPr>
            <w:r>
              <w:rPr>
                <w:rFonts w:ascii="Arial" w:cs="Arial" w:eastAsia="Arial" w:hAnsi="Arial"/>
                <w:sz w:val="18"/>
                <w:szCs w:val="18"/>
                <w:color w:val="auto"/>
              </w:rPr>
              <w:t>Charter</w:t>
            </w:r>
          </w:p>
        </w:tc>
        <w:tc>
          <w:tcPr>
            <w:tcW w:w="1240" w:type="dxa"/>
            <w:vAlign w:val="bottom"/>
            <w:shd w:val="clear" w:color="auto" w:fill="F2F2F2"/>
          </w:tcPr>
          <w:p>
            <w:pPr>
              <w:ind w:left="120"/>
              <w:spacing w:after="0"/>
              <w:rPr>
                <w:sz w:val="20"/>
                <w:szCs w:val="20"/>
                <w:color w:val="auto"/>
              </w:rPr>
            </w:pPr>
            <w:r>
              <w:rPr>
                <w:rFonts w:ascii="Arial" w:cs="Arial" w:eastAsia="Arial" w:hAnsi="Arial"/>
                <w:sz w:val="18"/>
                <w:szCs w:val="18"/>
                <w:color w:val="auto"/>
              </w:rPr>
              <w:t>Stock</w:t>
            </w:r>
          </w:p>
        </w:tc>
        <w:tc>
          <w:tcPr>
            <w:tcW w:w="15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Other</w:t>
            </w:r>
          </w:p>
        </w:tc>
      </w:tr>
      <w:tr>
        <w:trPr>
          <w:trHeight w:val="203"/>
        </w:trPr>
        <w:tc>
          <w:tcPr>
            <w:tcW w:w="1720" w:type="dxa"/>
            <w:vAlign w:val="bottom"/>
            <w:shd w:val="clear" w:color="auto" w:fill="F2F2F2"/>
          </w:tcPr>
          <w:p>
            <w:pPr>
              <w:ind w:left="740"/>
              <w:spacing w:after="0" w:line="202" w:lineRule="exact"/>
              <w:rPr>
                <w:sz w:val="20"/>
                <w:szCs w:val="20"/>
                <w:color w:val="auto"/>
              </w:rPr>
            </w:pPr>
            <w:r>
              <w:rPr>
                <w:rFonts w:ascii="Arial" w:cs="Arial" w:eastAsia="Arial" w:hAnsi="Arial"/>
                <w:sz w:val="18"/>
                <w:szCs w:val="18"/>
                <w:color w:val="auto"/>
              </w:rPr>
              <w:t>Summary</w:t>
            </w:r>
          </w:p>
        </w:tc>
        <w:tc>
          <w:tcPr>
            <w:tcW w:w="98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24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Governance</w:t>
            </w:r>
          </w:p>
        </w:tc>
        <w:tc>
          <w:tcPr>
            <w:tcW w:w="142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Compensation</w:t>
            </w:r>
          </w:p>
        </w:tc>
        <w:tc>
          <w:tcPr>
            <w:tcW w:w="15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c>
          <w:tcPr>
            <w:tcW w:w="1300" w:type="dxa"/>
            <w:vAlign w:val="bottom"/>
            <w:shd w:val="clear" w:color="auto" w:fill="F2F2F2"/>
          </w:tcPr>
          <w:p>
            <w:pPr>
              <w:ind w:left="100"/>
              <w:spacing w:after="0" w:line="202" w:lineRule="exact"/>
              <w:rPr>
                <w:sz w:val="20"/>
                <w:szCs w:val="20"/>
                <w:color w:val="auto"/>
              </w:rPr>
            </w:pPr>
            <w:r>
              <w:rPr>
                <w:rFonts w:ascii="Arial" w:cs="Arial" w:eastAsia="Arial" w:hAnsi="Arial"/>
                <w:sz w:val="18"/>
                <w:szCs w:val="18"/>
                <w:color w:val="auto"/>
              </w:rPr>
              <w:t>Amendments</w:t>
            </w:r>
          </w:p>
        </w:tc>
        <w:tc>
          <w:tcPr>
            <w:tcW w:w="124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Ownership</w:t>
            </w:r>
          </w:p>
        </w:tc>
        <w:tc>
          <w:tcPr>
            <w:tcW w:w="15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Matters</w:t>
            </w:r>
          </w:p>
        </w:tc>
      </w:tr>
      <w:tr>
        <w:trPr>
          <w:trHeight w:val="194"/>
        </w:trPr>
        <w:tc>
          <w:tcPr>
            <w:tcW w:w="1720" w:type="dxa"/>
            <w:vAlign w:val="bottom"/>
            <w:shd w:val="clear" w:color="auto" w:fill="F2F2F2"/>
          </w:tcPr>
          <w:p>
            <w:pPr>
              <w:spacing w:after="0"/>
              <w:rPr>
                <w:sz w:val="16"/>
                <w:szCs w:val="16"/>
                <w:color w:val="auto"/>
              </w:rPr>
            </w:pPr>
          </w:p>
        </w:tc>
        <w:tc>
          <w:tcPr>
            <w:tcW w:w="98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420" w:type="dxa"/>
            <w:vAlign w:val="bottom"/>
            <w:shd w:val="clear" w:color="auto" w:fill="F2F2F2"/>
          </w:tcPr>
          <w:p>
            <w:pPr>
              <w:spacing w:after="0"/>
              <w:rPr>
                <w:sz w:val="16"/>
                <w:szCs w:val="16"/>
                <w:color w:val="auto"/>
              </w:rPr>
            </w:pPr>
          </w:p>
        </w:tc>
        <w:tc>
          <w:tcPr>
            <w:tcW w:w="158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5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r>
      <w:tr>
        <w:trPr>
          <w:trHeight w:val="34"/>
        </w:trPr>
        <w:tc>
          <w:tcPr>
            <w:tcW w:w="1720" w:type="dxa"/>
            <w:vAlign w:val="bottom"/>
            <w:tcBorders>
              <w:top w:val="single" w:sz="8" w:color="F2F2F2"/>
            </w:tcBorders>
            <w:shd w:val="clear" w:color="auto" w:fill="F2F2F2"/>
          </w:tcPr>
          <w:p>
            <w:pPr>
              <w:spacing w:after="0"/>
              <w:rPr>
                <w:sz w:val="2"/>
                <w:szCs w:val="2"/>
                <w:color w:val="auto"/>
              </w:rPr>
            </w:pPr>
          </w:p>
        </w:tc>
        <w:tc>
          <w:tcPr>
            <w:tcW w:w="980" w:type="dxa"/>
            <w:vAlign w:val="bottom"/>
            <w:tcBorders>
              <w:top w:val="single" w:sz="8" w:color="F2F2F2"/>
            </w:tcBorders>
            <w:shd w:val="clear" w:color="auto" w:fill="F2F2F2"/>
          </w:tcPr>
          <w:p>
            <w:pPr>
              <w:spacing w:after="0"/>
              <w:rPr>
                <w:sz w:val="2"/>
                <w:szCs w:val="2"/>
                <w:color w:val="auto"/>
              </w:rPr>
            </w:pPr>
          </w:p>
        </w:tc>
        <w:tc>
          <w:tcPr>
            <w:tcW w:w="1240" w:type="dxa"/>
            <w:vAlign w:val="bottom"/>
            <w:tcBorders>
              <w:top w:val="single" w:sz="8" w:color="F2F2F2"/>
            </w:tcBorders>
            <w:shd w:val="clear" w:color="auto" w:fill="F2F2F2"/>
          </w:tcPr>
          <w:p>
            <w:pPr>
              <w:spacing w:after="0"/>
              <w:rPr>
                <w:sz w:val="2"/>
                <w:szCs w:val="2"/>
                <w:color w:val="auto"/>
              </w:rPr>
            </w:pPr>
          </w:p>
        </w:tc>
        <w:tc>
          <w:tcPr>
            <w:tcW w:w="1420" w:type="dxa"/>
            <w:vAlign w:val="bottom"/>
            <w:tcBorders>
              <w:top w:val="single" w:sz="8" w:color="F2F2F2"/>
            </w:tcBorders>
            <w:shd w:val="clear" w:color="auto" w:fill="F2F2F2"/>
          </w:tcPr>
          <w:p>
            <w:pPr>
              <w:spacing w:after="0"/>
              <w:rPr>
                <w:sz w:val="2"/>
                <w:szCs w:val="2"/>
                <w:color w:val="auto"/>
              </w:rPr>
            </w:pPr>
          </w:p>
        </w:tc>
        <w:tc>
          <w:tcPr>
            <w:tcW w:w="1580" w:type="dxa"/>
            <w:vAlign w:val="bottom"/>
            <w:tcBorders>
              <w:top w:val="single" w:sz="8" w:color="F2F2F2"/>
            </w:tcBorders>
            <w:shd w:val="clear" w:color="auto" w:fill="F2F2F2"/>
          </w:tcPr>
          <w:p>
            <w:pPr>
              <w:spacing w:after="0"/>
              <w:rPr>
                <w:sz w:val="2"/>
                <w:szCs w:val="2"/>
                <w:color w:val="auto"/>
              </w:rPr>
            </w:pPr>
          </w:p>
        </w:tc>
        <w:tc>
          <w:tcPr>
            <w:tcW w:w="1300" w:type="dxa"/>
            <w:vAlign w:val="bottom"/>
            <w:tcBorders>
              <w:top w:val="single" w:sz="8" w:color="F2F2F2"/>
            </w:tcBorders>
            <w:shd w:val="clear" w:color="auto" w:fill="F2F2F2"/>
          </w:tcPr>
          <w:p>
            <w:pPr>
              <w:spacing w:after="0"/>
              <w:rPr>
                <w:sz w:val="2"/>
                <w:szCs w:val="2"/>
                <w:color w:val="auto"/>
              </w:rPr>
            </w:pPr>
          </w:p>
        </w:tc>
        <w:tc>
          <w:tcPr>
            <w:tcW w:w="124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72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custodians, nominees and fiduciaries for their reasonable out-of-pocket expenses for forwarding proxy and solicitation materials to the owners of common stock.</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obtain the Company’s corporate governance information?</w:t>
      </w:r>
    </w:p>
    <w:p>
      <w:pPr>
        <w:spacing w:after="0" w:line="104"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 xml:space="preserve">The following FICO corporate governance documents are available on the “Investors” page of our website at </w:t>
      </w:r>
      <w:r>
        <w:rPr>
          <w:rFonts w:ascii="Arial" w:cs="Arial" w:eastAsia="Arial" w:hAnsi="Arial"/>
          <w:sz w:val="18"/>
          <w:szCs w:val="18"/>
          <w:i w:val="1"/>
          <w:iCs w:val="1"/>
          <w:color w:val="auto"/>
        </w:rPr>
        <w:t>www.fico.com</w:t>
      </w:r>
      <w:r>
        <w:rPr>
          <w:rFonts w:ascii="Arial" w:cs="Arial" w:eastAsia="Arial" w:hAnsi="Arial"/>
          <w:sz w:val="18"/>
          <w:szCs w:val="18"/>
          <w:color w:val="auto"/>
        </w:rPr>
        <w:t xml:space="preserve"> and are also available in print and free of charge to any stockholder who requests them:</w:t>
      </w:r>
    </w:p>
    <w:p>
      <w:pPr>
        <w:spacing w:after="0" w:line="59" w:lineRule="exact"/>
        <w:rPr>
          <w:sz w:val="20"/>
          <w:szCs w:val="20"/>
          <w:color w:val="auto"/>
        </w:rPr>
      </w:pPr>
    </w:p>
    <w:p>
      <w:pPr>
        <w:ind w:left="1200" w:hanging="544"/>
        <w:spacing w:after="0"/>
        <w:tabs>
          <w:tab w:leader="none" w:pos="12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117" w:lineRule="exact"/>
        <w:rPr>
          <w:rFonts w:ascii="Arial" w:cs="Arial" w:eastAsia="Arial" w:hAnsi="Arial"/>
          <w:sz w:val="18"/>
          <w:szCs w:val="18"/>
          <w:color w:val="auto"/>
        </w:rPr>
      </w:pPr>
    </w:p>
    <w:p>
      <w:pPr>
        <w:ind w:left="1200" w:right="20" w:hanging="544"/>
        <w:spacing w:after="0" w:line="271" w:lineRule="auto"/>
        <w:tabs>
          <w:tab w:leader="none" w:pos="12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Board Committee Charters — Audit Committee; Governance, Nominating and Executive Committee; and Leadership Development and Compensation Committee;</w:t>
      </w:r>
    </w:p>
    <w:p>
      <w:pPr>
        <w:spacing w:after="0" w:line="59" w:lineRule="exact"/>
        <w:rPr>
          <w:rFonts w:ascii="Arial" w:cs="Arial" w:eastAsia="Arial" w:hAnsi="Arial"/>
          <w:sz w:val="18"/>
          <w:szCs w:val="18"/>
          <w:color w:val="auto"/>
        </w:rPr>
      </w:pPr>
    </w:p>
    <w:p>
      <w:pPr>
        <w:ind w:left="1200" w:hanging="544"/>
        <w:spacing w:after="0"/>
        <w:tabs>
          <w:tab w:leader="none" w:pos="12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Code of Business Conduct and Ethics;</w:t>
      </w:r>
    </w:p>
    <w:p>
      <w:pPr>
        <w:spacing w:after="0" w:line="117" w:lineRule="exact"/>
        <w:rPr>
          <w:rFonts w:ascii="Arial" w:cs="Arial" w:eastAsia="Arial" w:hAnsi="Arial"/>
          <w:sz w:val="18"/>
          <w:szCs w:val="18"/>
          <w:color w:val="auto"/>
        </w:rPr>
      </w:pPr>
    </w:p>
    <w:p>
      <w:pPr>
        <w:ind w:left="1200" w:hanging="544"/>
        <w:spacing w:after="0"/>
        <w:tabs>
          <w:tab w:leader="none" w:pos="12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Code of Ethics for Senior Financial Management; and</w:t>
      </w:r>
    </w:p>
    <w:p>
      <w:pPr>
        <w:spacing w:after="0" w:line="117" w:lineRule="exact"/>
        <w:rPr>
          <w:rFonts w:ascii="Arial" w:cs="Arial" w:eastAsia="Arial" w:hAnsi="Arial"/>
          <w:sz w:val="18"/>
          <w:szCs w:val="18"/>
          <w:color w:val="auto"/>
        </w:rPr>
      </w:pPr>
    </w:p>
    <w:p>
      <w:pPr>
        <w:ind w:left="1200" w:hanging="544"/>
        <w:spacing w:after="0"/>
        <w:tabs>
          <w:tab w:leader="none" w:pos="12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Director Independence Criteria.</w:t>
      </w:r>
    </w:p>
    <w:p>
      <w:pPr>
        <w:spacing w:after="0" w:line="104"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STOCKHOLDER MEETING TO BE HELD ON WEDNESDAY, MARCH 4, 2026: </w:t>
      </w:r>
      <w:r>
        <w:rPr>
          <w:rFonts w:ascii="Arial" w:cs="Arial" w:eastAsia="Arial" w:hAnsi="Arial"/>
          <w:sz w:val="18"/>
          <w:szCs w:val="18"/>
          <w:color w:val="auto"/>
        </w:rPr>
        <w:t>The Proxy Material is located on the “Investors” page of our website at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www.fico.com</w:t>
      </w:r>
      <w:r>
        <w:rPr>
          <w:rFonts w:ascii="Arial" w:cs="Arial" w:eastAsia="Arial" w:hAnsi="Arial"/>
          <w:sz w:val="18"/>
          <w:szCs w:val="18"/>
          <w:color w:val="auto"/>
        </w:rPr>
        <w:t>, and at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following cookies-free website that can be accessed anonymously: </w:t>
      </w:r>
      <w:r>
        <w:rPr>
          <w:rFonts w:ascii="Arial" w:cs="Arial" w:eastAsia="Arial" w:hAnsi="Arial"/>
          <w:sz w:val="18"/>
          <w:szCs w:val="18"/>
          <w:i w:val="1"/>
          <w:iCs w:val="1"/>
          <w:u w:val="single" w:color="auto"/>
          <w:color w:val="auto"/>
        </w:rPr>
        <w:t>https://fico.gcs-web.com/corporate-information</w:t>
      </w:r>
      <w:r>
        <w:rPr>
          <w:rFonts w:ascii="Arial" w:cs="Arial" w:eastAsia="Arial" w:hAnsi="Arial"/>
          <w:sz w:val="18"/>
          <w:szCs w:val="18"/>
          <w:i w:val="1"/>
          <w:iCs w:val="1"/>
          <w:color w:val="auto"/>
        </w:rPr>
        <w:t>.</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96</w:t>
      </w:r>
    </w:p>
    <w:p>
      <w:pPr>
        <w:sectPr>
          <w:pgSz w:w="11900" w:h="16838" w:orient="portrait"/>
          <w:cols w:equalWidth="0" w:num="1">
            <w:col w:w="11140"/>
          </w:cols>
          <w:pgMar w:left="320" w:top="482"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720" w:type="dxa"/>
            <w:vAlign w:val="bottom"/>
            <w:shd w:val="clear" w:color="auto" w:fill="F2F2F2"/>
          </w:tcPr>
          <w:p>
            <w:pPr>
              <w:ind w:left="740"/>
              <w:spacing w:after="0"/>
              <w:rPr>
                <w:sz w:val="20"/>
                <w:szCs w:val="20"/>
                <w:color w:val="auto"/>
              </w:rPr>
            </w:pPr>
            <w:r>
              <w:rPr>
                <w:rFonts w:ascii="Arial" w:cs="Arial" w:eastAsia="Arial" w:hAnsi="Arial"/>
                <w:sz w:val="18"/>
                <w:szCs w:val="18"/>
                <w:color w:val="auto"/>
              </w:rPr>
              <w:t>Proxy</w:t>
            </w:r>
          </w:p>
        </w:tc>
        <w:tc>
          <w:tcPr>
            <w:tcW w:w="9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24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Corporate</w:t>
            </w:r>
          </w:p>
        </w:tc>
        <w:tc>
          <w:tcPr>
            <w:tcW w:w="1420" w:type="dxa"/>
            <w:vAlign w:val="bottom"/>
            <w:shd w:val="clear" w:color="auto" w:fill="F2F2F2"/>
          </w:tcPr>
          <w:p>
            <w:pPr>
              <w:ind w:left="120"/>
              <w:spacing w:after="0"/>
              <w:rPr>
                <w:sz w:val="20"/>
                <w:szCs w:val="20"/>
                <w:color w:val="auto"/>
              </w:rPr>
            </w:pPr>
            <w:r>
              <w:rPr>
                <w:rFonts w:ascii="Arial" w:cs="Arial" w:eastAsia="Arial" w:hAnsi="Arial"/>
                <w:sz w:val="18"/>
                <w:szCs w:val="18"/>
                <w:color w:val="auto"/>
              </w:rPr>
              <w:t>Executive</w:t>
            </w:r>
          </w:p>
        </w:tc>
        <w:tc>
          <w:tcPr>
            <w:tcW w:w="15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Audit Committee</w:t>
            </w:r>
          </w:p>
        </w:tc>
        <w:tc>
          <w:tcPr>
            <w:tcW w:w="1300" w:type="dxa"/>
            <w:vAlign w:val="bottom"/>
            <w:shd w:val="clear" w:color="auto" w:fill="F2F2F2"/>
          </w:tcPr>
          <w:p>
            <w:pPr>
              <w:ind w:left="100"/>
              <w:spacing w:after="0"/>
              <w:rPr>
                <w:sz w:val="20"/>
                <w:szCs w:val="20"/>
                <w:color w:val="auto"/>
              </w:rPr>
            </w:pPr>
            <w:r>
              <w:rPr>
                <w:rFonts w:ascii="Arial" w:cs="Arial" w:eastAsia="Arial" w:hAnsi="Arial"/>
                <w:sz w:val="18"/>
                <w:szCs w:val="18"/>
                <w:color w:val="auto"/>
              </w:rPr>
              <w:t>Charter</w:t>
            </w:r>
          </w:p>
        </w:tc>
        <w:tc>
          <w:tcPr>
            <w:tcW w:w="1240" w:type="dxa"/>
            <w:vAlign w:val="bottom"/>
            <w:shd w:val="clear" w:color="auto" w:fill="F2F2F2"/>
          </w:tcPr>
          <w:p>
            <w:pPr>
              <w:ind w:left="120"/>
              <w:spacing w:after="0"/>
              <w:rPr>
                <w:sz w:val="20"/>
                <w:szCs w:val="20"/>
                <w:color w:val="auto"/>
              </w:rPr>
            </w:pPr>
            <w:r>
              <w:rPr>
                <w:rFonts w:ascii="Arial" w:cs="Arial" w:eastAsia="Arial" w:hAnsi="Arial"/>
                <w:sz w:val="18"/>
                <w:szCs w:val="18"/>
                <w:color w:val="auto"/>
              </w:rPr>
              <w:t>Stock</w:t>
            </w:r>
          </w:p>
        </w:tc>
        <w:tc>
          <w:tcPr>
            <w:tcW w:w="15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Other</w:t>
            </w:r>
          </w:p>
        </w:tc>
      </w:tr>
      <w:tr>
        <w:trPr>
          <w:trHeight w:val="203"/>
        </w:trPr>
        <w:tc>
          <w:tcPr>
            <w:tcW w:w="1720" w:type="dxa"/>
            <w:vAlign w:val="bottom"/>
            <w:shd w:val="clear" w:color="auto" w:fill="F2F2F2"/>
          </w:tcPr>
          <w:p>
            <w:pPr>
              <w:ind w:left="740"/>
              <w:spacing w:after="0" w:line="202" w:lineRule="exact"/>
              <w:rPr>
                <w:sz w:val="20"/>
                <w:szCs w:val="20"/>
                <w:color w:val="auto"/>
              </w:rPr>
            </w:pPr>
            <w:r>
              <w:rPr>
                <w:rFonts w:ascii="Arial" w:cs="Arial" w:eastAsia="Arial" w:hAnsi="Arial"/>
                <w:sz w:val="18"/>
                <w:szCs w:val="18"/>
                <w:color w:val="auto"/>
              </w:rPr>
              <w:t>Summary</w:t>
            </w:r>
          </w:p>
        </w:tc>
        <w:tc>
          <w:tcPr>
            <w:tcW w:w="98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24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Governance</w:t>
            </w:r>
          </w:p>
        </w:tc>
        <w:tc>
          <w:tcPr>
            <w:tcW w:w="142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Compensation</w:t>
            </w:r>
          </w:p>
        </w:tc>
        <w:tc>
          <w:tcPr>
            <w:tcW w:w="15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c>
          <w:tcPr>
            <w:tcW w:w="1300" w:type="dxa"/>
            <w:vAlign w:val="bottom"/>
            <w:shd w:val="clear" w:color="auto" w:fill="F2F2F2"/>
          </w:tcPr>
          <w:p>
            <w:pPr>
              <w:ind w:left="100"/>
              <w:spacing w:after="0" w:line="202" w:lineRule="exact"/>
              <w:rPr>
                <w:sz w:val="20"/>
                <w:szCs w:val="20"/>
                <w:color w:val="auto"/>
              </w:rPr>
            </w:pPr>
            <w:r>
              <w:rPr>
                <w:rFonts w:ascii="Arial" w:cs="Arial" w:eastAsia="Arial" w:hAnsi="Arial"/>
                <w:sz w:val="18"/>
                <w:szCs w:val="18"/>
                <w:color w:val="auto"/>
              </w:rPr>
              <w:t>Amendments</w:t>
            </w:r>
          </w:p>
        </w:tc>
        <w:tc>
          <w:tcPr>
            <w:tcW w:w="124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Ownership</w:t>
            </w:r>
          </w:p>
        </w:tc>
        <w:tc>
          <w:tcPr>
            <w:tcW w:w="15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Matters</w:t>
            </w:r>
          </w:p>
        </w:tc>
      </w:tr>
      <w:tr>
        <w:trPr>
          <w:trHeight w:val="194"/>
        </w:trPr>
        <w:tc>
          <w:tcPr>
            <w:tcW w:w="1720" w:type="dxa"/>
            <w:vAlign w:val="bottom"/>
            <w:shd w:val="clear" w:color="auto" w:fill="F2F2F2"/>
          </w:tcPr>
          <w:p>
            <w:pPr>
              <w:spacing w:after="0"/>
              <w:rPr>
                <w:sz w:val="16"/>
                <w:szCs w:val="16"/>
                <w:color w:val="auto"/>
              </w:rPr>
            </w:pPr>
          </w:p>
        </w:tc>
        <w:tc>
          <w:tcPr>
            <w:tcW w:w="98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420" w:type="dxa"/>
            <w:vAlign w:val="bottom"/>
            <w:shd w:val="clear" w:color="auto" w:fill="F2F2F2"/>
          </w:tcPr>
          <w:p>
            <w:pPr>
              <w:spacing w:after="0"/>
              <w:rPr>
                <w:sz w:val="16"/>
                <w:szCs w:val="16"/>
                <w:color w:val="auto"/>
              </w:rPr>
            </w:pPr>
          </w:p>
        </w:tc>
        <w:tc>
          <w:tcPr>
            <w:tcW w:w="158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5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r>
      <w:tr>
        <w:trPr>
          <w:trHeight w:val="34"/>
        </w:trPr>
        <w:tc>
          <w:tcPr>
            <w:tcW w:w="1720" w:type="dxa"/>
            <w:vAlign w:val="bottom"/>
            <w:tcBorders>
              <w:top w:val="single" w:sz="8" w:color="F2F2F2"/>
            </w:tcBorders>
            <w:shd w:val="clear" w:color="auto" w:fill="F2F2F2"/>
          </w:tcPr>
          <w:p>
            <w:pPr>
              <w:spacing w:after="0"/>
              <w:rPr>
                <w:sz w:val="2"/>
                <w:szCs w:val="2"/>
                <w:color w:val="auto"/>
              </w:rPr>
            </w:pPr>
          </w:p>
        </w:tc>
        <w:tc>
          <w:tcPr>
            <w:tcW w:w="980" w:type="dxa"/>
            <w:vAlign w:val="bottom"/>
            <w:tcBorders>
              <w:top w:val="single" w:sz="8" w:color="F2F2F2"/>
            </w:tcBorders>
            <w:shd w:val="clear" w:color="auto" w:fill="F2F2F2"/>
          </w:tcPr>
          <w:p>
            <w:pPr>
              <w:spacing w:after="0"/>
              <w:rPr>
                <w:sz w:val="2"/>
                <w:szCs w:val="2"/>
                <w:color w:val="auto"/>
              </w:rPr>
            </w:pPr>
          </w:p>
        </w:tc>
        <w:tc>
          <w:tcPr>
            <w:tcW w:w="1240" w:type="dxa"/>
            <w:vAlign w:val="bottom"/>
            <w:tcBorders>
              <w:top w:val="single" w:sz="8" w:color="F2F2F2"/>
            </w:tcBorders>
            <w:shd w:val="clear" w:color="auto" w:fill="F2F2F2"/>
          </w:tcPr>
          <w:p>
            <w:pPr>
              <w:spacing w:after="0"/>
              <w:rPr>
                <w:sz w:val="2"/>
                <w:szCs w:val="2"/>
                <w:color w:val="auto"/>
              </w:rPr>
            </w:pPr>
          </w:p>
        </w:tc>
        <w:tc>
          <w:tcPr>
            <w:tcW w:w="1420" w:type="dxa"/>
            <w:vAlign w:val="bottom"/>
            <w:tcBorders>
              <w:top w:val="single" w:sz="8" w:color="F2F2F2"/>
            </w:tcBorders>
            <w:shd w:val="clear" w:color="auto" w:fill="F2F2F2"/>
          </w:tcPr>
          <w:p>
            <w:pPr>
              <w:spacing w:after="0"/>
              <w:rPr>
                <w:sz w:val="2"/>
                <w:szCs w:val="2"/>
                <w:color w:val="auto"/>
              </w:rPr>
            </w:pPr>
          </w:p>
        </w:tc>
        <w:tc>
          <w:tcPr>
            <w:tcW w:w="1580" w:type="dxa"/>
            <w:vAlign w:val="bottom"/>
            <w:tcBorders>
              <w:top w:val="single" w:sz="8" w:color="F2F2F2"/>
            </w:tcBorders>
            <w:shd w:val="clear" w:color="auto" w:fill="F2F2F2"/>
          </w:tcPr>
          <w:p>
            <w:pPr>
              <w:spacing w:after="0"/>
              <w:rPr>
                <w:sz w:val="2"/>
                <w:szCs w:val="2"/>
                <w:color w:val="auto"/>
              </w:rPr>
            </w:pPr>
          </w:p>
        </w:tc>
        <w:tc>
          <w:tcPr>
            <w:tcW w:w="1300" w:type="dxa"/>
            <w:vAlign w:val="bottom"/>
            <w:tcBorders>
              <w:top w:val="single" w:sz="8" w:color="F2F2F2"/>
            </w:tcBorders>
            <w:shd w:val="clear" w:color="auto" w:fill="F2F2F2"/>
          </w:tcPr>
          <w:p>
            <w:pPr>
              <w:spacing w:after="0"/>
              <w:rPr>
                <w:sz w:val="2"/>
                <w:szCs w:val="2"/>
                <w:color w:val="auto"/>
              </w:rPr>
            </w:pPr>
          </w:p>
        </w:tc>
        <w:tc>
          <w:tcPr>
            <w:tcW w:w="124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720" w:type="dxa"/>
            <w:vAlign w:val="bottom"/>
            <w:tcBorders>
              <w:top w:val="single" w:sz="8" w:color="F2F2F2"/>
            </w:tcBorders>
            <w:shd w:val="clear" w:color="auto" w:fill="F2F2F2"/>
          </w:tcPr>
          <w:p>
            <w:pPr>
              <w:spacing w:after="0"/>
              <w:rPr>
                <w:sz w:val="2"/>
                <w:szCs w:val="2"/>
                <w:color w:val="auto"/>
              </w:rPr>
            </w:pPr>
          </w:p>
        </w:tc>
      </w:tr>
    </w:tbl>
    <w:p>
      <w:pPr>
        <w:spacing w:after="0" w:line="11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OTHER INFORMATION</w:t>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104"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Stockholders and other interested parties may communicate with non-employee directors by sending written communications to the Board of Directors or specified individual directors by addressing their communications to the Corporate Secretary, Fair Isaac Corporation, 181 Metro Drive, Suite 700, San Jose, California 95110. The communications will be collected by the Corporate Secretary and delivered, in the form received, to the presiding director, or, if so addressed, to a specified director.</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Proposals and Nominations of Directors</w:t>
      </w:r>
    </w:p>
    <w:p>
      <w:pPr>
        <w:spacing w:after="0" w:line="104" w:lineRule="exact"/>
        <w:rPr>
          <w:sz w:val="20"/>
          <w:szCs w:val="20"/>
          <w:color w:val="auto"/>
        </w:rPr>
      </w:pPr>
    </w:p>
    <w:p>
      <w:pPr>
        <w:jc w:val="both"/>
        <w:ind w:left="120" w:right="20" w:firstLine="551"/>
        <w:spacing w:after="0" w:line="244" w:lineRule="auto"/>
        <w:rPr>
          <w:sz w:val="20"/>
          <w:szCs w:val="20"/>
          <w:color w:val="auto"/>
        </w:rPr>
      </w:pPr>
      <w:r>
        <w:rPr>
          <w:rFonts w:ascii="Arial" w:cs="Arial" w:eastAsia="Arial" w:hAnsi="Arial"/>
          <w:sz w:val="18"/>
          <w:szCs w:val="18"/>
          <w:color w:val="auto"/>
        </w:rPr>
        <w:t>Under the SEC rules, if a stockholder wants us to include a proposal in our proxy statement and proxy card for our 2027 annual meeting of stockholders, the proposal must be received by our Corporate Secretary, 5 West Mendenhall, Suite 105, Bozeman, Montana 59715, no later than 5:00 P.M. local time on September 29, 2026, to be considered for inclusion in the proxy statement and proxy card for that meeting. Stockholder communications to the Board, including any such communications relating to director nominees, may also be addressed to our Corporate Secretary at that address.</w:t>
      </w:r>
    </w:p>
    <w:p>
      <w:pPr>
        <w:spacing w:after="0" w:line="176"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In order for business, other than a stockholder proposal included in our proxy statement and proxy card, to be properly brought by a stockholder before the 2027 annual meeting, the stockholder must give timely written notice thereof to the Corporate Secretary and must otherwise comply with our Bylaws. Our Bylaws provide that, to be timely, a stockholder’s notice must be received by our Corporate Secretary at our principal executive offices no fewer than 90 days nor more than 120 days prior to the first anniversary of the date of the preceding year’s annual meeting. In the case of an annual meeting which is held more than 25 days before or after such anniversary date, in order for notice by the stockholder to be considered timely, it must be received no later than the close of business on the 10th day following the date of the first public announcement of the date of the annual meeting.</w:t>
      </w:r>
    </w:p>
    <w:p>
      <w:pPr>
        <w:spacing w:after="0" w:line="185"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In addition to satisfying the foregoing requirements, in order to comply with the universal proxy rules, a stockholder who intends to solicit proxies in support of director nominees for election at the 2027 annual meeting, other than the Company’s nominees, must provide notice that sets forth the information required by Rule 14a-19 under the Exchange Act no later than January 4, 2027.</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Householding</w:t>
      </w:r>
    </w:p>
    <w:p>
      <w:pPr>
        <w:spacing w:after="0" w:line="104"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We may deliver just one proxy statement to two or more stockholders who share an address, unless we have received contrary instructions from one or more of the stockholders. Each stockholder will receive a separate proxy card. This practice, which is commonly referred to as “householding,” is permitted by Rule 14a-3(e)(1) under the Exchange Act. It helps to reduce costs, clutter and paper waste for us and our stockholders.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However, we will promptly deliver a separate copy if requested by any stockholder at a shared address subject to householding.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Requests for additional copies of this proxy statement should be directed in writing to Broadridge Financial Solutions, Inc., Attn.</w:t>
      </w:r>
    </w:p>
    <w:p>
      <w:pPr>
        <w:ind w:left="120"/>
        <w:spacing w:after="0"/>
        <w:rPr>
          <w:sz w:val="20"/>
          <w:szCs w:val="20"/>
          <w:color w:val="auto"/>
        </w:rPr>
      </w:pPr>
      <w:r>
        <w:rPr>
          <w:rFonts w:ascii="Arial" w:cs="Arial" w:eastAsia="Arial" w:hAnsi="Arial"/>
          <w:sz w:val="18"/>
          <w:szCs w:val="18"/>
          <w:color w:val="auto"/>
        </w:rPr>
        <w:t>Householding Department, 51 Mercedes Way, Edgewood, New York 11717 or by phone at 1-866-540-7095.</w:t>
      </w:r>
    </w:p>
    <w:p>
      <w:pPr>
        <w:spacing w:after="0" w:line="194"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18"/>
          <w:szCs w:val="18"/>
          <w:color w:val="auto"/>
        </w:rPr>
        <w:t>In addition, stockholders who share a single address, but receive multiple copies of the proxy statement, may request that in the future they receive a single copy of any future proxy materials by contacting the Corporate Secretary at 181 Metro Drive, Suite 700, San Jose, California 95110 (if your shares are registered in your own name) or your bank, broker or other nominee (if your shares are registered in their name).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Internet Access to Proxy Materials</w:t>
      </w:r>
    </w:p>
    <w:p>
      <w:pPr>
        <w:spacing w:after="0" w:line="104"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 xml:space="preserve">The proxy materials are located on the “Investors” page of our website at </w:t>
      </w:r>
      <w:r>
        <w:rPr>
          <w:rFonts w:ascii="Arial" w:cs="Arial" w:eastAsia="Arial" w:hAnsi="Arial"/>
          <w:sz w:val="18"/>
          <w:szCs w:val="18"/>
          <w:i w:val="1"/>
          <w:iCs w:val="1"/>
          <w:color w:val="auto"/>
        </w:rPr>
        <w:t>www.fico.com</w:t>
      </w:r>
      <w:r>
        <w:rPr>
          <w:rFonts w:ascii="Arial" w:cs="Arial" w:eastAsia="Arial" w:hAnsi="Arial"/>
          <w:sz w:val="18"/>
          <w:szCs w:val="18"/>
          <w:color w:val="auto"/>
        </w:rPr>
        <w:t xml:space="preserve">, and at the following cookies-free website that can be accessed anonymously: </w:t>
      </w:r>
      <w:r>
        <w:rPr>
          <w:rFonts w:ascii="Arial" w:cs="Arial" w:eastAsia="Arial" w:hAnsi="Arial"/>
          <w:sz w:val="18"/>
          <w:szCs w:val="18"/>
          <w:i w:val="1"/>
          <w:iCs w:val="1"/>
          <w:u w:val="single" w:color="auto"/>
          <w:color w:val="auto"/>
        </w:rPr>
        <w:t>https://fico.gcs-web.com/corporate-information</w:t>
      </w:r>
      <w:r>
        <w:rPr>
          <w:rFonts w:ascii="Arial" w:cs="Arial" w:eastAsia="Arial" w:hAnsi="Arial"/>
          <w:sz w:val="18"/>
          <w:szCs w:val="18"/>
          <w:i w:val="1"/>
          <w:iCs w:val="1"/>
          <w:color w:val="auto"/>
        </w:rPr>
        <w: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376DB5"/>
        </w:rPr>
        <w:t xml:space="preserve">Fair Isaac Corporation </w:t>
      </w:r>
      <w:r>
        <w:rPr>
          <w:rFonts w:ascii="Arial" w:cs="Arial" w:eastAsia="Arial" w:hAnsi="Arial"/>
          <w:sz w:val="18"/>
          <w:szCs w:val="18"/>
          <w:color w:val="000000"/>
        </w:rPr>
        <w:t>l 2026 Proxy Statement      97</w:t>
      </w:r>
    </w:p>
    <w:p>
      <w:pPr>
        <w:sectPr>
          <w:pgSz w:w="11900" w:h="16838" w:orient="portrait"/>
          <w:cols w:equalWidth="0" w:num="1">
            <w:col w:w="11140"/>
          </w:cols>
          <w:pgMar w:left="320" w:top="482"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764"/>
        </w:trPr>
        <w:tc>
          <w:tcPr>
            <w:tcW w:w="1720" w:type="dxa"/>
            <w:vAlign w:val="bottom"/>
            <w:shd w:val="clear" w:color="auto" w:fill="F2F2F2"/>
          </w:tcPr>
          <w:p>
            <w:pPr>
              <w:ind w:left="740"/>
              <w:spacing w:after="0"/>
              <w:rPr>
                <w:sz w:val="20"/>
                <w:szCs w:val="20"/>
                <w:color w:val="auto"/>
              </w:rPr>
            </w:pPr>
            <w:r>
              <w:rPr>
                <w:rFonts w:ascii="Arial" w:cs="Arial" w:eastAsia="Arial" w:hAnsi="Arial"/>
                <w:sz w:val="18"/>
                <w:szCs w:val="18"/>
                <w:color w:val="auto"/>
              </w:rPr>
              <w:t>Proxy</w:t>
            </w:r>
          </w:p>
        </w:tc>
        <w:tc>
          <w:tcPr>
            <w:tcW w:w="9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Board of</w:t>
            </w:r>
          </w:p>
        </w:tc>
        <w:tc>
          <w:tcPr>
            <w:tcW w:w="1240" w:type="dxa"/>
            <w:vAlign w:val="bottom"/>
            <w:shd w:val="clear" w:color="auto" w:fill="F2F2F2"/>
          </w:tcPr>
          <w:p>
            <w:pPr>
              <w:ind w:left="140"/>
              <w:spacing w:after="0"/>
              <w:rPr>
                <w:sz w:val="20"/>
                <w:szCs w:val="20"/>
                <w:color w:val="auto"/>
              </w:rPr>
            </w:pPr>
            <w:r>
              <w:rPr>
                <w:rFonts w:ascii="Arial" w:cs="Arial" w:eastAsia="Arial" w:hAnsi="Arial"/>
                <w:sz w:val="18"/>
                <w:szCs w:val="18"/>
                <w:color w:val="auto"/>
              </w:rPr>
              <w:t>Corporate</w:t>
            </w:r>
          </w:p>
        </w:tc>
        <w:tc>
          <w:tcPr>
            <w:tcW w:w="1420" w:type="dxa"/>
            <w:vAlign w:val="bottom"/>
            <w:shd w:val="clear" w:color="auto" w:fill="F2F2F2"/>
          </w:tcPr>
          <w:p>
            <w:pPr>
              <w:ind w:left="120"/>
              <w:spacing w:after="0"/>
              <w:rPr>
                <w:sz w:val="20"/>
                <w:szCs w:val="20"/>
                <w:color w:val="auto"/>
              </w:rPr>
            </w:pPr>
            <w:r>
              <w:rPr>
                <w:rFonts w:ascii="Arial" w:cs="Arial" w:eastAsia="Arial" w:hAnsi="Arial"/>
                <w:sz w:val="18"/>
                <w:szCs w:val="18"/>
                <w:color w:val="auto"/>
              </w:rPr>
              <w:t>Executive</w:t>
            </w:r>
          </w:p>
        </w:tc>
        <w:tc>
          <w:tcPr>
            <w:tcW w:w="15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Audit Committee</w:t>
            </w:r>
          </w:p>
        </w:tc>
        <w:tc>
          <w:tcPr>
            <w:tcW w:w="1300" w:type="dxa"/>
            <w:vAlign w:val="bottom"/>
            <w:shd w:val="clear" w:color="auto" w:fill="F2F2F2"/>
          </w:tcPr>
          <w:p>
            <w:pPr>
              <w:ind w:left="100"/>
              <w:spacing w:after="0"/>
              <w:rPr>
                <w:sz w:val="20"/>
                <w:szCs w:val="20"/>
                <w:color w:val="auto"/>
              </w:rPr>
            </w:pPr>
            <w:r>
              <w:rPr>
                <w:rFonts w:ascii="Arial" w:cs="Arial" w:eastAsia="Arial" w:hAnsi="Arial"/>
                <w:sz w:val="18"/>
                <w:szCs w:val="18"/>
                <w:color w:val="auto"/>
              </w:rPr>
              <w:t>Charter</w:t>
            </w:r>
          </w:p>
        </w:tc>
        <w:tc>
          <w:tcPr>
            <w:tcW w:w="1240" w:type="dxa"/>
            <w:vAlign w:val="bottom"/>
            <w:shd w:val="clear" w:color="auto" w:fill="F2F2F2"/>
          </w:tcPr>
          <w:p>
            <w:pPr>
              <w:ind w:left="120"/>
              <w:spacing w:after="0"/>
              <w:rPr>
                <w:sz w:val="20"/>
                <w:szCs w:val="20"/>
                <w:color w:val="auto"/>
              </w:rPr>
            </w:pPr>
            <w:r>
              <w:rPr>
                <w:rFonts w:ascii="Arial" w:cs="Arial" w:eastAsia="Arial" w:hAnsi="Arial"/>
                <w:sz w:val="18"/>
                <w:szCs w:val="18"/>
                <w:color w:val="auto"/>
              </w:rPr>
              <w:t>Stock</w:t>
            </w:r>
          </w:p>
        </w:tc>
        <w:tc>
          <w:tcPr>
            <w:tcW w:w="154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376DB5"/>
              </w:rPr>
              <w:t>Other</w:t>
            </w:r>
          </w:p>
        </w:tc>
      </w:tr>
      <w:tr>
        <w:trPr>
          <w:trHeight w:val="203"/>
        </w:trPr>
        <w:tc>
          <w:tcPr>
            <w:tcW w:w="1720" w:type="dxa"/>
            <w:vAlign w:val="bottom"/>
            <w:shd w:val="clear" w:color="auto" w:fill="F2F2F2"/>
          </w:tcPr>
          <w:p>
            <w:pPr>
              <w:ind w:left="740"/>
              <w:spacing w:after="0" w:line="202" w:lineRule="exact"/>
              <w:rPr>
                <w:sz w:val="20"/>
                <w:szCs w:val="20"/>
                <w:color w:val="auto"/>
              </w:rPr>
            </w:pPr>
            <w:r>
              <w:rPr>
                <w:rFonts w:ascii="Arial" w:cs="Arial" w:eastAsia="Arial" w:hAnsi="Arial"/>
                <w:sz w:val="18"/>
                <w:szCs w:val="18"/>
                <w:color w:val="auto"/>
              </w:rPr>
              <w:t>Summary</w:t>
            </w:r>
          </w:p>
        </w:tc>
        <w:tc>
          <w:tcPr>
            <w:tcW w:w="98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Directors</w:t>
            </w:r>
          </w:p>
        </w:tc>
        <w:tc>
          <w:tcPr>
            <w:tcW w:w="124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Governance</w:t>
            </w:r>
          </w:p>
        </w:tc>
        <w:tc>
          <w:tcPr>
            <w:tcW w:w="142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Compensation</w:t>
            </w:r>
          </w:p>
        </w:tc>
        <w:tc>
          <w:tcPr>
            <w:tcW w:w="15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Matters</w:t>
            </w:r>
          </w:p>
        </w:tc>
        <w:tc>
          <w:tcPr>
            <w:tcW w:w="1300" w:type="dxa"/>
            <w:vAlign w:val="bottom"/>
            <w:shd w:val="clear" w:color="auto" w:fill="F2F2F2"/>
          </w:tcPr>
          <w:p>
            <w:pPr>
              <w:ind w:left="100"/>
              <w:spacing w:after="0" w:line="202" w:lineRule="exact"/>
              <w:rPr>
                <w:sz w:val="20"/>
                <w:szCs w:val="20"/>
                <w:color w:val="auto"/>
              </w:rPr>
            </w:pPr>
            <w:r>
              <w:rPr>
                <w:rFonts w:ascii="Arial" w:cs="Arial" w:eastAsia="Arial" w:hAnsi="Arial"/>
                <w:sz w:val="18"/>
                <w:szCs w:val="18"/>
                <w:color w:val="auto"/>
              </w:rPr>
              <w:t>Amendments</w:t>
            </w:r>
          </w:p>
        </w:tc>
        <w:tc>
          <w:tcPr>
            <w:tcW w:w="1240" w:type="dxa"/>
            <w:vAlign w:val="bottom"/>
            <w:shd w:val="clear" w:color="auto" w:fill="F2F2F2"/>
          </w:tcPr>
          <w:p>
            <w:pPr>
              <w:ind w:left="120"/>
              <w:spacing w:after="0" w:line="202" w:lineRule="exact"/>
              <w:rPr>
                <w:sz w:val="20"/>
                <w:szCs w:val="20"/>
                <w:color w:val="auto"/>
              </w:rPr>
            </w:pPr>
            <w:r>
              <w:rPr>
                <w:rFonts w:ascii="Arial" w:cs="Arial" w:eastAsia="Arial" w:hAnsi="Arial"/>
                <w:sz w:val="18"/>
                <w:szCs w:val="18"/>
                <w:color w:val="auto"/>
              </w:rPr>
              <w:t>Ownership</w:t>
            </w:r>
          </w:p>
        </w:tc>
        <w:tc>
          <w:tcPr>
            <w:tcW w:w="15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376DB5"/>
              </w:rPr>
              <w:t>Matters</w:t>
            </w:r>
          </w:p>
        </w:tc>
      </w:tr>
      <w:tr>
        <w:trPr>
          <w:trHeight w:val="194"/>
        </w:trPr>
        <w:tc>
          <w:tcPr>
            <w:tcW w:w="1720" w:type="dxa"/>
            <w:vAlign w:val="bottom"/>
            <w:shd w:val="clear" w:color="auto" w:fill="F2F2F2"/>
          </w:tcPr>
          <w:p>
            <w:pPr>
              <w:spacing w:after="0"/>
              <w:rPr>
                <w:sz w:val="16"/>
                <w:szCs w:val="16"/>
                <w:color w:val="auto"/>
              </w:rPr>
            </w:pPr>
          </w:p>
        </w:tc>
        <w:tc>
          <w:tcPr>
            <w:tcW w:w="98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420" w:type="dxa"/>
            <w:vAlign w:val="bottom"/>
            <w:shd w:val="clear" w:color="auto" w:fill="F2F2F2"/>
          </w:tcPr>
          <w:p>
            <w:pPr>
              <w:spacing w:after="0"/>
              <w:rPr>
                <w:sz w:val="16"/>
                <w:szCs w:val="16"/>
                <w:color w:val="auto"/>
              </w:rPr>
            </w:pPr>
          </w:p>
        </w:tc>
        <w:tc>
          <w:tcPr>
            <w:tcW w:w="158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540" w:type="dxa"/>
            <w:vAlign w:val="bottom"/>
            <w:gridSpan w:val="2"/>
            <w:shd w:val="clear" w:color="auto" w:fill="F2F2F2"/>
          </w:tcPr>
          <w:p>
            <w:pPr>
              <w:spacing w:after="0" w:line="195" w:lineRule="exact"/>
              <w:rPr>
                <w:sz w:val="20"/>
                <w:szCs w:val="20"/>
                <w:color w:val="auto"/>
              </w:rPr>
            </w:pPr>
            <w:r>
              <w:rPr>
                <w:rFonts w:ascii="Arial" w:cs="Arial" w:eastAsia="Arial" w:hAnsi="Arial"/>
                <w:sz w:val="18"/>
                <w:szCs w:val="18"/>
                <w:b w:val="1"/>
                <w:bCs w:val="1"/>
                <w:color w:val="376DB5"/>
              </w:rPr>
              <w:t xml:space="preserve">             </w:t>
            </w:r>
          </w:p>
        </w:tc>
      </w:tr>
      <w:tr>
        <w:trPr>
          <w:trHeight w:val="34"/>
        </w:trPr>
        <w:tc>
          <w:tcPr>
            <w:tcW w:w="1720" w:type="dxa"/>
            <w:vAlign w:val="bottom"/>
            <w:tcBorders>
              <w:top w:val="single" w:sz="8" w:color="F2F2F2"/>
            </w:tcBorders>
            <w:shd w:val="clear" w:color="auto" w:fill="F2F2F2"/>
          </w:tcPr>
          <w:p>
            <w:pPr>
              <w:spacing w:after="0"/>
              <w:rPr>
                <w:sz w:val="2"/>
                <w:szCs w:val="2"/>
                <w:color w:val="auto"/>
              </w:rPr>
            </w:pPr>
          </w:p>
        </w:tc>
        <w:tc>
          <w:tcPr>
            <w:tcW w:w="980" w:type="dxa"/>
            <w:vAlign w:val="bottom"/>
            <w:tcBorders>
              <w:top w:val="single" w:sz="8" w:color="F2F2F2"/>
            </w:tcBorders>
            <w:shd w:val="clear" w:color="auto" w:fill="F2F2F2"/>
          </w:tcPr>
          <w:p>
            <w:pPr>
              <w:spacing w:after="0"/>
              <w:rPr>
                <w:sz w:val="2"/>
                <w:szCs w:val="2"/>
                <w:color w:val="auto"/>
              </w:rPr>
            </w:pPr>
          </w:p>
        </w:tc>
        <w:tc>
          <w:tcPr>
            <w:tcW w:w="1240" w:type="dxa"/>
            <w:vAlign w:val="bottom"/>
            <w:tcBorders>
              <w:top w:val="single" w:sz="8" w:color="F2F2F2"/>
            </w:tcBorders>
            <w:shd w:val="clear" w:color="auto" w:fill="F2F2F2"/>
          </w:tcPr>
          <w:p>
            <w:pPr>
              <w:spacing w:after="0"/>
              <w:rPr>
                <w:sz w:val="2"/>
                <w:szCs w:val="2"/>
                <w:color w:val="auto"/>
              </w:rPr>
            </w:pPr>
          </w:p>
        </w:tc>
        <w:tc>
          <w:tcPr>
            <w:tcW w:w="1420" w:type="dxa"/>
            <w:vAlign w:val="bottom"/>
            <w:tcBorders>
              <w:top w:val="single" w:sz="8" w:color="F2F2F2"/>
            </w:tcBorders>
            <w:shd w:val="clear" w:color="auto" w:fill="F2F2F2"/>
          </w:tcPr>
          <w:p>
            <w:pPr>
              <w:spacing w:after="0"/>
              <w:rPr>
                <w:sz w:val="2"/>
                <w:szCs w:val="2"/>
                <w:color w:val="auto"/>
              </w:rPr>
            </w:pPr>
          </w:p>
        </w:tc>
        <w:tc>
          <w:tcPr>
            <w:tcW w:w="1580" w:type="dxa"/>
            <w:vAlign w:val="bottom"/>
            <w:tcBorders>
              <w:top w:val="single" w:sz="8" w:color="F2F2F2"/>
            </w:tcBorders>
            <w:shd w:val="clear" w:color="auto" w:fill="F2F2F2"/>
          </w:tcPr>
          <w:p>
            <w:pPr>
              <w:spacing w:after="0"/>
              <w:rPr>
                <w:sz w:val="2"/>
                <w:szCs w:val="2"/>
                <w:color w:val="auto"/>
              </w:rPr>
            </w:pPr>
          </w:p>
        </w:tc>
        <w:tc>
          <w:tcPr>
            <w:tcW w:w="1300" w:type="dxa"/>
            <w:vAlign w:val="bottom"/>
            <w:tcBorders>
              <w:top w:val="single" w:sz="8" w:color="F2F2F2"/>
            </w:tcBorders>
            <w:shd w:val="clear" w:color="auto" w:fill="F2F2F2"/>
          </w:tcPr>
          <w:p>
            <w:pPr>
              <w:spacing w:after="0"/>
              <w:rPr>
                <w:sz w:val="2"/>
                <w:szCs w:val="2"/>
                <w:color w:val="auto"/>
              </w:rPr>
            </w:pPr>
          </w:p>
        </w:tc>
        <w:tc>
          <w:tcPr>
            <w:tcW w:w="1240" w:type="dxa"/>
            <w:vAlign w:val="bottom"/>
            <w:tcBorders>
              <w:top w:val="single" w:sz="8" w:color="F2F2F2"/>
            </w:tcBorders>
            <w:shd w:val="clear" w:color="auto" w:fill="F2F2F2"/>
          </w:tcPr>
          <w:p>
            <w:pPr>
              <w:spacing w:after="0"/>
              <w:rPr>
                <w:sz w:val="2"/>
                <w:szCs w:val="2"/>
                <w:color w:val="auto"/>
              </w:rPr>
            </w:pPr>
          </w:p>
        </w:tc>
        <w:tc>
          <w:tcPr>
            <w:tcW w:w="820" w:type="dxa"/>
            <w:vAlign w:val="bottom"/>
            <w:tcBorders>
              <w:top w:val="single" w:sz="8" w:color="376DB5"/>
            </w:tcBorders>
            <w:shd w:val="clear" w:color="auto" w:fill="F2F2F2"/>
          </w:tcPr>
          <w:p>
            <w:pPr>
              <w:spacing w:after="0"/>
              <w:rPr>
                <w:sz w:val="2"/>
                <w:szCs w:val="2"/>
                <w:color w:val="auto"/>
              </w:rPr>
            </w:pPr>
          </w:p>
        </w:tc>
        <w:tc>
          <w:tcPr>
            <w:tcW w:w="720" w:type="dxa"/>
            <w:vAlign w:val="bottom"/>
            <w:tcBorders>
              <w:top w:val="single" w:sz="8" w:color="F2F2F2"/>
            </w:tcBorders>
            <w:shd w:val="clear" w:color="auto" w:fill="F2F2F2"/>
          </w:tcPr>
          <w:p>
            <w:pPr>
              <w:spacing w:after="0"/>
              <w:rPr>
                <w:sz w:val="2"/>
                <w:szCs w:val="2"/>
                <w:color w:val="auto"/>
              </w:rPr>
            </w:pPr>
          </w:p>
        </w:tc>
      </w:tr>
    </w:tbl>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Requesting a Copy of the Company’s Annual Report on Form 10-K</w:t>
      </w:r>
    </w:p>
    <w:p>
      <w:pPr>
        <w:spacing w:after="0" w:line="104" w:lineRule="exact"/>
        <w:rPr>
          <w:sz w:val="20"/>
          <w:szCs w:val="20"/>
          <w:color w:val="auto"/>
        </w:rPr>
      </w:pPr>
    </w:p>
    <w:p>
      <w:pPr>
        <w:jc w:val="both"/>
        <w:ind w:left="120" w:firstLine="551"/>
        <w:spacing w:after="0" w:line="247" w:lineRule="auto"/>
        <w:rPr>
          <w:sz w:val="20"/>
          <w:szCs w:val="20"/>
          <w:color w:val="auto"/>
        </w:rPr>
      </w:pPr>
      <w:r>
        <w:rPr>
          <w:rFonts w:ascii="Arial" w:cs="Arial" w:eastAsia="Arial" w:hAnsi="Arial"/>
          <w:sz w:val="18"/>
          <w:szCs w:val="18"/>
          <w:color w:val="auto"/>
        </w:rPr>
        <w:t xml:space="preserve">We will mail without charge, upon written request, a copy of our Annual Report on Form 10-K for the fiscal year ended September 30, 2025, including the consolidated financial statements, schedules and list of exhibits and any particular exhibit specifically requested. Requests should be sent to: Fair Isaac Corporation, 181 Metro Drive, Suite 700, San Jose, California 95110, Attn: Investor Relations. The Annual Report on Form 10-K is also available on the “Investors” page of our website at </w:t>
      </w:r>
      <w:r>
        <w:rPr>
          <w:rFonts w:ascii="Arial" w:cs="Arial" w:eastAsia="Arial" w:hAnsi="Arial"/>
          <w:sz w:val="18"/>
          <w:szCs w:val="18"/>
          <w:i w:val="1"/>
          <w:iCs w:val="1"/>
          <w:color w:val="auto"/>
        </w:rPr>
        <w:t>www.fico.com.</w:t>
      </w:r>
    </w:p>
    <w:p>
      <w:pPr>
        <w:spacing w:after="0" w:line="200" w:lineRule="exact"/>
        <w:rPr>
          <w:sz w:val="20"/>
          <w:szCs w:val="20"/>
          <w:color w:val="auto"/>
        </w:rPr>
      </w:pPr>
    </w:p>
    <w:p>
      <w:pPr>
        <w:spacing w:after="0" w:line="271" w:lineRule="exact"/>
        <w:rPr>
          <w:sz w:val="20"/>
          <w:szCs w:val="20"/>
          <w:color w:val="auto"/>
        </w:rPr>
      </w:pPr>
    </w:p>
    <w:p>
      <w:pPr>
        <w:ind w:left="6880"/>
        <w:spacing w:after="0"/>
        <w:rPr>
          <w:sz w:val="20"/>
          <w:szCs w:val="20"/>
          <w:color w:val="auto"/>
        </w:rPr>
      </w:pPr>
      <w:r>
        <w:rPr>
          <w:rFonts w:ascii="Arial" w:cs="Arial" w:eastAsia="Arial" w:hAnsi="Arial"/>
          <w:sz w:val="17"/>
          <w:szCs w:val="17"/>
          <w:color w:val="376DB5"/>
        </w:rPr>
        <w:t xml:space="preserve">Fair Isaac Corporation </w:t>
      </w:r>
      <w:r>
        <w:rPr>
          <w:rFonts w:ascii="Arial" w:cs="Arial" w:eastAsia="Arial" w:hAnsi="Arial"/>
          <w:sz w:val="17"/>
          <w:szCs w:val="17"/>
          <w:color w:val="000000"/>
        </w:rPr>
        <w:t>l 2026 Proxy Statement      98</w:t>
      </w:r>
    </w:p>
    <w:p>
      <w:pPr>
        <w:sectPr>
          <w:pgSz w:w="11900" w:h="16838" w:orient="portrait"/>
          <w:cols w:equalWidth="0" w:num="1">
            <w:col w:w="11140"/>
          </w:cols>
          <w:pgMar w:left="320" w:top="482"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0040"/>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12" w:lineRule="exact"/>
        <w:rPr>
          <w:sz w:val="20"/>
          <w:szCs w:val="20"/>
          <w:color w:val="auto"/>
        </w:rPr>
      </w:pPr>
    </w:p>
    <w:p>
      <w:pPr>
        <w:jc w:val="both"/>
        <w:ind w:left="120" w:right="20" w:firstLine="881"/>
        <w:spacing w:after="0" w:line="244" w:lineRule="auto"/>
        <w:rPr>
          <w:sz w:val="20"/>
          <w:szCs w:val="20"/>
          <w:color w:val="auto"/>
        </w:rPr>
      </w:pPr>
      <w:r>
        <w:rPr>
          <w:rFonts w:ascii="Arial" w:cs="Arial" w:eastAsia="Arial" w:hAnsi="Arial"/>
          <w:sz w:val="18"/>
          <w:szCs w:val="18"/>
          <w:color w:val="auto"/>
        </w:rPr>
        <w:t>Adjusted EBITDA is referenced in the proxy statement to which this Appendix A is attached, and means GAAP net income, adjusted for certain items, as set forth in the reconciliation below. Adjusted EBITDA is a non-GAAP financial measure and is not intended to be considered in isolation or as a substitute for, or superior to, the financial information prepared and presented in accordance with GAAP. The Company’s definition of this measure is not necessarily comparable to other similarly titled captions of other companies due to different methods of calculation.</w:t>
      </w:r>
    </w:p>
    <w:p>
      <w:pPr>
        <w:spacing w:after="0" w:line="6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contains a reconciliation of net income to Adjusted EBITDA for the fiscal years ended September 30, 2025</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2024:</w:t>
      </w:r>
    </w:p>
    <w:p>
      <w:pPr>
        <w:spacing w:after="0" w:line="200" w:lineRule="exact"/>
        <w:rPr>
          <w:sz w:val="20"/>
          <w:szCs w:val="20"/>
          <w:color w:val="auto"/>
        </w:rPr>
      </w:pP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5540" w:type="dxa"/>
            <w:vAlign w:val="bottom"/>
            <w:shd w:val="clear" w:color="auto" w:fill="376DB5"/>
          </w:tcPr>
          <w:p>
            <w:pPr>
              <w:spacing w:after="0"/>
              <w:rPr>
                <w:sz w:val="18"/>
                <w:szCs w:val="18"/>
                <w:color w:val="auto"/>
              </w:rPr>
            </w:pPr>
          </w:p>
        </w:tc>
        <w:tc>
          <w:tcPr>
            <w:tcW w:w="2860" w:type="dxa"/>
            <w:vAlign w:val="bottom"/>
            <w:gridSpan w:val="2"/>
            <w:shd w:val="clear" w:color="auto" w:fill="376DB5"/>
          </w:tcPr>
          <w:p>
            <w:pPr>
              <w:ind w:left="1100"/>
              <w:spacing w:after="0"/>
              <w:rPr>
                <w:sz w:val="20"/>
                <w:szCs w:val="20"/>
                <w:color w:val="auto"/>
              </w:rPr>
            </w:pPr>
            <w:r>
              <w:rPr>
                <w:rFonts w:ascii="Arial" w:cs="Arial" w:eastAsia="Arial" w:hAnsi="Arial"/>
                <w:sz w:val="18"/>
                <w:szCs w:val="18"/>
                <w:color w:val="FFFFFF"/>
              </w:rPr>
              <w:t>Year Ended</w:t>
            </w:r>
          </w:p>
        </w:tc>
        <w:tc>
          <w:tcPr>
            <w:tcW w:w="880" w:type="dxa"/>
            <w:vAlign w:val="bottom"/>
            <w:shd w:val="clear" w:color="auto" w:fill="376DB5"/>
          </w:tcPr>
          <w:p>
            <w:pPr>
              <w:ind w:left="820"/>
              <w:spacing w:after="0"/>
              <w:rPr>
                <w:sz w:val="20"/>
                <w:szCs w:val="20"/>
                <w:color w:val="auto"/>
              </w:rPr>
            </w:pPr>
            <w:r>
              <w:rPr>
                <w:rFonts w:ascii="Arial" w:cs="Arial" w:eastAsia="Arial" w:hAnsi="Arial"/>
                <w:sz w:val="4"/>
                <w:szCs w:val="4"/>
                <w:color w:val="FFFFFF"/>
                <w:w w:val="98"/>
              </w:rPr>
              <w:t> </w:t>
            </w:r>
          </w:p>
        </w:tc>
        <w:tc>
          <w:tcPr>
            <w:tcW w:w="1740" w:type="dxa"/>
            <w:vAlign w:val="bottom"/>
            <w:shd w:val="clear" w:color="auto" w:fill="376DB5"/>
          </w:tcPr>
          <w:p>
            <w:pPr>
              <w:jc w:val="right"/>
              <w:ind w:right="590"/>
              <w:spacing w:after="0"/>
              <w:rPr>
                <w:sz w:val="20"/>
                <w:szCs w:val="20"/>
                <w:color w:val="auto"/>
              </w:rPr>
            </w:pPr>
            <w:r>
              <w:rPr>
                <w:rFonts w:ascii="Arial" w:cs="Arial" w:eastAsia="Arial" w:hAnsi="Arial"/>
                <w:sz w:val="18"/>
                <w:szCs w:val="18"/>
                <w:color w:val="FFFFFF"/>
              </w:rPr>
              <w:t>Year Ended</w:t>
            </w:r>
          </w:p>
        </w:tc>
      </w:tr>
      <w:tr>
        <w:trPr>
          <w:trHeight w:val="203"/>
        </w:trPr>
        <w:tc>
          <w:tcPr>
            <w:tcW w:w="5540" w:type="dxa"/>
            <w:vAlign w:val="bottom"/>
            <w:shd w:val="clear" w:color="auto" w:fill="376DB5"/>
          </w:tcPr>
          <w:p>
            <w:pPr>
              <w:spacing w:after="0"/>
              <w:rPr>
                <w:sz w:val="17"/>
                <w:szCs w:val="17"/>
                <w:color w:val="auto"/>
              </w:rPr>
            </w:pPr>
          </w:p>
        </w:tc>
        <w:tc>
          <w:tcPr>
            <w:tcW w:w="2860" w:type="dxa"/>
            <w:vAlign w:val="bottom"/>
            <w:gridSpan w:val="2"/>
            <w:shd w:val="clear" w:color="auto" w:fill="376DB5"/>
          </w:tcPr>
          <w:p>
            <w:pPr>
              <w:jc w:val="right"/>
              <w:ind w:right="610"/>
              <w:spacing w:after="0" w:line="202" w:lineRule="exact"/>
              <w:rPr>
                <w:sz w:val="20"/>
                <w:szCs w:val="20"/>
                <w:color w:val="auto"/>
              </w:rPr>
            </w:pPr>
            <w:r>
              <w:rPr>
                <w:rFonts w:ascii="Arial" w:cs="Arial" w:eastAsia="Arial" w:hAnsi="Arial"/>
                <w:sz w:val="18"/>
                <w:szCs w:val="18"/>
                <w:color w:val="FFFFFF"/>
              </w:rPr>
              <w:t>September 30,</w:t>
            </w:r>
          </w:p>
        </w:tc>
        <w:tc>
          <w:tcPr>
            <w:tcW w:w="880" w:type="dxa"/>
            <w:vAlign w:val="bottom"/>
            <w:shd w:val="clear" w:color="auto" w:fill="376DB5"/>
          </w:tcPr>
          <w:p>
            <w:pPr>
              <w:ind w:left="700"/>
              <w:spacing w:after="0" w:line="202" w:lineRule="exact"/>
              <w:rPr>
                <w:sz w:val="20"/>
                <w:szCs w:val="20"/>
                <w:color w:val="auto"/>
              </w:rPr>
            </w:pPr>
            <w:r>
              <w:rPr>
                <w:rFonts w:ascii="Arial" w:cs="Arial" w:eastAsia="Arial" w:hAnsi="Arial"/>
                <w:sz w:val="18"/>
                <w:szCs w:val="18"/>
                <w:color w:val="FFFFFF"/>
                <w:w w:val="88"/>
              </w:rPr>
              <w:t> </w:t>
            </w:r>
          </w:p>
        </w:tc>
        <w:tc>
          <w:tcPr>
            <w:tcW w:w="1740" w:type="dxa"/>
            <w:vAlign w:val="bottom"/>
            <w:shd w:val="clear" w:color="auto" w:fill="376DB5"/>
          </w:tcPr>
          <w:p>
            <w:pPr>
              <w:jc w:val="right"/>
              <w:ind w:right="470"/>
              <w:spacing w:after="0" w:line="202" w:lineRule="exact"/>
              <w:rPr>
                <w:sz w:val="20"/>
                <w:szCs w:val="20"/>
                <w:color w:val="auto"/>
              </w:rPr>
            </w:pPr>
            <w:r>
              <w:rPr>
                <w:rFonts w:ascii="Arial" w:cs="Arial" w:eastAsia="Arial" w:hAnsi="Arial"/>
                <w:sz w:val="18"/>
                <w:szCs w:val="18"/>
                <w:color w:val="FFFFFF"/>
                <w:w w:val="98"/>
              </w:rPr>
              <w:t>September 30,</w:t>
            </w:r>
          </w:p>
        </w:tc>
      </w:tr>
      <w:tr>
        <w:trPr>
          <w:trHeight w:val="262"/>
        </w:trPr>
        <w:tc>
          <w:tcPr>
            <w:tcW w:w="5540" w:type="dxa"/>
            <w:vAlign w:val="bottom"/>
            <w:shd w:val="clear" w:color="auto" w:fill="376DB5"/>
          </w:tcPr>
          <w:p>
            <w:pPr>
              <w:spacing w:after="0"/>
              <w:rPr>
                <w:sz w:val="20"/>
                <w:szCs w:val="20"/>
                <w:color w:val="auto"/>
              </w:rPr>
            </w:pPr>
            <w:r>
              <w:rPr>
                <w:rFonts w:ascii="Arial" w:cs="Arial" w:eastAsia="Arial" w:hAnsi="Arial"/>
                <w:sz w:val="14"/>
                <w:szCs w:val="14"/>
                <w:color w:val="FFFFFF"/>
              </w:rPr>
              <w:t>(in thousands)</w:t>
            </w:r>
          </w:p>
        </w:tc>
        <w:tc>
          <w:tcPr>
            <w:tcW w:w="1220" w:type="dxa"/>
            <w:vAlign w:val="bottom"/>
            <w:shd w:val="clear" w:color="auto" w:fill="376DB5"/>
          </w:tcPr>
          <w:p>
            <w:pPr>
              <w:spacing w:after="0"/>
              <w:rPr>
                <w:sz w:val="22"/>
                <w:szCs w:val="22"/>
                <w:color w:val="auto"/>
              </w:rPr>
            </w:pPr>
          </w:p>
        </w:tc>
        <w:tc>
          <w:tcPr>
            <w:tcW w:w="1640" w:type="dxa"/>
            <w:vAlign w:val="bottom"/>
            <w:shd w:val="clear" w:color="auto" w:fill="376DB5"/>
          </w:tcPr>
          <w:p>
            <w:pPr>
              <w:jc w:val="right"/>
              <w:ind w:right="1010"/>
              <w:spacing w:after="0"/>
              <w:rPr>
                <w:sz w:val="20"/>
                <w:szCs w:val="20"/>
                <w:color w:val="auto"/>
              </w:rPr>
            </w:pPr>
            <w:r>
              <w:rPr>
                <w:rFonts w:ascii="Arial" w:cs="Arial" w:eastAsia="Arial" w:hAnsi="Arial"/>
                <w:sz w:val="18"/>
                <w:szCs w:val="18"/>
                <w:color w:val="FFFFFF"/>
              </w:rPr>
              <w:t>2025</w:t>
            </w:r>
          </w:p>
        </w:tc>
        <w:tc>
          <w:tcPr>
            <w:tcW w:w="880" w:type="dxa"/>
            <w:vAlign w:val="bottom"/>
            <w:shd w:val="clear" w:color="auto" w:fill="376DB5"/>
          </w:tcPr>
          <w:p>
            <w:pPr>
              <w:spacing w:after="0"/>
              <w:rPr>
                <w:sz w:val="22"/>
                <w:szCs w:val="22"/>
                <w:color w:val="auto"/>
              </w:rPr>
            </w:pPr>
          </w:p>
        </w:tc>
        <w:tc>
          <w:tcPr>
            <w:tcW w:w="1740" w:type="dxa"/>
            <w:vAlign w:val="bottom"/>
            <w:shd w:val="clear" w:color="auto" w:fill="376DB5"/>
          </w:tcPr>
          <w:p>
            <w:pPr>
              <w:jc w:val="right"/>
              <w:ind w:right="850"/>
              <w:spacing w:after="0"/>
              <w:rPr>
                <w:sz w:val="20"/>
                <w:szCs w:val="20"/>
                <w:color w:val="auto"/>
              </w:rPr>
            </w:pPr>
            <w:r>
              <w:rPr>
                <w:rFonts w:ascii="Arial" w:cs="Arial" w:eastAsia="Arial" w:hAnsi="Arial"/>
                <w:sz w:val="18"/>
                <w:szCs w:val="18"/>
                <w:color w:val="FFFFFF"/>
              </w:rPr>
              <w:t>   2024</w:t>
            </w:r>
          </w:p>
        </w:tc>
      </w:tr>
      <w:tr>
        <w:trPr>
          <w:trHeight w:val="252"/>
        </w:trPr>
        <w:tc>
          <w:tcPr>
            <w:tcW w:w="5540" w:type="dxa"/>
            <w:vAlign w:val="bottom"/>
          </w:tcPr>
          <w:p>
            <w:pPr>
              <w:spacing w:after="0"/>
              <w:rPr>
                <w:sz w:val="20"/>
                <w:szCs w:val="20"/>
                <w:color w:val="auto"/>
              </w:rPr>
            </w:pPr>
            <w:r>
              <w:rPr>
                <w:rFonts w:ascii="Arial" w:cs="Arial" w:eastAsia="Arial" w:hAnsi="Arial"/>
                <w:sz w:val="18"/>
                <w:szCs w:val="18"/>
                <w:color w:val="auto"/>
              </w:rPr>
              <w:t>GAAP net income</w:t>
            </w:r>
          </w:p>
        </w:tc>
        <w:tc>
          <w:tcPr>
            <w:tcW w:w="1220" w:type="dxa"/>
            <w:vAlign w:val="bottom"/>
          </w:tcPr>
          <w:p>
            <w:pPr>
              <w:ind w:left="112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750"/>
              <w:spacing w:after="0"/>
              <w:rPr>
                <w:sz w:val="20"/>
                <w:szCs w:val="20"/>
                <w:color w:val="auto"/>
              </w:rPr>
            </w:pPr>
            <w:r>
              <w:rPr>
                <w:rFonts w:ascii="Arial" w:cs="Arial" w:eastAsia="Arial" w:hAnsi="Arial"/>
                <w:sz w:val="18"/>
                <w:szCs w:val="18"/>
                <w:color w:val="auto"/>
              </w:rPr>
              <w:t>651,946</w:t>
            </w:r>
          </w:p>
        </w:tc>
        <w:tc>
          <w:tcPr>
            <w:tcW w:w="880" w:type="dxa"/>
            <w:vAlign w:val="bottom"/>
          </w:tcPr>
          <w:p>
            <w:pPr>
              <w:spacing w:after="0"/>
              <w:rPr>
                <w:sz w:val="21"/>
                <w:szCs w:val="21"/>
                <w:color w:val="auto"/>
              </w:rPr>
            </w:pPr>
          </w:p>
        </w:tc>
        <w:tc>
          <w:tcPr>
            <w:tcW w:w="1740" w:type="dxa"/>
            <w:vAlign w:val="bottom"/>
          </w:tcPr>
          <w:p>
            <w:pPr>
              <w:jc w:val="right"/>
              <w:ind w:right="670"/>
              <w:spacing w:after="0"/>
              <w:rPr>
                <w:sz w:val="20"/>
                <w:szCs w:val="20"/>
                <w:color w:val="auto"/>
              </w:rPr>
            </w:pPr>
            <w:r>
              <w:rPr>
                <w:rFonts w:ascii="Arial" w:cs="Arial" w:eastAsia="Arial" w:hAnsi="Arial"/>
                <w:sz w:val="18"/>
                <w:szCs w:val="18"/>
                <w:color w:val="auto"/>
              </w:rPr>
              <w:t>$ 512,811</w:t>
            </w:r>
          </w:p>
        </w:tc>
      </w:tr>
      <w:tr>
        <w:trPr>
          <w:trHeight w:val="261"/>
        </w:trPr>
        <w:tc>
          <w:tcPr>
            <w:tcW w:w="5540" w:type="dxa"/>
            <w:vAlign w:val="bottom"/>
            <w:shd w:val="clear" w:color="auto" w:fill="F2F2F2"/>
          </w:tcPr>
          <w:p>
            <w:pPr>
              <w:spacing w:after="0"/>
              <w:rPr>
                <w:sz w:val="20"/>
                <w:szCs w:val="20"/>
                <w:color w:val="auto"/>
              </w:rPr>
            </w:pPr>
            <w:r>
              <w:rPr>
                <w:rFonts w:ascii="Arial" w:cs="Arial" w:eastAsia="Arial" w:hAnsi="Arial"/>
                <w:sz w:val="18"/>
                <w:szCs w:val="18"/>
                <w:color w:val="auto"/>
              </w:rPr>
              <w:t>Adjustments:</w:t>
            </w:r>
          </w:p>
        </w:tc>
        <w:tc>
          <w:tcPr>
            <w:tcW w:w="1220" w:type="dxa"/>
            <w:vAlign w:val="bottom"/>
            <w:shd w:val="clear" w:color="auto" w:fill="F2F2F2"/>
          </w:tcPr>
          <w:p>
            <w:pPr>
              <w:spacing w:after="0"/>
              <w:rPr>
                <w:sz w:val="22"/>
                <w:szCs w:val="22"/>
                <w:color w:val="auto"/>
              </w:rPr>
            </w:pPr>
          </w:p>
        </w:tc>
        <w:tc>
          <w:tcPr>
            <w:tcW w:w="1640" w:type="dxa"/>
            <w:vAlign w:val="bottom"/>
            <w:shd w:val="clear" w:color="auto" w:fill="F2F2F2"/>
          </w:tcPr>
          <w:p>
            <w:pPr>
              <w:spacing w:after="0"/>
              <w:rPr>
                <w:sz w:val="22"/>
                <w:szCs w:val="22"/>
                <w:color w:val="auto"/>
              </w:rPr>
            </w:pPr>
          </w:p>
        </w:tc>
        <w:tc>
          <w:tcPr>
            <w:tcW w:w="880" w:type="dxa"/>
            <w:vAlign w:val="bottom"/>
            <w:shd w:val="clear" w:color="auto" w:fill="F2F2F2"/>
          </w:tcPr>
          <w:p>
            <w:pPr>
              <w:spacing w:after="0"/>
              <w:rPr>
                <w:sz w:val="22"/>
                <w:szCs w:val="22"/>
                <w:color w:val="auto"/>
              </w:rPr>
            </w:pPr>
          </w:p>
        </w:tc>
        <w:tc>
          <w:tcPr>
            <w:tcW w:w="1740" w:type="dxa"/>
            <w:vAlign w:val="bottom"/>
            <w:shd w:val="clear" w:color="auto" w:fill="F2F2F2"/>
          </w:tcPr>
          <w:p>
            <w:pPr>
              <w:spacing w:after="0"/>
              <w:rPr>
                <w:sz w:val="22"/>
                <w:szCs w:val="22"/>
                <w:color w:val="auto"/>
              </w:rPr>
            </w:pPr>
          </w:p>
        </w:tc>
      </w:tr>
      <w:tr>
        <w:trPr>
          <w:trHeight w:val="252"/>
        </w:trPr>
        <w:tc>
          <w:tcPr>
            <w:tcW w:w="554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spacing w:after="0"/>
              <w:rPr>
                <w:sz w:val="21"/>
                <w:szCs w:val="21"/>
                <w:color w:val="auto"/>
              </w:rPr>
            </w:pPr>
          </w:p>
        </w:tc>
        <w:tc>
          <w:tcPr>
            <w:tcW w:w="1640" w:type="dxa"/>
            <w:vAlign w:val="bottom"/>
          </w:tcPr>
          <w:p>
            <w:pPr>
              <w:jc w:val="right"/>
              <w:ind w:right="750"/>
              <w:spacing w:after="0"/>
              <w:rPr>
                <w:sz w:val="20"/>
                <w:szCs w:val="20"/>
                <w:color w:val="auto"/>
              </w:rPr>
            </w:pPr>
            <w:r>
              <w:rPr>
                <w:rFonts w:ascii="Arial" w:cs="Arial" w:eastAsia="Arial" w:hAnsi="Arial"/>
                <w:sz w:val="18"/>
                <w:szCs w:val="18"/>
                <w:color w:val="auto"/>
              </w:rPr>
              <w:t>133,647</w:t>
            </w:r>
          </w:p>
        </w:tc>
        <w:tc>
          <w:tcPr>
            <w:tcW w:w="880" w:type="dxa"/>
            <w:vAlign w:val="bottom"/>
          </w:tcPr>
          <w:p>
            <w:pPr>
              <w:spacing w:after="0"/>
              <w:rPr>
                <w:sz w:val="21"/>
                <w:szCs w:val="21"/>
                <w:color w:val="auto"/>
              </w:rPr>
            </w:pPr>
          </w:p>
        </w:tc>
        <w:tc>
          <w:tcPr>
            <w:tcW w:w="1740" w:type="dxa"/>
            <w:vAlign w:val="bottom"/>
          </w:tcPr>
          <w:p>
            <w:pPr>
              <w:jc w:val="right"/>
              <w:ind w:right="670"/>
              <w:spacing w:after="0"/>
              <w:rPr>
                <w:sz w:val="20"/>
                <w:szCs w:val="20"/>
                <w:color w:val="auto"/>
              </w:rPr>
            </w:pPr>
            <w:r>
              <w:rPr>
                <w:rFonts w:ascii="Arial" w:cs="Arial" w:eastAsia="Arial" w:hAnsi="Arial"/>
                <w:sz w:val="18"/>
                <w:szCs w:val="18"/>
                <w:color w:val="auto"/>
              </w:rPr>
              <w:t>105,638</w:t>
            </w:r>
          </w:p>
        </w:tc>
      </w:tr>
      <w:tr>
        <w:trPr>
          <w:trHeight w:val="261"/>
        </w:trPr>
        <w:tc>
          <w:tcPr>
            <w:tcW w:w="5540" w:type="dxa"/>
            <w:vAlign w:val="bottom"/>
            <w:shd w:val="clear" w:color="auto" w:fill="F2F2F2"/>
          </w:tcPr>
          <w:p>
            <w:pPr>
              <w:ind w:left="360"/>
              <w:spacing w:after="0"/>
              <w:rPr>
                <w:sz w:val="20"/>
                <w:szCs w:val="20"/>
                <w:color w:val="auto"/>
              </w:rPr>
            </w:pPr>
            <w:r>
              <w:rPr>
                <w:rFonts w:ascii="Arial" w:cs="Arial" w:eastAsia="Arial" w:hAnsi="Arial"/>
                <w:sz w:val="18"/>
                <w:szCs w:val="18"/>
                <w:color w:val="auto"/>
              </w:rPr>
              <w:t>Income tax provision</w:t>
            </w:r>
          </w:p>
        </w:tc>
        <w:tc>
          <w:tcPr>
            <w:tcW w:w="1220" w:type="dxa"/>
            <w:vAlign w:val="bottom"/>
            <w:shd w:val="clear" w:color="auto" w:fill="F2F2F2"/>
          </w:tcPr>
          <w:p>
            <w:pPr>
              <w:spacing w:after="0"/>
              <w:rPr>
                <w:sz w:val="22"/>
                <w:szCs w:val="22"/>
                <w:color w:val="auto"/>
              </w:rPr>
            </w:pPr>
          </w:p>
        </w:tc>
        <w:tc>
          <w:tcPr>
            <w:tcW w:w="1640" w:type="dxa"/>
            <w:vAlign w:val="bottom"/>
            <w:shd w:val="clear" w:color="auto" w:fill="F2F2F2"/>
          </w:tcPr>
          <w:p>
            <w:pPr>
              <w:jc w:val="right"/>
              <w:ind w:right="750"/>
              <w:spacing w:after="0"/>
              <w:rPr>
                <w:sz w:val="20"/>
                <w:szCs w:val="20"/>
                <w:color w:val="auto"/>
              </w:rPr>
            </w:pPr>
            <w:r>
              <w:rPr>
                <w:rFonts w:ascii="Arial" w:cs="Arial" w:eastAsia="Arial" w:hAnsi="Arial"/>
                <w:sz w:val="18"/>
                <w:szCs w:val="18"/>
                <w:color w:val="auto"/>
              </w:rPr>
              <w:t>150,649</w:t>
            </w:r>
          </w:p>
        </w:tc>
        <w:tc>
          <w:tcPr>
            <w:tcW w:w="880" w:type="dxa"/>
            <w:vAlign w:val="bottom"/>
            <w:shd w:val="clear" w:color="auto" w:fill="F2F2F2"/>
          </w:tcPr>
          <w:p>
            <w:pPr>
              <w:spacing w:after="0"/>
              <w:rPr>
                <w:sz w:val="22"/>
                <w:szCs w:val="22"/>
                <w:color w:val="auto"/>
              </w:rPr>
            </w:pPr>
          </w:p>
        </w:tc>
        <w:tc>
          <w:tcPr>
            <w:tcW w:w="1740" w:type="dxa"/>
            <w:vAlign w:val="bottom"/>
            <w:shd w:val="clear" w:color="auto" w:fill="F2F2F2"/>
          </w:tcPr>
          <w:p>
            <w:pPr>
              <w:jc w:val="right"/>
              <w:ind w:right="670"/>
              <w:spacing w:after="0"/>
              <w:rPr>
                <w:sz w:val="20"/>
                <w:szCs w:val="20"/>
                <w:color w:val="auto"/>
              </w:rPr>
            </w:pPr>
            <w:r>
              <w:rPr>
                <w:rFonts w:ascii="Arial" w:cs="Arial" w:eastAsia="Arial" w:hAnsi="Arial"/>
                <w:sz w:val="18"/>
                <w:szCs w:val="18"/>
                <w:color w:val="auto"/>
              </w:rPr>
              <w:t>129,214</w:t>
            </w:r>
          </w:p>
        </w:tc>
      </w:tr>
      <w:tr>
        <w:trPr>
          <w:trHeight w:val="256"/>
        </w:trPr>
        <w:tc>
          <w:tcPr>
            <w:tcW w:w="5540" w:type="dxa"/>
            <w:vAlign w:val="bottom"/>
          </w:tcPr>
          <w:p>
            <w:pPr>
              <w:ind w:left="360"/>
              <w:spacing w:after="0" w:line="256" w:lineRule="exact"/>
              <w:rPr>
                <w:sz w:val="20"/>
                <w:szCs w:val="20"/>
                <w:color w:val="auto"/>
              </w:rPr>
            </w:pPr>
            <w:r>
              <w:rPr>
                <w:rFonts w:ascii="Arial" w:cs="Arial" w:eastAsia="Arial" w:hAnsi="Arial"/>
                <w:sz w:val="18"/>
                <w:szCs w:val="18"/>
                <w:color w:val="auto"/>
              </w:rPr>
              <w:t>Other expense (income), net</w:t>
            </w:r>
            <w:r>
              <w:rPr>
                <w:rFonts w:ascii="Arial" w:cs="Arial" w:eastAsia="Arial" w:hAnsi="Arial"/>
                <w:sz w:val="26"/>
                <w:szCs w:val="26"/>
                <w:color w:val="auto"/>
                <w:vertAlign w:val="superscript"/>
              </w:rPr>
              <w:t>(1)</w:t>
            </w:r>
          </w:p>
        </w:tc>
        <w:tc>
          <w:tcPr>
            <w:tcW w:w="1220" w:type="dxa"/>
            <w:vAlign w:val="bottom"/>
          </w:tcPr>
          <w:p>
            <w:pPr>
              <w:spacing w:after="0"/>
              <w:rPr>
                <w:sz w:val="22"/>
                <w:szCs w:val="22"/>
                <w:color w:val="auto"/>
              </w:rPr>
            </w:pPr>
          </w:p>
        </w:tc>
        <w:tc>
          <w:tcPr>
            <w:tcW w:w="1640" w:type="dxa"/>
            <w:vAlign w:val="bottom"/>
          </w:tcPr>
          <w:p>
            <w:pPr>
              <w:jc w:val="right"/>
              <w:ind w:right="750"/>
              <w:spacing w:after="0"/>
              <w:rPr>
                <w:sz w:val="20"/>
                <w:szCs w:val="20"/>
                <w:color w:val="auto"/>
              </w:rPr>
            </w:pPr>
            <w:r>
              <w:rPr>
                <w:rFonts w:ascii="Arial" w:cs="Arial" w:eastAsia="Arial" w:hAnsi="Arial"/>
                <w:sz w:val="18"/>
                <w:szCs w:val="18"/>
                <w:color w:val="auto"/>
              </w:rPr>
              <w:t>(4,677)</w:t>
            </w:r>
          </w:p>
        </w:tc>
        <w:tc>
          <w:tcPr>
            <w:tcW w:w="880" w:type="dxa"/>
            <w:vAlign w:val="bottom"/>
          </w:tcPr>
          <w:p>
            <w:pPr>
              <w:spacing w:after="0"/>
              <w:rPr>
                <w:sz w:val="22"/>
                <w:szCs w:val="22"/>
                <w:color w:val="auto"/>
              </w:rPr>
            </w:pPr>
          </w:p>
        </w:tc>
        <w:tc>
          <w:tcPr>
            <w:tcW w:w="1740" w:type="dxa"/>
            <w:vAlign w:val="bottom"/>
          </w:tcPr>
          <w:p>
            <w:pPr>
              <w:jc w:val="right"/>
              <w:ind w:right="670"/>
              <w:spacing w:after="0"/>
              <w:rPr>
                <w:sz w:val="20"/>
                <w:szCs w:val="20"/>
                <w:color w:val="auto"/>
              </w:rPr>
            </w:pPr>
            <w:r>
              <w:rPr>
                <w:rFonts w:ascii="Arial" w:cs="Arial" w:eastAsia="Arial" w:hAnsi="Arial"/>
                <w:sz w:val="18"/>
                <w:szCs w:val="18"/>
                <w:color w:val="auto"/>
              </w:rPr>
              <w:t>(3,310)</w:t>
            </w:r>
          </w:p>
        </w:tc>
      </w:tr>
      <w:tr>
        <w:trPr>
          <w:trHeight w:val="257"/>
        </w:trPr>
        <w:tc>
          <w:tcPr>
            <w:tcW w:w="5540" w:type="dxa"/>
            <w:vAlign w:val="bottom"/>
            <w:shd w:val="clear" w:color="auto" w:fill="F2F2F2"/>
          </w:tcPr>
          <w:p>
            <w:pPr>
              <w:ind w:left="360"/>
              <w:spacing w:after="0"/>
              <w:rPr>
                <w:sz w:val="20"/>
                <w:szCs w:val="20"/>
                <w:color w:val="auto"/>
              </w:rPr>
            </w:pPr>
            <w:r>
              <w:rPr>
                <w:rFonts w:ascii="Arial" w:cs="Arial" w:eastAsia="Arial" w:hAnsi="Arial"/>
                <w:sz w:val="18"/>
                <w:szCs w:val="18"/>
                <w:color w:val="auto"/>
              </w:rPr>
              <w:t>Amortization of intangible assets</w:t>
            </w:r>
          </w:p>
        </w:tc>
        <w:tc>
          <w:tcPr>
            <w:tcW w:w="1220" w:type="dxa"/>
            <w:vAlign w:val="bottom"/>
            <w:shd w:val="clear" w:color="auto" w:fill="F2F2F2"/>
          </w:tcPr>
          <w:p>
            <w:pPr>
              <w:spacing w:after="0"/>
              <w:rPr>
                <w:sz w:val="22"/>
                <w:szCs w:val="22"/>
                <w:color w:val="auto"/>
              </w:rPr>
            </w:pPr>
          </w:p>
        </w:tc>
        <w:tc>
          <w:tcPr>
            <w:tcW w:w="1640" w:type="dxa"/>
            <w:vAlign w:val="bottom"/>
            <w:shd w:val="clear" w:color="auto" w:fill="F2F2F2"/>
          </w:tcPr>
          <w:p>
            <w:pPr>
              <w:jc w:val="right"/>
              <w:ind w:right="750"/>
              <w:spacing w:after="0"/>
              <w:rPr>
                <w:sz w:val="20"/>
                <w:szCs w:val="20"/>
                <w:color w:val="auto"/>
              </w:rPr>
            </w:pPr>
            <w:r>
              <w:rPr>
                <w:rFonts w:ascii="Arial" w:cs="Arial" w:eastAsia="Arial" w:hAnsi="Arial"/>
                <w:sz w:val="18"/>
                <w:szCs w:val="18"/>
                <w:color w:val="auto"/>
              </w:rPr>
              <w:t>-</w:t>
            </w:r>
          </w:p>
        </w:tc>
        <w:tc>
          <w:tcPr>
            <w:tcW w:w="880" w:type="dxa"/>
            <w:vAlign w:val="bottom"/>
            <w:shd w:val="clear" w:color="auto" w:fill="F2F2F2"/>
          </w:tcPr>
          <w:p>
            <w:pPr>
              <w:spacing w:after="0"/>
              <w:rPr>
                <w:sz w:val="22"/>
                <w:szCs w:val="22"/>
                <w:color w:val="auto"/>
              </w:rPr>
            </w:pPr>
          </w:p>
        </w:tc>
        <w:tc>
          <w:tcPr>
            <w:tcW w:w="1740" w:type="dxa"/>
            <w:vAlign w:val="bottom"/>
            <w:shd w:val="clear" w:color="auto" w:fill="F2F2F2"/>
          </w:tcPr>
          <w:p>
            <w:pPr>
              <w:jc w:val="right"/>
              <w:ind w:right="670"/>
              <w:spacing w:after="0"/>
              <w:rPr>
                <w:sz w:val="20"/>
                <w:szCs w:val="20"/>
                <w:color w:val="auto"/>
              </w:rPr>
            </w:pPr>
            <w:r>
              <w:rPr>
                <w:rFonts w:ascii="Arial" w:cs="Arial" w:eastAsia="Arial" w:hAnsi="Arial"/>
                <w:sz w:val="18"/>
                <w:szCs w:val="18"/>
                <w:color w:val="auto"/>
              </w:rPr>
              <w:t>917</w:t>
            </w:r>
          </w:p>
        </w:tc>
      </w:tr>
      <w:tr>
        <w:trPr>
          <w:trHeight w:val="252"/>
        </w:trPr>
        <w:tc>
          <w:tcPr>
            <w:tcW w:w="554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1220" w:type="dxa"/>
            <w:vAlign w:val="bottom"/>
          </w:tcPr>
          <w:p>
            <w:pPr>
              <w:spacing w:after="0"/>
              <w:rPr>
                <w:sz w:val="21"/>
                <w:szCs w:val="21"/>
                <w:color w:val="auto"/>
              </w:rPr>
            </w:pPr>
          </w:p>
        </w:tc>
        <w:tc>
          <w:tcPr>
            <w:tcW w:w="1640" w:type="dxa"/>
            <w:vAlign w:val="bottom"/>
          </w:tcPr>
          <w:p>
            <w:pPr>
              <w:jc w:val="right"/>
              <w:ind w:right="750"/>
              <w:spacing w:after="0"/>
              <w:rPr>
                <w:sz w:val="20"/>
                <w:szCs w:val="20"/>
                <w:color w:val="auto"/>
              </w:rPr>
            </w:pPr>
            <w:r>
              <w:rPr>
                <w:rFonts w:ascii="Arial" w:cs="Arial" w:eastAsia="Arial" w:hAnsi="Arial"/>
                <w:sz w:val="18"/>
                <w:szCs w:val="18"/>
                <w:color w:val="auto"/>
              </w:rPr>
              <w:t>10,657</w:t>
            </w:r>
          </w:p>
        </w:tc>
        <w:tc>
          <w:tcPr>
            <w:tcW w:w="880" w:type="dxa"/>
            <w:vAlign w:val="bottom"/>
          </w:tcPr>
          <w:p>
            <w:pPr>
              <w:spacing w:after="0"/>
              <w:rPr>
                <w:sz w:val="21"/>
                <w:szCs w:val="21"/>
                <w:color w:val="auto"/>
              </w:rPr>
            </w:pPr>
          </w:p>
        </w:tc>
        <w:tc>
          <w:tcPr>
            <w:tcW w:w="1740" w:type="dxa"/>
            <w:vAlign w:val="bottom"/>
          </w:tcPr>
          <w:p>
            <w:pPr>
              <w:jc w:val="right"/>
              <w:ind w:right="670"/>
              <w:spacing w:after="0"/>
              <w:rPr>
                <w:sz w:val="20"/>
                <w:szCs w:val="20"/>
                <w:color w:val="auto"/>
              </w:rPr>
            </w:pPr>
            <w:r>
              <w:rPr>
                <w:rFonts w:ascii="Arial" w:cs="Arial" w:eastAsia="Arial" w:hAnsi="Arial"/>
                <w:sz w:val="18"/>
                <w:szCs w:val="18"/>
                <w:color w:val="auto"/>
              </w:rPr>
              <w:t>9,397</w:t>
            </w:r>
          </w:p>
        </w:tc>
      </w:tr>
      <w:tr>
        <w:trPr>
          <w:trHeight w:val="261"/>
        </w:trPr>
        <w:tc>
          <w:tcPr>
            <w:tcW w:w="5540" w:type="dxa"/>
            <w:vAlign w:val="bottom"/>
            <w:shd w:val="clear" w:color="auto" w:fill="F2F2F2"/>
          </w:tcPr>
          <w:p>
            <w:pPr>
              <w:ind w:left="36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shd w:val="clear" w:color="auto" w:fill="F2F2F2"/>
          </w:tcPr>
          <w:p>
            <w:pPr>
              <w:spacing w:after="0"/>
              <w:rPr>
                <w:sz w:val="22"/>
                <w:szCs w:val="22"/>
                <w:color w:val="auto"/>
              </w:rPr>
            </w:pPr>
          </w:p>
        </w:tc>
        <w:tc>
          <w:tcPr>
            <w:tcW w:w="1640" w:type="dxa"/>
            <w:vAlign w:val="bottom"/>
            <w:shd w:val="clear" w:color="auto" w:fill="F2F2F2"/>
          </w:tcPr>
          <w:p>
            <w:pPr>
              <w:jc w:val="right"/>
              <w:ind w:right="750"/>
              <w:spacing w:after="0"/>
              <w:rPr>
                <w:sz w:val="20"/>
                <w:szCs w:val="20"/>
                <w:color w:val="auto"/>
              </w:rPr>
            </w:pPr>
            <w:r>
              <w:rPr>
                <w:rFonts w:ascii="Arial" w:cs="Arial" w:eastAsia="Arial" w:hAnsi="Arial"/>
                <w:sz w:val="18"/>
                <w:szCs w:val="18"/>
                <w:color w:val="auto"/>
              </w:rPr>
              <w:t>156,667</w:t>
            </w:r>
          </w:p>
        </w:tc>
        <w:tc>
          <w:tcPr>
            <w:tcW w:w="880" w:type="dxa"/>
            <w:vAlign w:val="bottom"/>
            <w:shd w:val="clear" w:color="auto" w:fill="F2F2F2"/>
          </w:tcPr>
          <w:p>
            <w:pPr>
              <w:spacing w:after="0"/>
              <w:rPr>
                <w:sz w:val="22"/>
                <w:szCs w:val="22"/>
                <w:color w:val="auto"/>
              </w:rPr>
            </w:pPr>
          </w:p>
        </w:tc>
        <w:tc>
          <w:tcPr>
            <w:tcW w:w="1740" w:type="dxa"/>
            <w:vAlign w:val="bottom"/>
            <w:shd w:val="clear" w:color="auto" w:fill="F2F2F2"/>
          </w:tcPr>
          <w:p>
            <w:pPr>
              <w:jc w:val="right"/>
              <w:ind w:right="670"/>
              <w:spacing w:after="0"/>
              <w:rPr>
                <w:sz w:val="20"/>
                <w:szCs w:val="20"/>
                <w:color w:val="auto"/>
              </w:rPr>
            </w:pPr>
            <w:r>
              <w:rPr>
                <w:rFonts w:ascii="Arial" w:cs="Arial" w:eastAsia="Arial" w:hAnsi="Arial"/>
                <w:sz w:val="18"/>
                <w:szCs w:val="18"/>
                <w:color w:val="auto"/>
              </w:rPr>
              <w:t>149,439</w:t>
            </w:r>
          </w:p>
        </w:tc>
      </w:tr>
      <w:tr>
        <w:trPr>
          <w:trHeight w:val="252"/>
        </w:trPr>
        <w:tc>
          <w:tcPr>
            <w:tcW w:w="554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1220" w:type="dxa"/>
            <w:vAlign w:val="bottom"/>
          </w:tcPr>
          <w:p>
            <w:pPr>
              <w:spacing w:after="0"/>
              <w:rPr>
                <w:sz w:val="21"/>
                <w:szCs w:val="21"/>
                <w:color w:val="auto"/>
              </w:rPr>
            </w:pPr>
          </w:p>
        </w:tc>
        <w:tc>
          <w:tcPr>
            <w:tcW w:w="1640" w:type="dxa"/>
            <w:vAlign w:val="bottom"/>
          </w:tcPr>
          <w:p>
            <w:pPr>
              <w:jc w:val="right"/>
              <w:ind w:right="750"/>
              <w:spacing w:after="0"/>
              <w:rPr>
                <w:sz w:val="20"/>
                <w:szCs w:val="20"/>
                <w:color w:val="auto"/>
              </w:rPr>
            </w:pPr>
            <w:r>
              <w:rPr>
                <w:rFonts w:ascii="Arial" w:cs="Arial" w:eastAsia="Arial" w:hAnsi="Arial"/>
                <w:sz w:val="18"/>
                <w:szCs w:val="18"/>
                <w:color w:val="auto"/>
              </w:rPr>
              <w:t>10,922</w:t>
            </w:r>
          </w:p>
        </w:tc>
        <w:tc>
          <w:tcPr>
            <w:tcW w:w="880" w:type="dxa"/>
            <w:vAlign w:val="bottom"/>
          </w:tcPr>
          <w:p>
            <w:pPr>
              <w:spacing w:after="0"/>
              <w:rPr>
                <w:sz w:val="21"/>
                <w:szCs w:val="21"/>
                <w:color w:val="auto"/>
              </w:rPr>
            </w:pPr>
          </w:p>
        </w:tc>
        <w:tc>
          <w:tcPr>
            <w:tcW w:w="1740" w:type="dxa"/>
            <w:vAlign w:val="bottom"/>
          </w:tcPr>
          <w:p>
            <w:pPr>
              <w:jc w:val="right"/>
              <w:ind w:right="670"/>
              <w:spacing w:after="0"/>
              <w:rPr>
                <w:sz w:val="20"/>
                <w:szCs w:val="20"/>
                <w:color w:val="auto"/>
              </w:rPr>
            </w:pPr>
            <w:r>
              <w:rPr>
                <w:rFonts w:ascii="Arial" w:cs="Arial" w:eastAsia="Arial" w:hAnsi="Arial"/>
                <w:sz w:val="18"/>
                <w:szCs w:val="18"/>
                <w:color w:val="auto"/>
              </w:rPr>
              <w:t>-</w:t>
            </w:r>
          </w:p>
        </w:tc>
      </w:tr>
      <w:tr>
        <w:trPr>
          <w:trHeight w:val="261"/>
        </w:trPr>
        <w:tc>
          <w:tcPr>
            <w:tcW w:w="5540" w:type="dxa"/>
            <w:vAlign w:val="bottom"/>
            <w:tcBorders>
              <w:bottom w:val="single" w:sz="8" w:color="376DB5"/>
            </w:tcBorders>
            <w:shd w:val="clear" w:color="auto" w:fill="F2F2F2"/>
          </w:tcPr>
          <w:p>
            <w:pPr>
              <w:spacing w:after="0"/>
              <w:rPr>
                <w:sz w:val="20"/>
                <w:szCs w:val="20"/>
                <w:color w:val="auto"/>
              </w:rPr>
            </w:pPr>
            <w:r>
              <w:rPr>
                <w:rFonts w:ascii="Arial" w:cs="Arial" w:eastAsia="Arial" w:hAnsi="Arial"/>
                <w:sz w:val="18"/>
                <w:szCs w:val="18"/>
                <w:b w:val="1"/>
                <w:bCs w:val="1"/>
                <w:color w:val="auto"/>
              </w:rPr>
              <w:t>Adjusted EBITDA</w:t>
            </w:r>
          </w:p>
        </w:tc>
        <w:tc>
          <w:tcPr>
            <w:tcW w:w="1220" w:type="dxa"/>
            <w:vAlign w:val="bottom"/>
            <w:tcBorders>
              <w:bottom w:val="single" w:sz="8" w:color="376DB5"/>
            </w:tcBorders>
            <w:shd w:val="clear" w:color="auto" w:fill="F2F2F2"/>
          </w:tcPr>
          <w:p>
            <w:pPr>
              <w:ind w:left="1120"/>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bottom w:val="single" w:sz="8" w:color="376DB5"/>
            </w:tcBorders>
            <w:shd w:val="clear" w:color="auto" w:fill="F2F2F2"/>
          </w:tcPr>
          <w:p>
            <w:pPr>
              <w:jc w:val="right"/>
              <w:ind w:right="750"/>
              <w:spacing w:after="0"/>
              <w:rPr>
                <w:sz w:val="20"/>
                <w:szCs w:val="20"/>
                <w:color w:val="auto"/>
              </w:rPr>
            </w:pPr>
            <w:r>
              <w:rPr>
                <w:rFonts w:ascii="Arial" w:cs="Arial" w:eastAsia="Arial" w:hAnsi="Arial"/>
                <w:sz w:val="18"/>
                <w:szCs w:val="18"/>
                <w:b w:val="1"/>
                <w:bCs w:val="1"/>
                <w:color w:val="auto"/>
                <w:w w:val="97"/>
              </w:rPr>
              <w:t>1,109,811</w:t>
            </w:r>
          </w:p>
        </w:tc>
        <w:tc>
          <w:tcPr>
            <w:tcW w:w="880" w:type="dxa"/>
            <w:vAlign w:val="bottom"/>
            <w:tcBorders>
              <w:bottom w:val="single" w:sz="8" w:color="376DB5"/>
            </w:tcBorders>
            <w:shd w:val="clear" w:color="auto" w:fill="F2F2F2"/>
          </w:tcPr>
          <w:p>
            <w:pPr>
              <w:spacing w:after="0"/>
              <w:rPr>
                <w:sz w:val="22"/>
                <w:szCs w:val="22"/>
                <w:color w:val="auto"/>
              </w:rPr>
            </w:pPr>
          </w:p>
        </w:tc>
        <w:tc>
          <w:tcPr>
            <w:tcW w:w="1740" w:type="dxa"/>
            <w:vAlign w:val="bottom"/>
            <w:tcBorders>
              <w:bottom w:val="single" w:sz="8" w:color="376DB5"/>
            </w:tcBorders>
            <w:shd w:val="clear" w:color="auto" w:fill="F2F2F2"/>
          </w:tcPr>
          <w:p>
            <w:pPr>
              <w:jc w:val="right"/>
              <w:ind w:right="670"/>
              <w:spacing w:after="0"/>
              <w:rPr>
                <w:sz w:val="20"/>
                <w:szCs w:val="20"/>
                <w:color w:val="auto"/>
              </w:rPr>
            </w:pPr>
            <w:r>
              <w:rPr>
                <w:rFonts w:ascii="Arial" w:cs="Arial" w:eastAsia="Arial" w:hAnsi="Arial"/>
                <w:sz w:val="18"/>
                <w:szCs w:val="18"/>
                <w:b w:val="1"/>
                <w:bCs w:val="1"/>
                <w:color w:val="auto"/>
              </w:rPr>
              <w:t>$904,106</w:t>
            </w:r>
          </w:p>
        </w:tc>
      </w:tr>
    </w:tbl>
    <w:p>
      <w:pPr>
        <w:spacing w:after="0" w:line="200" w:lineRule="exact"/>
        <w:rPr>
          <w:sz w:val="20"/>
          <w:szCs w:val="20"/>
          <w:color w:val="auto"/>
        </w:rPr>
      </w:pPr>
    </w:p>
    <w:p>
      <w:pPr>
        <w:spacing w:after="0" w:line="281" w:lineRule="exact"/>
        <w:rPr>
          <w:sz w:val="20"/>
          <w:szCs w:val="20"/>
          <w:color w:val="auto"/>
        </w:rPr>
      </w:pPr>
    </w:p>
    <w:p>
      <w:pPr>
        <w:jc w:val="both"/>
        <w:ind w:left="540" w:hanging="424"/>
        <w:spacing w:after="0" w:line="213" w:lineRule="auto"/>
        <w:tabs>
          <w:tab w:leader="none" w:pos="540" w:val="left"/>
        </w:tabs>
        <w:numPr>
          <w:ilvl w:val="0"/>
          <w:numId w:val="83"/>
        </w:numPr>
        <w:rPr>
          <w:rFonts w:ascii="Arial" w:cs="Arial" w:eastAsia="Arial" w:hAnsi="Arial"/>
          <w:sz w:val="27"/>
          <w:szCs w:val="27"/>
          <w:color w:val="auto"/>
          <w:vertAlign w:val="superscript"/>
        </w:rPr>
      </w:pPr>
      <w:r>
        <w:rPr>
          <w:rFonts w:ascii="Arial" w:cs="Arial" w:eastAsia="Arial" w:hAnsi="Arial"/>
          <w:sz w:val="18"/>
          <w:szCs w:val="18"/>
          <w:color w:val="auto"/>
        </w:rPr>
        <w:t>Excludes gains and losses from securities held under a supplemental retirement and savings plan for certain officers and senior management employees, as the offsetting entries are included (as compensation expenses) in operating expenses, resulting in a net zero impact to the company’s net income.</w:t>
      </w:r>
    </w:p>
    <w:p>
      <w:pPr>
        <w:spacing w:after="0" w:line="181" w:lineRule="exact"/>
        <w:rPr>
          <w:sz w:val="20"/>
          <w:szCs w:val="20"/>
          <w:color w:val="auto"/>
        </w:rPr>
      </w:pPr>
    </w:p>
    <w:p>
      <w:pPr>
        <w:jc w:val="both"/>
        <w:ind w:left="120" w:right="20" w:firstLine="881"/>
        <w:spacing w:after="0" w:line="244" w:lineRule="auto"/>
        <w:rPr>
          <w:sz w:val="20"/>
          <w:szCs w:val="20"/>
          <w:color w:val="auto"/>
        </w:rPr>
      </w:pPr>
      <w:r>
        <w:rPr>
          <w:rFonts w:ascii="Arial" w:cs="Arial" w:eastAsia="Arial" w:hAnsi="Arial"/>
          <w:sz w:val="18"/>
          <w:szCs w:val="18"/>
          <w:color w:val="auto"/>
        </w:rPr>
        <w:t>Free cash flow is referenced in the proxy statement to which this Appendix A is attached, and means GAAP net cash provided by operating activities, less capital expenditures, as set forth in the reconciliation below. Free cash flow is a non-GAAP financial measure and is not intended to be considered in isolation or as a substitute for, or superior to, the financial information prepared and presented in accordance with GAAP. The Company’s definition of this measure is not necessarily comparable to other similarly titled captions of other companies due to different methods of calculation.</w:t>
      </w:r>
    </w:p>
    <w:p>
      <w:pPr>
        <w:spacing w:after="0" w:line="176" w:lineRule="exact"/>
        <w:rPr>
          <w:sz w:val="20"/>
          <w:szCs w:val="20"/>
          <w:color w:val="auto"/>
        </w:rPr>
      </w:pPr>
    </w:p>
    <w:p>
      <w:pPr>
        <w:jc w:val="both"/>
        <w:ind w:left="120" w:right="20" w:firstLine="881"/>
        <w:spacing w:after="0" w:line="271" w:lineRule="auto"/>
        <w:rPr>
          <w:sz w:val="20"/>
          <w:szCs w:val="20"/>
          <w:color w:val="auto"/>
        </w:rPr>
      </w:pPr>
      <w:r>
        <w:rPr>
          <w:rFonts w:ascii="Arial" w:cs="Arial" w:eastAsia="Arial" w:hAnsi="Arial"/>
          <w:sz w:val="18"/>
          <w:szCs w:val="18"/>
          <w:color w:val="auto"/>
        </w:rPr>
        <w:t>The following table contains a reconciliation of net cash provided by operating activities to free cash flow for the fiscal years ended September 30, 2025 and 2024:</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5520" w:type="dxa"/>
            <w:vAlign w:val="bottom"/>
            <w:shd w:val="clear" w:color="auto" w:fill="376DB5"/>
          </w:tcPr>
          <w:p>
            <w:pPr>
              <w:spacing w:after="0"/>
              <w:rPr>
                <w:sz w:val="18"/>
                <w:szCs w:val="18"/>
                <w:color w:val="auto"/>
              </w:rPr>
            </w:pPr>
          </w:p>
        </w:tc>
        <w:tc>
          <w:tcPr>
            <w:tcW w:w="2880" w:type="dxa"/>
            <w:vAlign w:val="bottom"/>
            <w:shd w:val="clear" w:color="auto" w:fill="376DB5"/>
          </w:tcPr>
          <w:p>
            <w:pPr>
              <w:jc w:val="center"/>
              <w:ind w:left="170"/>
              <w:spacing w:after="0"/>
              <w:rPr>
                <w:sz w:val="20"/>
                <w:szCs w:val="20"/>
                <w:color w:val="auto"/>
              </w:rPr>
            </w:pPr>
            <w:r>
              <w:rPr>
                <w:rFonts w:ascii="Arial" w:cs="Arial" w:eastAsia="Arial" w:hAnsi="Arial"/>
                <w:sz w:val="18"/>
                <w:szCs w:val="18"/>
                <w:color w:val="FFFFFF"/>
                <w:w w:val="98"/>
              </w:rPr>
              <w:t>Year Ended</w:t>
            </w:r>
          </w:p>
        </w:tc>
        <w:tc>
          <w:tcPr>
            <w:tcW w:w="880" w:type="dxa"/>
            <w:vAlign w:val="bottom"/>
            <w:shd w:val="clear" w:color="auto" w:fill="376DB5"/>
          </w:tcPr>
          <w:p>
            <w:pPr>
              <w:ind w:left="820"/>
              <w:spacing w:after="0"/>
              <w:rPr>
                <w:sz w:val="20"/>
                <w:szCs w:val="20"/>
                <w:color w:val="auto"/>
              </w:rPr>
            </w:pPr>
            <w:r>
              <w:rPr>
                <w:rFonts w:ascii="Arial" w:cs="Arial" w:eastAsia="Arial" w:hAnsi="Arial"/>
                <w:sz w:val="4"/>
                <w:szCs w:val="4"/>
                <w:color w:val="FFFFFF"/>
                <w:w w:val="98"/>
              </w:rPr>
              <w:t> </w:t>
            </w:r>
          </w:p>
        </w:tc>
        <w:tc>
          <w:tcPr>
            <w:tcW w:w="1740" w:type="dxa"/>
            <w:vAlign w:val="bottom"/>
            <w:shd w:val="clear" w:color="auto" w:fill="376DB5"/>
          </w:tcPr>
          <w:p>
            <w:pPr>
              <w:jc w:val="right"/>
              <w:ind w:right="590"/>
              <w:spacing w:after="0"/>
              <w:rPr>
                <w:sz w:val="20"/>
                <w:szCs w:val="20"/>
                <w:color w:val="auto"/>
              </w:rPr>
            </w:pPr>
            <w:r>
              <w:rPr>
                <w:rFonts w:ascii="Arial" w:cs="Arial" w:eastAsia="Arial" w:hAnsi="Arial"/>
                <w:sz w:val="18"/>
                <w:szCs w:val="18"/>
                <w:color w:val="FFFFFF"/>
              </w:rPr>
              <w:t>Year Ended</w:t>
            </w:r>
          </w:p>
        </w:tc>
      </w:tr>
      <w:tr>
        <w:trPr>
          <w:trHeight w:val="203"/>
        </w:trPr>
        <w:tc>
          <w:tcPr>
            <w:tcW w:w="5520" w:type="dxa"/>
            <w:vAlign w:val="bottom"/>
            <w:shd w:val="clear" w:color="auto" w:fill="376DB5"/>
          </w:tcPr>
          <w:p>
            <w:pPr>
              <w:spacing w:after="0"/>
              <w:rPr>
                <w:sz w:val="17"/>
                <w:szCs w:val="17"/>
                <w:color w:val="auto"/>
              </w:rPr>
            </w:pPr>
          </w:p>
        </w:tc>
        <w:tc>
          <w:tcPr>
            <w:tcW w:w="2880" w:type="dxa"/>
            <w:vAlign w:val="bottom"/>
            <w:shd w:val="clear" w:color="auto" w:fill="376DB5"/>
          </w:tcPr>
          <w:p>
            <w:pPr>
              <w:jc w:val="center"/>
              <w:ind w:left="170"/>
              <w:spacing w:after="0" w:line="202" w:lineRule="exact"/>
              <w:rPr>
                <w:sz w:val="20"/>
                <w:szCs w:val="20"/>
                <w:color w:val="auto"/>
              </w:rPr>
            </w:pPr>
            <w:r>
              <w:rPr>
                <w:rFonts w:ascii="Arial" w:cs="Arial" w:eastAsia="Arial" w:hAnsi="Arial"/>
                <w:sz w:val="18"/>
                <w:szCs w:val="18"/>
                <w:color w:val="FFFFFF"/>
                <w:w w:val="99"/>
              </w:rPr>
              <w:t>September 30,</w:t>
            </w:r>
          </w:p>
        </w:tc>
        <w:tc>
          <w:tcPr>
            <w:tcW w:w="880" w:type="dxa"/>
            <w:vAlign w:val="bottom"/>
            <w:shd w:val="clear" w:color="auto" w:fill="376DB5"/>
          </w:tcPr>
          <w:p>
            <w:pPr>
              <w:ind w:left="700"/>
              <w:spacing w:after="0" w:line="202" w:lineRule="exact"/>
              <w:rPr>
                <w:sz w:val="20"/>
                <w:szCs w:val="20"/>
                <w:color w:val="auto"/>
              </w:rPr>
            </w:pPr>
            <w:r>
              <w:rPr>
                <w:rFonts w:ascii="Arial" w:cs="Arial" w:eastAsia="Arial" w:hAnsi="Arial"/>
                <w:sz w:val="18"/>
                <w:szCs w:val="18"/>
                <w:color w:val="FFFFFF"/>
                <w:w w:val="88"/>
              </w:rPr>
              <w:t> </w:t>
            </w:r>
          </w:p>
        </w:tc>
        <w:tc>
          <w:tcPr>
            <w:tcW w:w="1740" w:type="dxa"/>
            <w:vAlign w:val="bottom"/>
            <w:shd w:val="clear" w:color="auto" w:fill="376DB5"/>
          </w:tcPr>
          <w:p>
            <w:pPr>
              <w:jc w:val="right"/>
              <w:ind w:right="470"/>
              <w:spacing w:after="0" w:line="202" w:lineRule="exact"/>
              <w:rPr>
                <w:sz w:val="20"/>
                <w:szCs w:val="20"/>
                <w:color w:val="auto"/>
              </w:rPr>
            </w:pPr>
            <w:r>
              <w:rPr>
                <w:rFonts w:ascii="Arial" w:cs="Arial" w:eastAsia="Arial" w:hAnsi="Arial"/>
                <w:sz w:val="18"/>
                <w:szCs w:val="18"/>
                <w:color w:val="FFFFFF"/>
                <w:w w:val="98"/>
              </w:rPr>
              <w:t>September 30,</w:t>
            </w:r>
          </w:p>
        </w:tc>
      </w:tr>
      <w:tr>
        <w:trPr>
          <w:trHeight w:val="262"/>
        </w:trPr>
        <w:tc>
          <w:tcPr>
            <w:tcW w:w="5520" w:type="dxa"/>
            <w:vAlign w:val="bottom"/>
            <w:shd w:val="clear" w:color="auto" w:fill="376DB5"/>
          </w:tcPr>
          <w:p>
            <w:pPr>
              <w:spacing w:after="0"/>
              <w:rPr>
                <w:sz w:val="20"/>
                <w:szCs w:val="20"/>
                <w:color w:val="auto"/>
              </w:rPr>
            </w:pPr>
            <w:r>
              <w:rPr>
                <w:rFonts w:ascii="Arial" w:cs="Arial" w:eastAsia="Arial" w:hAnsi="Arial"/>
                <w:sz w:val="14"/>
                <w:szCs w:val="14"/>
                <w:color w:val="FFFFFF"/>
              </w:rPr>
              <w:t>(in thousands)</w:t>
            </w:r>
          </w:p>
        </w:tc>
        <w:tc>
          <w:tcPr>
            <w:tcW w:w="2880" w:type="dxa"/>
            <w:vAlign w:val="bottom"/>
            <w:shd w:val="clear" w:color="auto" w:fill="376DB5"/>
          </w:tcPr>
          <w:p>
            <w:pPr>
              <w:jc w:val="center"/>
              <w:ind w:left="190"/>
              <w:spacing w:after="0"/>
              <w:rPr>
                <w:sz w:val="20"/>
                <w:szCs w:val="20"/>
                <w:color w:val="auto"/>
              </w:rPr>
            </w:pPr>
            <w:r>
              <w:rPr>
                <w:rFonts w:ascii="Arial" w:cs="Arial" w:eastAsia="Arial" w:hAnsi="Arial"/>
                <w:sz w:val="18"/>
                <w:szCs w:val="18"/>
                <w:color w:val="FFFFFF"/>
                <w:w w:val="99"/>
              </w:rPr>
              <w:t>2025</w:t>
            </w:r>
          </w:p>
        </w:tc>
        <w:tc>
          <w:tcPr>
            <w:tcW w:w="880" w:type="dxa"/>
            <w:vAlign w:val="bottom"/>
            <w:shd w:val="clear" w:color="auto" w:fill="376DB5"/>
          </w:tcPr>
          <w:p>
            <w:pPr>
              <w:spacing w:after="0"/>
              <w:rPr>
                <w:sz w:val="22"/>
                <w:szCs w:val="22"/>
                <w:color w:val="auto"/>
              </w:rPr>
            </w:pPr>
          </w:p>
        </w:tc>
        <w:tc>
          <w:tcPr>
            <w:tcW w:w="1740" w:type="dxa"/>
            <w:vAlign w:val="bottom"/>
            <w:shd w:val="clear" w:color="auto" w:fill="376DB5"/>
          </w:tcPr>
          <w:p>
            <w:pPr>
              <w:jc w:val="right"/>
              <w:ind w:right="850"/>
              <w:spacing w:after="0"/>
              <w:rPr>
                <w:sz w:val="20"/>
                <w:szCs w:val="20"/>
                <w:color w:val="auto"/>
              </w:rPr>
            </w:pPr>
            <w:r>
              <w:rPr>
                <w:rFonts w:ascii="Arial" w:cs="Arial" w:eastAsia="Arial" w:hAnsi="Arial"/>
                <w:sz w:val="18"/>
                <w:szCs w:val="18"/>
                <w:color w:val="FFFFFF"/>
              </w:rPr>
              <w:t>   2024</w:t>
            </w:r>
          </w:p>
        </w:tc>
      </w:tr>
      <w:tr>
        <w:trPr>
          <w:trHeight w:val="252"/>
        </w:trPr>
        <w:tc>
          <w:tcPr>
            <w:tcW w:w="5520" w:type="dxa"/>
            <w:vAlign w:val="bottom"/>
          </w:tcPr>
          <w:p>
            <w:pPr>
              <w:spacing w:after="0"/>
              <w:rPr>
                <w:sz w:val="20"/>
                <w:szCs w:val="20"/>
                <w:color w:val="auto"/>
              </w:rPr>
            </w:pPr>
            <w:r>
              <w:rPr>
                <w:rFonts w:ascii="Arial" w:cs="Arial" w:eastAsia="Arial" w:hAnsi="Arial"/>
                <w:sz w:val="18"/>
                <w:szCs w:val="18"/>
                <w:color w:val="auto"/>
              </w:rPr>
              <w:t>GAAP net cash provided by operating activities</w:t>
            </w:r>
          </w:p>
        </w:tc>
        <w:tc>
          <w:tcPr>
            <w:tcW w:w="2880" w:type="dxa"/>
            <w:vAlign w:val="bottom"/>
          </w:tcPr>
          <w:p>
            <w:pPr>
              <w:jc w:val="right"/>
              <w:ind w:right="830"/>
              <w:spacing w:after="0"/>
              <w:rPr>
                <w:sz w:val="20"/>
                <w:szCs w:val="20"/>
                <w:color w:val="auto"/>
              </w:rPr>
            </w:pPr>
            <w:r>
              <w:rPr>
                <w:rFonts w:ascii="Arial" w:cs="Arial" w:eastAsia="Arial" w:hAnsi="Arial"/>
                <w:sz w:val="18"/>
                <w:szCs w:val="18"/>
                <w:color w:val="auto"/>
              </w:rPr>
              <w:t>$778,807</w:t>
            </w:r>
          </w:p>
        </w:tc>
        <w:tc>
          <w:tcPr>
            <w:tcW w:w="880" w:type="dxa"/>
            <w:vAlign w:val="bottom"/>
          </w:tcPr>
          <w:p>
            <w:pPr>
              <w:spacing w:after="0"/>
              <w:rPr>
                <w:sz w:val="21"/>
                <w:szCs w:val="21"/>
                <w:color w:val="auto"/>
              </w:rPr>
            </w:pPr>
          </w:p>
        </w:tc>
        <w:tc>
          <w:tcPr>
            <w:tcW w:w="1740" w:type="dxa"/>
            <w:vAlign w:val="bottom"/>
          </w:tcPr>
          <w:p>
            <w:pPr>
              <w:jc w:val="right"/>
              <w:ind w:right="670"/>
              <w:spacing w:after="0"/>
              <w:rPr>
                <w:sz w:val="20"/>
                <w:szCs w:val="20"/>
                <w:color w:val="auto"/>
              </w:rPr>
            </w:pPr>
            <w:r>
              <w:rPr>
                <w:rFonts w:ascii="Arial" w:cs="Arial" w:eastAsia="Arial" w:hAnsi="Arial"/>
                <w:sz w:val="18"/>
                <w:szCs w:val="18"/>
                <w:color w:val="auto"/>
              </w:rPr>
              <w:t>$632,964</w:t>
            </w:r>
          </w:p>
        </w:tc>
      </w:tr>
      <w:tr>
        <w:trPr>
          <w:trHeight w:val="261"/>
        </w:trPr>
        <w:tc>
          <w:tcPr>
            <w:tcW w:w="5520" w:type="dxa"/>
            <w:vAlign w:val="bottom"/>
            <w:shd w:val="clear" w:color="auto" w:fill="F2F2F2"/>
          </w:tcPr>
          <w:p>
            <w:pPr>
              <w:spacing w:after="0"/>
              <w:rPr>
                <w:sz w:val="20"/>
                <w:szCs w:val="20"/>
                <w:color w:val="auto"/>
              </w:rPr>
            </w:pPr>
            <w:r>
              <w:rPr>
                <w:rFonts w:ascii="Arial" w:cs="Arial" w:eastAsia="Arial" w:hAnsi="Arial"/>
                <w:sz w:val="18"/>
                <w:szCs w:val="18"/>
                <w:color w:val="auto"/>
              </w:rPr>
              <w:t>Reduced by cash flow items:</w:t>
            </w:r>
          </w:p>
        </w:tc>
        <w:tc>
          <w:tcPr>
            <w:tcW w:w="2880" w:type="dxa"/>
            <w:vAlign w:val="bottom"/>
            <w:shd w:val="clear" w:color="auto" w:fill="F2F2F2"/>
          </w:tcPr>
          <w:p>
            <w:pPr>
              <w:spacing w:after="0"/>
              <w:rPr>
                <w:sz w:val="22"/>
                <w:szCs w:val="22"/>
                <w:color w:val="auto"/>
              </w:rPr>
            </w:pPr>
          </w:p>
        </w:tc>
        <w:tc>
          <w:tcPr>
            <w:tcW w:w="880" w:type="dxa"/>
            <w:vAlign w:val="bottom"/>
            <w:shd w:val="clear" w:color="auto" w:fill="F2F2F2"/>
          </w:tcPr>
          <w:p>
            <w:pPr>
              <w:spacing w:after="0"/>
              <w:rPr>
                <w:sz w:val="22"/>
                <w:szCs w:val="22"/>
                <w:color w:val="auto"/>
              </w:rPr>
            </w:pPr>
          </w:p>
        </w:tc>
        <w:tc>
          <w:tcPr>
            <w:tcW w:w="1740" w:type="dxa"/>
            <w:vAlign w:val="bottom"/>
            <w:shd w:val="clear" w:color="auto" w:fill="F2F2F2"/>
          </w:tcPr>
          <w:p>
            <w:pPr>
              <w:spacing w:after="0"/>
              <w:rPr>
                <w:sz w:val="22"/>
                <w:szCs w:val="22"/>
                <w:color w:val="auto"/>
              </w:rPr>
            </w:pPr>
          </w:p>
        </w:tc>
      </w:tr>
      <w:tr>
        <w:trPr>
          <w:trHeight w:val="252"/>
        </w:trPr>
        <w:tc>
          <w:tcPr>
            <w:tcW w:w="552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880" w:type="dxa"/>
            <w:vAlign w:val="bottom"/>
          </w:tcPr>
          <w:p>
            <w:pPr>
              <w:jc w:val="right"/>
              <w:ind w:right="830"/>
              <w:spacing w:after="0"/>
              <w:rPr>
                <w:sz w:val="20"/>
                <w:szCs w:val="20"/>
                <w:color w:val="auto"/>
              </w:rPr>
            </w:pPr>
            <w:r>
              <w:rPr>
                <w:rFonts w:ascii="Arial" w:cs="Arial" w:eastAsia="Arial" w:hAnsi="Arial"/>
                <w:sz w:val="18"/>
                <w:szCs w:val="18"/>
                <w:color w:val="auto"/>
              </w:rPr>
              <w:t>39,407</w:t>
            </w:r>
          </w:p>
        </w:tc>
        <w:tc>
          <w:tcPr>
            <w:tcW w:w="880" w:type="dxa"/>
            <w:vAlign w:val="bottom"/>
          </w:tcPr>
          <w:p>
            <w:pPr>
              <w:spacing w:after="0"/>
              <w:rPr>
                <w:sz w:val="21"/>
                <w:szCs w:val="21"/>
                <w:color w:val="auto"/>
              </w:rPr>
            </w:pPr>
          </w:p>
        </w:tc>
        <w:tc>
          <w:tcPr>
            <w:tcW w:w="1740" w:type="dxa"/>
            <w:vAlign w:val="bottom"/>
          </w:tcPr>
          <w:p>
            <w:pPr>
              <w:jc w:val="right"/>
              <w:ind w:right="670"/>
              <w:spacing w:after="0"/>
              <w:rPr>
                <w:sz w:val="20"/>
                <w:szCs w:val="20"/>
                <w:color w:val="auto"/>
              </w:rPr>
            </w:pPr>
            <w:r>
              <w:rPr>
                <w:rFonts w:ascii="Arial" w:cs="Arial" w:eastAsia="Arial" w:hAnsi="Arial"/>
                <w:sz w:val="18"/>
                <w:szCs w:val="18"/>
                <w:color w:val="auto"/>
              </w:rPr>
              <w:t>25,551</w:t>
            </w:r>
          </w:p>
        </w:tc>
      </w:tr>
      <w:tr>
        <w:trPr>
          <w:trHeight w:val="261"/>
        </w:trPr>
        <w:tc>
          <w:tcPr>
            <w:tcW w:w="5520" w:type="dxa"/>
            <w:vAlign w:val="bottom"/>
            <w:tcBorders>
              <w:bottom w:val="single" w:sz="8" w:color="376DB5"/>
            </w:tcBorders>
            <w:shd w:val="clear" w:color="auto" w:fill="F2F2F2"/>
          </w:tcPr>
          <w:p>
            <w:pPr>
              <w:spacing w:after="0"/>
              <w:rPr>
                <w:sz w:val="20"/>
                <w:szCs w:val="20"/>
                <w:color w:val="auto"/>
              </w:rPr>
            </w:pPr>
            <w:r>
              <w:rPr>
                <w:rFonts w:ascii="Arial" w:cs="Arial" w:eastAsia="Arial" w:hAnsi="Arial"/>
                <w:sz w:val="18"/>
                <w:szCs w:val="18"/>
                <w:b w:val="1"/>
                <w:bCs w:val="1"/>
                <w:color w:val="auto"/>
              </w:rPr>
              <w:t>Free Cash Flow</w:t>
            </w:r>
          </w:p>
        </w:tc>
        <w:tc>
          <w:tcPr>
            <w:tcW w:w="2880" w:type="dxa"/>
            <w:vAlign w:val="bottom"/>
            <w:tcBorders>
              <w:bottom w:val="single" w:sz="8" w:color="376DB5"/>
            </w:tcBorders>
            <w:shd w:val="clear" w:color="auto" w:fill="F2F2F2"/>
          </w:tcPr>
          <w:p>
            <w:pPr>
              <w:jc w:val="right"/>
              <w:ind w:right="830"/>
              <w:spacing w:after="0"/>
              <w:rPr>
                <w:sz w:val="20"/>
                <w:szCs w:val="20"/>
                <w:color w:val="auto"/>
              </w:rPr>
            </w:pPr>
            <w:r>
              <w:rPr>
                <w:rFonts w:ascii="Arial" w:cs="Arial" w:eastAsia="Arial" w:hAnsi="Arial"/>
                <w:sz w:val="18"/>
                <w:szCs w:val="18"/>
                <w:b w:val="1"/>
                <w:bCs w:val="1"/>
                <w:color w:val="auto"/>
              </w:rPr>
              <w:t>$739,400</w:t>
            </w:r>
          </w:p>
        </w:tc>
        <w:tc>
          <w:tcPr>
            <w:tcW w:w="880" w:type="dxa"/>
            <w:vAlign w:val="bottom"/>
            <w:tcBorders>
              <w:bottom w:val="single" w:sz="8" w:color="376DB5"/>
            </w:tcBorders>
            <w:shd w:val="clear" w:color="auto" w:fill="F2F2F2"/>
          </w:tcPr>
          <w:p>
            <w:pPr>
              <w:spacing w:after="0"/>
              <w:rPr>
                <w:sz w:val="22"/>
                <w:szCs w:val="22"/>
                <w:color w:val="auto"/>
              </w:rPr>
            </w:pPr>
          </w:p>
        </w:tc>
        <w:tc>
          <w:tcPr>
            <w:tcW w:w="1740" w:type="dxa"/>
            <w:vAlign w:val="bottom"/>
            <w:tcBorders>
              <w:bottom w:val="single" w:sz="8" w:color="376DB5"/>
            </w:tcBorders>
            <w:shd w:val="clear" w:color="auto" w:fill="F2F2F2"/>
          </w:tcPr>
          <w:p>
            <w:pPr>
              <w:jc w:val="right"/>
              <w:ind w:right="670"/>
              <w:spacing w:after="0"/>
              <w:rPr>
                <w:sz w:val="20"/>
                <w:szCs w:val="20"/>
                <w:color w:val="auto"/>
              </w:rPr>
            </w:pPr>
            <w:r>
              <w:rPr>
                <w:rFonts w:ascii="Arial" w:cs="Arial" w:eastAsia="Arial" w:hAnsi="Arial"/>
                <w:sz w:val="18"/>
                <w:szCs w:val="18"/>
                <w:b w:val="1"/>
                <w:bCs w:val="1"/>
                <w:color w:val="auto"/>
              </w:rPr>
              <w:t>$607,413</w:t>
            </w:r>
          </w:p>
        </w:tc>
      </w:tr>
    </w:tbl>
    <w:p>
      <w:pPr>
        <w:sectPr>
          <w:pgSz w:w="11900" w:h="16838" w:orient="portrait"/>
          <w:cols w:equalWidth="0" w:num="1">
            <w:col w:w="11140"/>
          </w:cols>
          <w:pgMar w:left="320" w:top="482"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7029450" cy="909510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7029450" cy="909510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
      <w:numFmt w:val="bullet"/>
      <w:start w:val="1"/>
    </w:lvl>
  </w:abstractNum>
  <w:abstractNum w:abstractNumId="1">
    <w:nsid w:val="6A2342EC"/>
    <w:multiLevelType w:val="hybridMultilevel"/>
    <w:lvl w:ilvl="0">
      <w:lvlJc w:val="left"/>
      <w:lvlText w:val="%1"/>
      <w:numFmt w:val="decimal"/>
      <w:start w:val="11"/>
    </w:lvl>
  </w:abstractNum>
  <w:abstractNum w:abstractNumId="2">
    <w:nsid w:val="2A487CB0"/>
    <w:multiLevelType w:val="hybridMultilevel"/>
    <w:lvl w:ilvl="0">
      <w:lvlJc w:val="left"/>
      <w:lvlText w:val="%1"/>
      <w:numFmt w:val="decimal"/>
      <w:start w:val="35"/>
    </w:lvl>
  </w:abstractNum>
  <w:abstractNum w:abstractNumId="3">
    <w:nsid w:val="1D4ED43B"/>
    <w:multiLevelType w:val="hybridMultilevel"/>
    <w:lvl w:ilvl="0">
      <w:lvlJc w:val="left"/>
      <w:lvlText w:val="(%1)"/>
      <w:numFmt w:val="decimal"/>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lvl w:ilvl="1">
      <w:lvlJc w:val="left"/>
      <w:lvlText w:val="○"/>
      <w:numFmt w:val="bullet"/>
      <w:start w:val="1"/>
    </w:lvl>
  </w:abstractNum>
  <w:abstractNum w:abstractNumId="17">
    <w:nsid w:val="3DC240FB"/>
    <w:multiLevelType w:val="hybridMultilevel"/>
    <w:lvl w:ilvl="0">
      <w:lvlJc w:val="left"/>
      <w:lvlText w:val="(%1)"/>
      <w:numFmt w:val="decimal"/>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
      <w:numFmt w:val="bullet"/>
      <w:start w:val="1"/>
    </w:lvl>
    <w:lvl w:ilvl="1">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1)"/>
      <w:numFmt w:val="decimal"/>
      <w:start w:val="1"/>
    </w:lvl>
  </w:abstractNum>
  <w:abstractNum w:abstractNumId="36">
    <w:nsid w:val="741226BB"/>
    <w:multiLevelType w:val="hybridMultilevel"/>
    <w:lvl w:ilvl="0">
      <w:lvlJc w:val="left"/>
      <w:lvlText w:val="(%1)"/>
      <w:numFmt w:val="decimal"/>
      <w:start w:val="2"/>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1)"/>
      <w:numFmt w:val="decimal"/>
      <w:start w:val="1"/>
    </w:lvl>
  </w:abstractNum>
  <w:abstractNum w:abstractNumId="40">
    <w:nsid w:val="61574095"/>
    <w:multiLevelType w:val="hybridMultilevel"/>
    <w:lvl w:ilvl="0">
      <w:lvlJc w:val="left"/>
      <w:lvlText w:val=" "/>
      <w:numFmt w:val="bullet"/>
      <w:start w:val="1"/>
    </w:lvl>
    <w:lvl w:ilvl="1">
      <w:lvlJc w:val="left"/>
      <w:lvlText w:val=" "/>
      <w:numFmt w:val="bullet"/>
      <w:start w:val="1"/>
    </w:lvl>
  </w:abstractNum>
  <w:abstractNum w:abstractNumId="41">
    <w:nsid w:val="7E0C57B1"/>
    <w:multiLevelType w:val="hybridMultilevel"/>
    <w:lvl w:ilvl="0">
      <w:lvlJc w:val="left"/>
      <w:lvlText w:val="(%1)"/>
      <w:numFmt w:val="decimal"/>
      <w:start w:val="1"/>
    </w:lvl>
  </w:abstractNum>
  <w:abstractNum w:abstractNumId="42">
    <w:nsid w:val="77AE35EB"/>
    <w:multiLevelType w:val="hybridMultilevel"/>
    <w:lvl w:ilvl="0">
      <w:lvlJc w:val="left"/>
      <w:lvlText w:val="(%1)"/>
      <w:numFmt w:val="decimal"/>
      <w:start w:val="1"/>
    </w:lvl>
  </w:abstractNum>
  <w:abstractNum w:abstractNumId="43">
    <w:nsid w:val="579BE4F1"/>
    <w:multiLevelType w:val="hybridMultilevel"/>
    <w:lvl w:ilvl="0">
      <w:lvlJc w:val="left"/>
      <w:lvlText w:val="(%1)"/>
      <w:numFmt w:val="decimal"/>
      <w:start w:val="1"/>
    </w:lvl>
  </w:abstractNum>
  <w:abstractNum w:abstractNumId="44">
    <w:nsid w:val="310C50B3"/>
    <w:multiLevelType w:val="hybridMultilevel"/>
    <w:lvl w:ilvl="0">
      <w:lvlJc w:val="left"/>
      <w:lvlText w:val="(%1)"/>
      <w:numFmt w:val="decimal"/>
      <w:start w:val="1"/>
    </w:lvl>
  </w:abstractNum>
  <w:abstractNum w:abstractNumId="45">
    <w:nsid w:val="5FF87E05"/>
    <w:multiLevelType w:val="hybridMultilevel"/>
    <w:lvl w:ilvl="0">
      <w:lvlJc w:val="left"/>
      <w:lvlText w:val="(%1)"/>
      <w:numFmt w:val="decimal"/>
      <w:start w:val="1"/>
    </w:lvl>
  </w:abstractNum>
  <w:abstractNum w:abstractNumId="46">
    <w:nsid w:val="2F305DEF"/>
    <w:multiLevelType w:val="hybridMultilevel"/>
    <w:lvl w:ilvl="0">
      <w:lvlJc w:val="left"/>
      <w:lvlText w:val="(%1)"/>
      <w:numFmt w:val="decimal"/>
      <w:start w:val="1"/>
    </w:lvl>
  </w:abstractNum>
  <w:abstractNum w:abstractNumId="47">
    <w:nsid w:val="25A70BF7"/>
    <w:multiLevelType w:val="hybridMultilevel"/>
    <w:lvl w:ilvl="0">
      <w:lvlJc w:val="left"/>
      <w:lvlText w:val="(%1)"/>
      <w:numFmt w:val="decimal"/>
      <w:start w:val="1"/>
    </w:lvl>
  </w:abstractNum>
  <w:abstractNum w:abstractNumId="48">
    <w:nsid w:val="1DBABF00"/>
    <w:multiLevelType w:val="hybridMultilevel"/>
    <w:lvl w:ilvl="0">
      <w:lvlJc w:val="left"/>
      <w:lvlText w:val="(%1)"/>
      <w:numFmt w:val="decimal"/>
      <w:start w:val="1"/>
    </w:lvl>
  </w:abstractNum>
  <w:abstractNum w:abstractNumId="49">
    <w:nsid w:val="4AD084E9"/>
    <w:multiLevelType w:val="hybridMultilevel"/>
    <w:lvl w:ilvl="0">
      <w:lvlJc w:val="left"/>
      <w:lvlText w:val="(%1)"/>
      <w:numFmt w:val="decimal"/>
      <w:start w:val="3"/>
    </w:lvl>
  </w:abstractNum>
  <w:abstractNum w:abstractNumId="50">
    <w:nsid w:val="1F48EAA1"/>
    <w:multiLevelType w:val="hybridMultilevel"/>
    <w:lvl w:ilvl="0">
      <w:lvlJc w:val="left"/>
      <w:lvlText w:val="(%1)"/>
      <w:numFmt w:val="decimal"/>
      <w:start w:val="1"/>
    </w:lvl>
  </w:abstractNum>
  <w:abstractNum w:abstractNumId="51">
    <w:nsid w:val="1381823A"/>
    <w:multiLevelType w:val="hybridMultilevel"/>
    <w:lvl w:ilvl="0">
      <w:lvlJc w:val="left"/>
      <w:lvlText w:val="(%1)"/>
      <w:numFmt w:val="decimal"/>
      <w:start w:val="3"/>
    </w:lvl>
  </w:abstractNum>
  <w:abstractNum w:abstractNumId="52">
    <w:nsid w:val="5DB70AE5"/>
    <w:multiLevelType w:val="hybridMultilevel"/>
    <w:lvl w:ilvl="0">
      <w:lvlJc w:val="left"/>
      <w:lvlText w:val="(%1)"/>
      <w:numFmt w:val="decimal"/>
      <w:start w:val="1"/>
    </w:lvl>
  </w:abstractNum>
  <w:abstractNum w:abstractNumId="53">
    <w:nsid w:val="100F8FCA"/>
    <w:multiLevelType w:val="hybridMultilevel"/>
    <w:lvl w:ilvl="0">
      <w:lvlJc w:val="left"/>
      <w:lvlText w:val="(%1)"/>
      <w:numFmt w:val="decimal"/>
      <w:start w:val="3"/>
    </w:lvl>
  </w:abstractNum>
  <w:abstractNum w:abstractNumId="54">
    <w:nsid w:val="6590700B"/>
    <w:multiLevelType w:val="hybridMultilevel"/>
    <w:lvl w:ilvl="0">
      <w:lvlJc w:val="left"/>
      <w:lvlText w:val="(%1)"/>
      <w:numFmt w:val="decimal"/>
      <w:start w:val="1"/>
    </w:lvl>
  </w:abstractNum>
  <w:abstractNum w:abstractNumId="55">
    <w:nsid w:val="15014ACB"/>
    <w:multiLevelType w:val="hybridMultilevel"/>
    <w:lvl w:ilvl="0">
      <w:lvlJc w:val="left"/>
      <w:lvlText w:val="(%1)"/>
      <w:numFmt w:val="decimal"/>
      <w:start w:val="2"/>
    </w:lvl>
  </w:abstractNum>
  <w:abstractNum w:abstractNumId="56">
    <w:nsid w:val="5F5E7FD0"/>
    <w:multiLevelType w:val="hybridMultilevel"/>
    <w:lvl w:ilvl="0">
      <w:lvlJc w:val="left"/>
      <w:lvlText w:val="(%1)"/>
      <w:numFmt w:val="decimal"/>
      <w:start w:val="1"/>
    </w:lvl>
  </w:abstractNum>
  <w:abstractNum w:abstractNumId="57">
    <w:nsid w:val="98A3148"/>
    <w:multiLevelType w:val="hybridMultilevel"/>
    <w:lvl w:ilvl="0">
      <w:lvlJc w:val="left"/>
      <w:lvlText w:val="(%1)"/>
      <w:numFmt w:val="decimal"/>
      <w:start w:val="1"/>
    </w:lvl>
  </w:abstractNum>
  <w:abstractNum w:abstractNumId="58">
    <w:nsid w:val="799D0247"/>
    <w:multiLevelType w:val="hybridMultilevel"/>
    <w:lvl w:ilvl="0">
      <w:lvlJc w:val="left"/>
      <w:lvlText w:val="(%1)"/>
      <w:numFmt w:val="decimal"/>
      <w:start w:val="1"/>
    </w:lvl>
  </w:abstractNum>
  <w:abstractNum w:abstractNumId="59">
    <w:nsid w:val="6B94764"/>
    <w:multiLevelType w:val="hybridMultilevel"/>
    <w:lvl w:ilvl="0">
      <w:lvlJc w:val="left"/>
      <w:lvlText w:val="(%1)"/>
      <w:numFmt w:val="decimal"/>
      <w:start w:val="5"/>
    </w:lvl>
  </w:abstractNum>
  <w:abstractNum w:abstractNumId="60">
    <w:nsid w:val="42C296BD"/>
    <w:multiLevelType w:val="hybridMultilevel"/>
    <w:lvl w:ilvl="0">
      <w:lvlJc w:val="left"/>
      <w:lvlText w:val="(%1)"/>
      <w:numFmt w:val="decimal"/>
      <w:start w:val="1"/>
    </w:lvl>
  </w:abstractNum>
  <w:abstractNum w:abstractNumId="61">
    <w:nsid w:val="168E121F"/>
    <w:multiLevelType w:val="hybridMultilevel"/>
    <w:lvl w:ilvl="0">
      <w:lvlJc w:val="left"/>
      <w:lvlText w:val="(%1)"/>
      <w:numFmt w:val="decimal"/>
      <w:start w:val="6"/>
    </w:lvl>
  </w:abstractNum>
  <w:abstractNum w:abstractNumId="62">
    <w:nsid w:val="1EBA5D23"/>
    <w:multiLevelType w:val="hybridMultilevel"/>
    <w:lvl w:ilvl="0">
      <w:lvlJc w:val="left"/>
      <w:lvlText w:val="(%1)"/>
      <w:numFmt w:val="decimal"/>
      <w:start w:val="1"/>
    </w:lvl>
  </w:abstractNum>
  <w:abstractNum w:abstractNumId="63">
    <w:nsid w:val="661E3F1E"/>
    <w:multiLevelType w:val="hybridMultilevel"/>
    <w:lvl w:ilvl="0">
      <w:lvlJc w:val="left"/>
      <w:lvlText w:val="(%1)"/>
      <w:numFmt w:val="decimal"/>
      <w:start w:val="1"/>
    </w:lvl>
  </w:abstractNum>
  <w:abstractNum w:abstractNumId="64">
    <w:nsid w:val="5DC79EA8"/>
    <w:multiLevelType w:val="hybridMultilevel"/>
    <w:lvl w:ilvl="0">
      <w:lvlJc w:val="left"/>
      <w:lvlText w:val="(%1)"/>
      <w:numFmt w:val="decimal"/>
      <w:start w:val="1"/>
    </w:lvl>
  </w:abstractNum>
  <w:abstractNum w:abstractNumId="65">
    <w:nsid w:val="540A471C"/>
    <w:multiLevelType w:val="hybridMultilevel"/>
    <w:lvl w:ilvl="0">
      <w:lvlJc w:val="left"/>
      <w:lvlText w:val="(%1)"/>
      <w:numFmt w:val="decimal"/>
      <w:start w:val="1"/>
    </w:lvl>
  </w:abstractNum>
  <w:abstractNum w:abstractNumId="66">
    <w:nsid w:val="7BD3EE7B"/>
    <w:multiLevelType w:val="hybridMultilevel"/>
    <w:lvl w:ilvl="0">
      <w:lvlJc w:val="left"/>
      <w:lvlText w:val="•"/>
      <w:numFmt w:val="bullet"/>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1)"/>
      <w:numFmt w:val="decimal"/>
      <w:start w:val="1"/>
    </w:lvl>
  </w:abstractNum>
  <w:abstractNum w:abstractNumId="69">
    <w:nsid w:val="BF72B14"/>
    <w:multiLevelType w:val="hybridMultilevel"/>
    <w:lvl w:ilvl="0">
      <w:lvlJc w:val="left"/>
      <w:lvlText w:val=" "/>
      <w:numFmt w:val="bullet"/>
      <w:start w:val="1"/>
    </w:lvl>
  </w:abstractNum>
  <w:abstractNum w:abstractNumId="70">
    <w:nsid w:val="11447B73"/>
    <w:multiLevelType w:val="hybridMultilevel"/>
    <w:lvl w:ilvl="0">
      <w:lvlJc w:val="left"/>
      <w:lvlText w:val="(%1)"/>
      <w:numFmt w:val="decimal"/>
      <w:start w:val="2"/>
    </w:lvl>
    <w:lvl w:ilvl="1">
      <w:lvlJc w:val="left"/>
      <w:lvlText w:val="(%2)"/>
      <w:numFmt w:val="lowerRoman"/>
      <w:start w:val="1"/>
    </w:lvl>
  </w:abstractNum>
  <w:abstractNum w:abstractNumId="71">
    <w:nsid w:val="42963E5A"/>
    <w:multiLevelType w:val="hybridMultilevel"/>
    <w:lvl w:ilvl="0">
      <w:lvlJc w:val="left"/>
      <w:lvlText w:val="(%1)"/>
      <w:numFmt w:val="decimal"/>
      <w:start w:val="4"/>
    </w:lvl>
  </w:abstractNum>
  <w:abstractNum w:abstractNumId="72">
    <w:nsid w:val="A0382C5"/>
    <w:multiLevelType w:val="hybridMultilevel"/>
    <w:lvl w:ilvl="0">
      <w:lvlJc w:val="left"/>
      <w:lvlText w:val=" "/>
      <w:numFmt w:val="bullet"/>
      <w:start w:val="1"/>
    </w:lvl>
  </w:abstractNum>
  <w:abstractNum w:abstractNumId="73">
    <w:nsid w:val="8F2B15E"/>
    <w:multiLevelType w:val="hybridMultilevel"/>
    <w:lvl w:ilvl="0">
      <w:lvlJc w:val="left"/>
      <w:lvlText w:val="•"/>
      <w:numFmt w:val="bullet"/>
      <w:start w:val="1"/>
    </w:lvl>
  </w:abstractNum>
  <w:abstractNum w:abstractNumId="74">
    <w:nsid w:val="1A32234B"/>
    <w:multiLevelType w:val="hybridMultilevel"/>
    <w:lvl w:ilvl="0">
      <w:lvlJc w:val="left"/>
      <w:lvlText w:val="•"/>
      <w:numFmt w:val="bullet"/>
      <w:start w:val="1"/>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1)"/>
      <w:numFmt w:val="lowerRoman"/>
      <w:start w:val="2"/>
    </w:lvl>
  </w:abstractNum>
  <w:abstractNum w:abstractNumId="77">
    <w:nsid w:val="4962813B"/>
    <w:multiLevelType w:val="hybridMultilevel"/>
    <w:lvl w:ilvl="0">
      <w:lvlJc w:val="left"/>
      <w:lvlText w:val="•"/>
      <w:numFmt w:val="bullet"/>
      <w:start w:val="1"/>
    </w:lvl>
  </w:abstractNum>
  <w:abstractNum w:abstractNumId="78">
    <w:nsid w:val="60B6DF70"/>
    <w:multiLevelType w:val="hybridMultilevel"/>
    <w:lvl w:ilvl="0">
      <w:lvlJc w:val="left"/>
      <w:lvlText w:val="(%1)"/>
      <w:numFmt w:val="decimal"/>
      <w:start w:val="1"/>
    </w:lvl>
  </w:abstractNum>
  <w:abstractNum w:abstractNumId="79">
    <w:nsid w:val="6A5EE64"/>
    <w:multiLevelType w:val="hybridMultilevel"/>
    <w:lvl w:ilvl="0">
      <w:lvlJc w:val="left"/>
      <w:lvlText w:val="%1."/>
      <w:numFmt w:val="decimal"/>
      <w:start w:val="1"/>
    </w:lvl>
  </w:abstractNum>
  <w:abstractNum w:abstractNumId="80">
    <w:nsid w:val="14330624"/>
    <w:multiLevelType w:val="hybridMultilevel"/>
    <w:lvl w:ilvl="0">
      <w:lvlJc w:val="left"/>
      <w:lvlText w:val="•"/>
      <w:numFmt w:val="bullet"/>
      <w:start w:val="1"/>
    </w:lvl>
  </w:abstractNum>
  <w:abstractNum w:abstractNumId="81">
    <w:nsid w:val="7FFFCA11"/>
    <w:multiLevelType w:val="hybridMultilevel"/>
    <w:lvl w:ilvl="0">
      <w:lvlJc w:val="left"/>
      <w:lvlText w:val="•"/>
      <w:numFmt w:val="bullet"/>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jpeg"/><Relationship Id="rId804" Type="http://schemas.openxmlformats.org/officeDocument/2006/relationships/image" Target="media/image797.png"/><Relationship Id="rId805" Type="http://schemas.openxmlformats.org/officeDocument/2006/relationships/image" Target="media/image79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2026-01-09T15:53:20Z</dcterms:created>
  <dcterms:modified xsi:type="dcterms:W3CDTF">2026-01-09T15:53:20Z</dcterms:modified>
</cp:coreProperties>
</file>