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-175895</wp:posOffset>
            </wp:positionV>
            <wp:extent cx="15690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9"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4" w:lineRule="exact"/>
        <w:rPr>
          <w:rFonts w:ascii="MS PGothic" w:cs="MS PGothic" w:eastAsia="MS PGothic" w:hAnsi="MS PGothic"/>
          <w:sz w:val="16"/>
          <w:szCs w:val="16"/>
          <w:color w:val="auto"/>
        </w:rPr>
      </w:pPr>
    </w:p>
    <w:p>
      <w:pPr>
        <w:ind w:left="66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fiscal year ended September 30, 2016</w:t>
      </w:r>
    </w:p>
    <w:p>
      <w:pPr>
        <w:spacing w:after="0" w:line="172"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[NO FEE REQUIRED]</w:t>
      </w:r>
    </w:p>
    <w:p>
      <w:pPr>
        <w:spacing w:after="0" w:line="46" w:lineRule="exact"/>
        <w:rPr>
          <w:sz w:val="24"/>
          <w:szCs w:val="24"/>
          <w:color w:val="auto"/>
        </w:rPr>
      </w:pPr>
    </w:p>
    <w:p>
      <w:pPr>
        <w:jc w:val="right"/>
        <w:ind w:right="4600"/>
        <w:spacing w:after="0"/>
        <w:tabs>
          <w:tab w:leader="none" w:pos="4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3" w:lineRule="exact"/>
        <w:rPr>
          <w:sz w:val="24"/>
          <w:szCs w:val="24"/>
          <w:color w:val="auto"/>
        </w:rPr>
      </w:pPr>
    </w:p>
    <w:p>
      <w:pPr>
        <w:jc w:val="right"/>
        <w:ind w:right="4540"/>
        <w:spacing w:after="0"/>
        <w:rPr>
          <w:sz w:val="20"/>
          <w:szCs w:val="20"/>
          <w:color w:val="auto"/>
        </w:rPr>
      </w:pPr>
      <w:r>
        <w:rPr>
          <w:rFonts w:ascii="Arial" w:cs="Arial" w:eastAsia="Arial" w:hAnsi="Arial"/>
          <w:sz w:val="16"/>
          <w:szCs w:val="16"/>
          <w:b w:val="1"/>
          <w:bCs w:val="1"/>
          <w:color w:val="auto"/>
        </w:rPr>
        <w:t>Commission File Number 1-11689</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0"/>
        </w:trPr>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80" w:type="dxa"/>
            <w:vAlign w:val="bottom"/>
            <w:gridSpan w:val="3"/>
          </w:tcPr>
          <w:p>
            <w:pPr>
              <w:jc w:val="center"/>
              <w:ind w:left="677"/>
              <w:spacing w:after="0" w:line="408" w:lineRule="exact"/>
              <w:rPr>
                <w:sz w:val="20"/>
                <w:szCs w:val="20"/>
                <w:color w:val="auto"/>
              </w:rPr>
            </w:pPr>
            <w:r>
              <w:rPr>
                <w:rFonts w:ascii="Arial" w:cs="Arial" w:eastAsia="Arial" w:hAnsi="Arial"/>
                <w:sz w:val="36"/>
                <w:szCs w:val="36"/>
                <w:b w:val="1"/>
                <w:bCs w:val="1"/>
                <w:color w:val="auto"/>
                <w:w w:val="93"/>
              </w:rPr>
              <w:t>Fair Isaac Corporation</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240" w:type="dxa"/>
            <w:vAlign w:val="bottom"/>
          </w:tcPr>
          <w:p>
            <w:pPr>
              <w:spacing w:after="0"/>
              <w:rPr>
                <w:sz w:val="24"/>
                <w:szCs w:val="24"/>
                <w:color w:val="auto"/>
              </w:rPr>
            </w:pPr>
          </w:p>
        </w:tc>
        <w:tc>
          <w:tcPr>
            <w:tcW w:w="5280" w:type="dxa"/>
            <w:vAlign w:val="bottom"/>
            <w:gridSpan w:val="5"/>
          </w:tcPr>
          <w:p>
            <w:pPr>
              <w:jc w:val="center"/>
              <w:ind w:right="4380"/>
              <w:spacing w:after="0"/>
              <w:rPr>
                <w:sz w:val="20"/>
                <w:szCs w:val="20"/>
                <w:color w:val="auto"/>
              </w:rPr>
            </w:pPr>
            <w:r>
              <w:rPr>
                <w:rFonts w:ascii="Arial" w:cs="Arial" w:eastAsia="Arial" w:hAnsi="Arial"/>
                <w:sz w:val="16"/>
                <w:szCs w:val="16"/>
                <w:b w:val="1"/>
                <w:bCs w:val="1"/>
                <w:color w:val="auto"/>
                <w:w w:val="93"/>
              </w:rPr>
              <w:t>Delaware</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gridSpan w:val="3"/>
          </w:tcPr>
          <w:p>
            <w:pPr>
              <w:jc w:val="center"/>
              <w:ind w:right="619"/>
              <w:spacing w:after="0"/>
              <w:rPr>
                <w:sz w:val="20"/>
                <w:szCs w:val="20"/>
                <w:color w:val="auto"/>
              </w:rPr>
            </w:pPr>
            <w:r>
              <w:rPr>
                <w:rFonts w:ascii="Arial" w:cs="Arial" w:eastAsia="Arial" w:hAnsi="Arial"/>
                <w:sz w:val="16"/>
                <w:szCs w:val="16"/>
                <w:b w:val="1"/>
                <w:bCs w:val="1"/>
                <w:color w:val="auto"/>
                <w:w w:val="91"/>
              </w:rPr>
              <w:t>94-1499887</w:t>
            </w:r>
          </w:p>
        </w:tc>
        <w:tc>
          <w:tcPr>
            <w:tcW w:w="0" w:type="dxa"/>
            <w:vAlign w:val="bottom"/>
          </w:tcPr>
          <w:p>
            <w:pPr>
              <w:spacing w:after="0"/>
              <w:rPr>
                <w:sz w:val="1"/>
                <w:szCs w:val="1"/>
                <w:color w:val="auto"/>
              </w:rPr>
            </w:pPr>
          </w:p>
        </w:tc>
      </w:tr>
      <w:tr>
        <w:trPr>
          <w:trHeight w:val="186"/>
        </w:trPr>
        <w:tc>
          <w:tcPr>
            <w:tcW w:w="7520" w:type="dxa"/>
            <w:vAlign w:val="bottom"/>
            <w:gridSpan w:val="6"/>
          </w:tcPr>
          <w:p>
            <w:pPr>
              <w:jc w:val="center"/>
              <w:ind w:right="2120"/>
              <w:spacing w:after="0"/>
              <w:rPr>
                <w:sz w:val="20"/>
                <w:szCs w:val="20"/>
                <w:color w:val="auto"/>
              </w:rPr>
            </w:pPr>
            <w:r>
              <w:rPr>
                <w:rFonts w:ascii="Arial" w:cs="Arial" w:eastAsia="Arial" w:hAnsi="Arial"/>
                <w:sz w:val="14"/>
                <w:szCs w:val="14"/>
                <w:b w:val="1"/>
                <w:bCs w:val="1"/>
                <w:color w:val="auto"/>
                <w:w w:val="93"/>
              </w:rPr>
              <w:t>(State or other jurisdiction of</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gridSpan w:val="3"/>
          </w:tcPr>
          <w:p>
            <w:pPr>
              <w:jc w:val="center"/>
              <w:ind w:right="599"/>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520" w:type="dxa"/>
            <w:vAlign w:val="bottom"/>
            <w:gridSpan w:val="6"/>
          </w:tcPr>
          <w:p>
            <w:pPr>
              <w:jc w:val="center"/>
              <w:ind w:right="2120"/>
              <w:spacing w:after="0"/>
              <w:rPr>
                <w:sz w:val="20"/>
                <w:szCs w:val="20"/>
                <w:color w:val="auto"/>
              </w:rPr>
            </w:pPr>
            <w:r>
              <w:rPr>
                <w:rFonts w:ascii="Arial" w:cs="Arial" w:eastAsia="Arial" w:hAnsi="Arial"/>
                <w:sz w:val="14"/>
                <w:szCs w:val="14"/>
                <w:b w:val="1"/>
                <w:bCs w:val="1"/>
                <w:color w:val="auto"/>
                <w:w w:val="94"/>
              </w:rPr>
              <w:t>incorporation or organization)</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gridSpan w:val="3"/>
          </w:tcPr>
          <w:p>
            <w:pPr>
              <w:jc w:val="center"/>
              <w:ind w:right="59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1"/>
        </w:trPr>
        <w:tc>
          <w:tcPr>
            <w:tcW w:w="7520" w:type="dxa"/>
            <w:vAlign w:val="bottom"/>
            <w:gridSpan w:val="6"/>
          </w:tcPr>
          <w:p>
            <w:pPr>
              <w:jc w:val="center"/>
              <w:ind w:right="2140"/>
              <w:spacing w:after="0"/>
              <w:rPr>
                <w:sz w:val="20"/>
                <w:szCs w:val="20"/>
                <w:color w:val="auto"/>
              </w:rPr>
            </w:pPr>
            <w:r>
              <w:rPr>
                <w:rFonts w:ascii="Arial" w:cs="Arial" w:eastAsia="Arial" w:hAnsi="Arial"/>
                <w:sz w:val="16"/>
                <w:szCs w:val="16"/>
                <w:b w:val="1"/>
                <w:bCs w:val="1"/>
                <w:color w:val="auto"/>
                <w:w w:val="93"/>
              </w:rPr>
              <w:t>181 Metro Drive, Suite 700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gridSpan w:val="6"/>
          </w:tcPr>
          <w:p>
            <w:pPr>
              <w:jc w:val="center"/>
              <w:ind w:right="2120"/>
              <w:spacing w:after="0"/>
              <w:rPr>
                <w:sz w:val="20"/>
                <w:szCs w:val="20"/>
                <w:color w:val="auto"/>
              </w:rPr>
            </w:pPr>
            <w:r>
              <w:rPr>
                <w:rFonts w:ascii="Arial" w:cs="Arial" w:eastAsia="Arial" w:hAnsi="Arial"/>
                <w:sz w:val="16"/>
                <w:szCs w:val="16"/>
                <w:b w:val="1"/>
                <w:bCs w:val="1"/>
                <w:color w:val="auto"/>
                <w:w w:val="91"/>
              </w:rPr>
              <w:t>San Jose, California</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80" w:type="dxa"/>
            <w:vAlign w:val="bottom"/>
            <w:gridSpan w:val="3"/>
          </w:tcPr>
          <w:p>
            <w:pPr>
              <w:jc w:val="center"/>
              <w:ind w:right="619"/>
              <w:spacing w:after="0"/>
              <w:rPr>
                <w:sz w:val="20"/>
                <w:szCs w:val="20"/>
                <w:color w:val="auto"/>
              </w:rPr>
            </w:pPr>
            <w:r>
              <w:rPr>
                <w:rFonts w:ascii="Arial" w:cs="Arial" w:eastAsia="Arial" w:hAnsi="Arial"/>
                <w:sz w:val="16"/>
                <w:szCs w:val="16"/>
                <w:b w:val="1"/>
                <w:bCs w:val="1"/>
                <w:color w:val="auto"/>
                <w:w w:val="91"/>
              </w:rPr>
              <w:t>95110-1346</w:t>
            </w:r>
          </w:p>
        </w:tc>
        <w:tc>
          <w:tcPr>
            <w:tcW w:w="0" w:type="dxa"/>
            <w:vAlign w:val="bottom"/>
          </w:tcPr>
          <w:p>
            <w:pPr>
              <w:spacing w:after="0"/>
              <w:rPr>
                <w:sz w:val="1"/>
                <w:szCs w:val="1"/>
                <w:color w:val="auto"/>
              </w:rPr>
            </w:pPr>
          </w:p>
        </w:tc>
      </w:tr>
      <w:tr>
        <w:trPr>
          <w:trHeight w:val="222"/>
        </w:trPr>
        <w:tc>
          <w:tcPr>
            <w:tcW w:w="7520" w:type="dxa"/>
            <w:vAlign w:val="bottom"/>
            <w:gridSpan w:val="6"/>
          </w:tcPr>
          <w:p>
            <w:pPr>
              <w:jc w:val="center"/>
              <w:ind w:right="2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gridSpan w:val="3"/>
          </w:tcPr>
          <w:p>
            <w:pPr>
              <w:jc w:val="center"/>
              <w:ind w:right="61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380" w:type="dxa"/>
            <w:vAlign w:val="bottom"/>
            <w:gridSpan w:val="3"/>
          </w:tcPr>
          <w:p>
            <w:pPr>
              <w:jc w:val="center"/>
              <w:ind w:left="677"/>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40" w:type="dxa"/>
            <w:vAlign w:val="bottom"/>
            <w:gridSpan w:val="5"/>
          </w:tcPr>
          <w:p>
            <w:pPr>
              <w:jc w:val="center"/>
              <w:ind w:left="4421"/>
              <w:spacing w:after="0"/>
              <w:rPr>
                <w:sz w:val="20"/>
                <w:szCs w:val="20"/>
                <w:color w:val="auto"/>
              </w:rPr>
            </w:pPr>
            <w:r>
              <w:rPr>
                <w:rFonts w:ascii="Arial" w:cs="Arial" w:eastAsia="Arial" w:hAnsi="Arial"/>
                <w:sz w:val="16"/>
                <w:szCs w:val="16"/>
                <w:b w:val="1"/>
                <w:bCs w:val="1"/>
                <w:color w:val="auto"/>
                <w:w w:val="92"/>
              </w:rPr>
              <w:t>408-535-1500</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240" w:type="dxa"/>
            <w:vAlign w:val="bottom"/>
          </w:tcPr>
          <w:p>
            <w:pPr>
              <w:spacing w:after="0"/>
              <w:rPr>
                <w:sz w:val="24"/>
                <w:szCs w:val="24"/>
                <w:color w:val="auto"/>
              </w:rPr>
            </w:pPr>
          </w:p>
        </w:tc>
        <w:tc>
          <w:tcPr>
            <w:tcW w:w="5280" w:type="dxa"/>
            <w:vAlign w:val="bottom"/>
            <w:gridSpan w:val="5"/>
          </w:tcPr>
          <w:p>
            <w:pPr>
              <w:jc w:val="center"/>
              <w:ind w:right="4380"/>
              <w:spacing w:after="0"/>
              <w:rPr>
                <w:sz w:val="20"/>
                <w:szCs w:val="20"/>
                <w:color w:val="auto"/>
              </w:rPr>
            </w:pPr>
            <w:r>
              <w:rPr>
                <w:rFonts w:ascii="Arial" w:cs="Arial" w:eastAsia="Arial" w:hAnsi="Arial"/>
                <w:sz w:val="14"/>
                <w:szCs w:val="14"/>
                <w:b w:val="1"/>
                <w:bCs w:val="1"/>
                <w:color w:val="auto"/>
                <w:w w:val="93"/>
              </w:rPr>
              <w:t>(Title of Class)</w:t>
            </w:r>
          </w:p>
        </w:tc>
        <w:tc>
          <w:tcPr>
            <w:tcW w:w="2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520" w:type="dxa"/>
            <w:vAlign w:val="bottom"/>
            <w:gridSpan w:val="6"/>
          </w:tcPr>
          <w:p>
            <w:pPr>
              <w:jc w:val="center"/>
              <w:ind w:right="2120"/>
              <w:spacing w:after="0"/>
              <w:rPr>
                <w:sz w:val="20"/>
                <w:szCs w:val="20"/>
                <w:color w:val="auto"/>
              </w:rPr>
            </w:pPr>
            <w:r>
              <w:rPr>
                <w:rFonts w:ascii="Arial" w:cs="Arial" w:eastAsia="Arial" w:hAnsi="Arial"/>
                <w:sz w:val="18"/>
                <w:szCs w:val="18"/>
                <w:color w:val="auto"/>
                <w:w w:val="89"/>
              </w:rPr>
              <w:t>Common Stock, $0.01 par value per share</w:t>
            </w:r>
          </w:p>
        </w:tc>
        <w:tc>
          <w:tcPr>
            <w:tcW w:w="20" w:type="dxa"/>
            <w:vAlign w:val="bottom"/>
          </w:tcPr>
          <w:p>
            <w:pPr>
              <w:spacing w:after="0"/>
              <w:rPr>
                <w:sz w:val="22"/>
                <w:szCs w:val="22"/>
                <w:color w:val="auto"/>
              </w:rPr>
            </w:pPr>
          </w:p>
        </w:tc>
        <w:tc>
          <w:tcPr>
            <w:tcW w:w="2760" w:type="dxa"/>
            <w:vAlign w:val="bottom"/>
            <w:gridSpan w:val="4"/>
          </w:tcPr>
          <w:p>
            <w:pPr>
              <w:jc w:val="center"/>
              <w:spacing w:after="0"/>
              <w:rPr>
                <w:sz w:val="20"/>
                <w:szCs w:val="20"/>
                <w:color w:val="auto"/>
              </w:rPr>
            </w:pPr>
            <w:r>
              <w:rPr>
                <w:rFonts w:ascii="Arial" w:cs="Arial" w:eastAsia="Arial" w:hAnsi="Arial"/>
                <w:sz w:val="18"/>
                <w:szCs w:val="18"/>
                <w:color w:val="auto"/>
                <w:w w:val="92"/>
              </w:rPr>
              <w:t>New York Stock Exchange, Inc.</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9"/>
              </w:rPr>
              <w:t>None</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4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4400" w:type="dxa"/>
            <w:vAlign w:val="bottom"/>
            <w:gridSpan w:val="4"/>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320" w:type="dxa"/>
            <w:vAlign w:val="bottom"/>
            <w:vMerge w:val="restart"/>
          </w:tcPr>
          <w:p>
            <w:pPr>
              <w:ind w:left="40"/>
              <w:spacing w:after="0"/>
              <w:rPr>
                <w:sz w:val="20"/>
                <w:szCs w:val="20"/>
                <w:color w:val="auto"/>
              </w:rPr>
            </w:pPr>
            <w:r>
              <w:rPr>
                <w:rFonts w:ascii="Arial" w:cs="Arial" w:eastAsia="Arial" w:hAnsi="Arial"/>
                <w:sz w:val="16"/>
                <w:szCs w:val="16"/>
                <w:color w:val="auto"/>
              </w:rPr>
              <w:t>No</w:t>
            </w:r>
          </w:p>
        </w:tc>
        <w:tc>
          <w:tcPr>
            <w:tcW w:w="1140" w:type="dxa"/>
            <w:vAlign w:val="bottom"/>
            <w:vMerge w:val="restart"/>
          </w:tcPr>
          <w:p>
            <w:pPr>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143"/>
        </w:trPr>
        <w:tc>
          <w:tcPr>
            <w:tcW w:w="2480" w:type="dxa"/>
            <w:vAlign w:val="bottom"/>
            <w:tcBorders>
              <w:top w:val="single" w:sz="8" w:color="auto"/>
            </w:tcBorders>
            <w:gridSpan w:val="2"/>
          </w:tcPr>
          <w:p>
            <w:pPr>
              <w:ind w:left="440"/>
              <w:spacing w:after="0" w:line="143" w:lineRule="exact"/>
              <w:rPr>
                <w:sz w:val="20"/>
                <w:szCs w:val="20"/>
                <w:color w:val="auto"/>
              </w:rPr>
            </w:pPr>
            <w:r>
              <w:rPr>
                <w:rFonts w:ascii="Arial" w:cs="Arial" w:eastAsia="Arial" w:hAnsi="Arial"/>
                <w:sz w:val="16"/>
                <w:szCs w:val="16"/>
                <w:color w:val="auto"/>
                <w:w w:val="99"/>
              </w:rPr>
              <w:t>Indicate by check mark if the</w:t>
            </w:r>
          </w:p>
        </w:tc>
        <w:tc>
          <w:tcPr>
            <w:tcW w:w="5740" w:type="dxa"/>
            <w:vAlign w:val="bottom"/>
            <w:gridSpan w:val="6"/>
          </w:tcPr>
          <w:p>
            <w:pPr>
              <w:spacing w:after="0" w:line="143" w:lineRule="exact"/>
              <w:rPr>
                <w:sz w:val="20"/>
                <w:szCs w:val="20"/>
                <w:color w:val="auto"/>
              </w:rPr>
            </w:pPr>
            <w:r>
              <w:rPr>
                <w:rFonts w:ascii="Arial" w:cs="Arial" w:eastAsia="Arial" w:hAnsi="Arial"/>
                <w:sz w:val="16"/>
                <w:szCs w:val="16"/>
                <w:color w:val="auto"/>
                <w:w w:val="92"/>
              </w:rPr>
              <w:t>registrant is a well-known seasoned issuer, as defined in Rule 405 of the Securities Act.</w:t>
            </w:r>
          </w:p>
        </w:tc>
        <w:tc>
          <w:tcPr>
            <w:tcW w:w="6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8220" w:type="dxa"/>
            <w:vAlign w:val="bottom"/>
            <w:gridSpan w:val="8"/>
          </w:tcPr>
          <w:p>
            <w:pPr>
              <w:ind w:left="44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80"/>
              <w:spacing w:after="0"/>
              <w:rPr>
                <w:sz w:val="20"/>
                <w:szCs w:val="20"/>
                <w:color w:val="auto"/>
              </w:rPr>
            </w:pPr>
            <w:r>
              <w:rPr>
                <w:rFonts w:ascii="Arial" w:cs="Arial" w:eastAsia="Arial" w:hAnsi="Arial"/>
                <w:sz w:val="16"/>
                <w:szCs w:val="16"/>
                <w:color w:val="auto"/>
              </w:rPr>
              <w:t>Yes o</w:t>
            </w:r>
          </w:p>
        </w:tc>
        <w:tc>
          <w:tcPr>
            <w:tcW w:w="320" w:type="dxa"/>
            <w:vAlign w:val="bottom"/>
          </w:tcPr>
          <w:p>
            <w:pPr>
              <w:ind w:left="120"/>
              <w:spacing w:after="0"/>
              <w:rPr>
                <w:sz w:val="20"/>
                <w:szCs w:val="20"/>
                <w:color w:val="auto"/>
              </w:rPr>
            </w:pPr>
            <w:r>
              <w:rPr>
                <w:rFonts w:ascii="Arial" w:cs="Arial" w:eastAsia="Arial" w:hAnsi="Arial"/>
                <w:sz w:val="16"/>
                <w:szCs w:val="16"/>
                <w:color w:val="auto"/>
                <w:w w:val="87"/>
              </w:rPr>
              <w:t>No</w:t>
            </w:r>
          </w:p>
        </w:tc>
        <w:tc>
          <w:tcPr>
            <w:tcW w:w="11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firstLine="432"/>
        <w:spacing w:after="0" w:line="18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 w:lineRule="exact"/>
        <w:rPr>
          <w:sz w:val="24"/>
          <w:szCs w:val="24"/>
          <w:color w:val="auto"/>
        </w:rPr>
      </w:pPr>
    </w:p>
    <w:p>
      <w:pPr>
        <w:jc w:val="both"/>
        <w:ind w:firstLine="432"/>
        <w:spacing w:after="0" w:line="18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 w:lineRule="exact"/>
        <w:rPr>
          <w:sz w:val="24"/>
          <w:szCs w:val="24"/>
          <w:color w:val="auto"/>
        </w:rPr>
      </w:pPr>
    </w:p>
    <w:p>
      <w:pPr>
        <w:jc w:val="both"/>
        <w:ind w:firstLine="432"/>
        <w:spacing w:after="0" w:line="190"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ind w:firstLine="432"/>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96" w:lineRule="exact"/>
        <w:rPr>
          <w:sz w:val="24"/>
          <w:szCs w:val="24"/>
          <w:color w:val="auto"/>
        </w:rPr>
      </w:pPr>
    </w:p>
    <w:p>
      <w:pPr>
        <w:sectPr>
          <w:pgSz w:w="11900" w:h="16838" w:orient="portrait"/>
          <w:cols w:equalWidth="0" w:num="4">
            <w:col w:w="1840" w:space="720"/>
            <w:col w:w="5220" w:space="720"/>
            <w:col w:w="2020" w:space="720"/>
            <w:col w:w="18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45" w:lineRule="exact"/>
        <w:rPr>
          <w:sz w:val="24"/>
          <w:szCs w:val="24"/>
          <w:color w:val="auto"/>
        </w:rPr>
      </w:pPr>
    </w:p>
    <w:p>
      <w:pPr>
        <w:sectPr>
          <w:pgSz w:w="11900" w:h="16838" w:orient="portrait"/>
          <w:cols w:equalWidth="0" w:num="4">
            <w:col w:w="1840" w:space="720"/>
            <w:col w:w="5220" w:space="720"/>
            <w:col w:w="2020" w:space="720"/>
            <w:col w:w="180"/>
          </w:cols>
          <w:pgMar w:left="240" w:top="233" w:right="239" w:bottom="1440" w:gutter="0" w:footer="0" w:header="0"/>
          <w:type w:val="continuous"/>
        </w:sectPr>
      </w:pPr>
    </w:p>
    <w:p>
      <w:pPr>
        <w:ind w:left="440"/>
        <w:spacing w:after="0" w:line="184" w:lineRule="exact"/>
        <w:tabs>
          <w:tab w:leader="none" w:pos="794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233" w:right="239" w:bottom="1440" w:gutter="0" w:footer="0" w:header="0"/>
          <w:type w:val="continuous"/>
        </w:sectPr>
      </w:pPr>
    </w:p>
    <w:p>
      <w:pPr>
        <w:spacing w:after="0" w:line="64" w:lineRule="exact"/>
        <w:rPr>
          <w:sz w:val="24"/>
          <w:szCs w:val="24"/>
          <w:color w:val="auto"/>
        </w:rPr>
      </w:pPr>
    </w:p>
    <w:p>
      <w:pPr>
        <w:jc w:val="both"/>
        <w:ind w:firstLine="432"/>
        <w:spacing w:after="0" w:line="237" w:lineRule="auto"/>
        <w:rPr>
          <w:sz w:val="20"/>
          <w:szCs w:val="20"/>
          <w:color w:val="auto"/>
        </w:rPr>
      </w:pPr>
      <w:r>
        <w:rPr>
          <w:rFonts w:ascii="Arial" w:cs="Arial" w:eastAsia="Arial" w:hAnsi="Arial"/>
          <w:sz w:val="16"/>
          <w:szCs w:val="16"/>
          <w:color w:val="auto"/>
        </w:rPr>
        <w:t>As of March 31, 2016, the aggregate market value of the registrant’s common stock held by non-affiliates of the registrant was $2,262,902,883 based on the last transaction price as reported on the New York Stock Exchange on such date. This calculation does not reflect a determination that certain persons are affiliates of the registrant for any other purposes.</w:t>
      </w:r>
    </w:p>
    <w:p>
      <w:pPr>
        <w:spacing w:after="0" w:line="1"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of common stock outstanding on October 28, 2016 was 30,940,696 (excluding 57,916,087 shares held by the Company as treasury stock).</w:t>
      </w:r>
    </w:p>
    <w:p>
      <w:pPr>
        <w:spacing w:after="0" w:line="17" w:lineRule="exact"/>
        <w:rPr>
          <w:sz w:val="24"/>
          <w:szCs w:val="24"/>
          <w:color w:val="auto"/>
        </w:rPr>
      </w:pPr>
    </w:p>
    <w:p>
      <w:pPr>
        <w:jc w:val="both"/>
        <w:ind w:firstLine="432"/>
        <w:spacing w:after="0" w:line="257" w:lineRule="auto"/>
        <w:rPr>
          <w:sz w:val="20"/>
          <w:szCs w:val="20"/>
          <w:color w:val="auto"/>
        </w:rPr>
      </w:pPr>
      <w:r>
        <w:rPr>
          <w:rFonts w:ascii="Arial" w:cs="Arial" w:eastAsia="Arial" w:hAnsi="Arial"/>
          <w:sz w:val="16"/>
          <w:szCs w:val="16"/>
          <w:color w:val="auto"/>
        </w:rPr>
        <w:t>Items 10, 11, 12, 13 and 14 of Part III incorporate information by reference from the definitive proxy statement for the Annual Meeting of Stockholders to be held on February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9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60" w:type="dxa"/>
            <w:vAlign w:val="bottom"/>
            <w:gridSpan w:val="5"/>
          </w:tcPr>
          <w:p>
            <w:pPr>
              <w:jc w:val="right"/>
              <w:ind w:right="4630"/>
              <w:spacing w:after="0"/>
              <w:rPr>
                <w:sz w:val="20"/>
                <w:szCs w:val="20"/>
                <w:color w:val="auto"/>
              </w:rPr>
            </w:pPr>
            <w:r>
              <w:rPr>
                <w:rFonts w:ascii="Arial" w:cs="Arial" w:eastAsia="Arial" w:hAnsi="Arial"/>
                <w:sz w:val="18"/>
                <w:szCs w:val="18"/>
                <w:b w:val="1"/>
                <w:bCs w:val="1"/>
                <w:color w:val="auto"/>
              </w:rPr>
              <w:t>TABLE OF CONTENTS</w:t>
            </w:r>
          </w:p>
        </w:tc>
      </w:tr>
      <w:tr>
        <w:trPr>
          <w:trHeight w:val="527"/>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80" w:type="dxa"/>
            <w:vAlign w:val="bottom"/>
            <w:gridSpan w:val="4"/>
          </w:tcPr>
          <w:p>
            <w:pPr>
              <w:jc w:val="right"/>
              <w:ind w:right="531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2220" w:type="dxa"/>
            <w:vAlign w:val="bottom"/>
            <w:gridSpan w:val="6"/>
          </w:tcPr>
          <w:p>
            <w:pPr>
              <w:spacing w:after="0"/>
              <w:rPr>
                <w:sz w:val="21"/>
                <w:szCs w:val="21"/>
                <w:color w:val="auto"/>
              </w:rPr>
            </w:pPr>
          </w:p>
        </w:tc>
        <w:tc>
          <w:tcPr>
            <w:tcW w:w="1480" w:type="dxa"/>
            <w:vAlign w:val="bottom"/>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53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1960" w:type="dxa"/>
            <w:vAlign w:val="bottom"/>
            <w:gridSpan w:val="4"/>
          </w:tcPr>
          <w:p>
            <w:pPr>
              <w:spacing w:after="0"/>
              <w:rPr>
                <w:sz w:val="21"/>
                <w:szCs w:val="21"/>
                <w:color w:val="auto"/>
              </w:rPr>
            </w:pPr>
          </w:p>
        </w:tc>
        <w:tc>
          <w:tcPr>
            <w:tcW w:w="7460" w:type="dxa"/>
            <w:vAlign w:val="bottom"/>
            <w:gridSpan w:val="5"/>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0"/>
        </w:trPr>
        <w:tc>
          <w:tcPr>
            <w:tcW w:w="10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Item 1B.</w:t>
            </w:r>
          </w:p>
        </w:tc>
        <w:tc>
          <w:tcPr>
            <w:tcW w:w="2860" w:type="dxa"/>
            <w:vAlign w:val="bottom"/>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74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Item 2.</w:t>
            </w:r>
          </w:p>
        </w:tc>
        <w:tc>
          <w:tcPr>
            <w:tcW w:w="2040" w:type="dxa"/>
            <w:vAlign w:val="bottom"/>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820" w:type="dxa"/>
            <w:vAlign w:val="bottom"/>
          </w:tcPr>
          <w:p>
            <w:pPr>
              <w:spacing w:after="0"/>
              <w:rPr>
                <w:sz w:val="21"/>
                <w:szCs w:val="21"/>
                <w:color w:val="auto"/>
              </w:rPr>
            </w:pPr>
          </w:p>
        </w:tc>
        <w:tc>
          <w:tcPr>
            <w:tcW w:w="74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Item 3.</w:t>
            </w:r>
          </w:p>
        </w:tc>
        <w:tc>
          <w:tcPr>
            <w:tcW w:w="2860" w:type="dxa"/>
            <w:vAlign w:val="bottom"/>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74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Item 4.</w:t>
            </w:r>
          </w:p>
        </w:tc>
        <w:tc>
          <w:tcPr>
            <w:tcW w:w="2860" w:type="dxa"/>
            <w:vAlign w:val="bottom"/>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74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780" w:type="dxa"/>
            <w:vAlign w:val="bottom"/>
            <w:gridSpan w:val="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1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 of Equity Securities</w:t>
              </w:r>
            </w:hyperlink>
          </w:p>
        </w:tc>
        <w:tc>
          <w:tcPr>
            <w:tcW w:w="206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24</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80" w:type="dxa"/>
            <w:vAlign w:val="bottom"/>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368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Quantitative and Qualitative Disclosures About Market Risk</w:t>
              </w:r>
            </w:hyperlink>
          </w:p>
        </w:tc>
        <w:tc>
          <w:tcPr>
            <w:tcW w:w="5780" w:type="dxa"/>
            <w:vAlign w:val="bottom"/>
            <w:gridSpan w:val="5"/>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46</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1014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180" w:type="dxa"/>
            <w:vAlign w:val="bottom"/>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Changes in and Disagreements with Accountants on Accounting and Financial Disclosure</w:t>
              </w:r>
            </w:hyperlink>
          </w:p>
        </w:tc>
        <w:tc>
          <w:tcPr>
            <w:tcW w:w="366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81</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10140" w:type="dxa"/>
            <w:vAlign w:val="bottom"/>
            <w:gridSpan w:val="1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180" w:type="dxa"/>
            <w:vAlign w:val="bottom"/>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81</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8380" w:type="dxa"/>
            <w:vAlign w:val="bottom"/>
            <w:gridSpan w:val="7"/>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81</w:t>
              </w:r>
            </w:hyperlink>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60" w:type="dxa"/>
            <w:vAlign w:val="bottom"/>
            <w:gridSpan w:val="5"/>
          </w:tcPr>
          <w:p>
            <w:pPr>
              <w:ind w:left="20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180" w:type="dxa"/>
            <w:vAlign w:val="bottom"/>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4280" w:type="dxa"/>
            <w:vAlign w:val="bottom"/>
            <w:gridSpan w:val="4"/>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Directors, Executive Officers and Corporate Governance</w:t>
              </w:r>
            </w:hyperlink>
          </w:p>
        </w:tc>
        <w:tc>
          <w:tcPr>
            <w:tcW w:w="720" w:type="dxa"/>
            <w:vAlign w:val="bottom"/>
            <w:tcBorders>
              <w:top w:val="single" w:sz="8" w:color="0000EE"/>
            </w:tcBorders>
          </w:tcPr>
          <w:p>
            <w:pPr>
              <w:spacing w:after="0"/>
              <w:rPr>
                <w:sz w:val="21"/>
                <w:szCs w:val="21"/>
                <w:color w:val="auto"/>
              </w:rPr>
            </w:pPr>
          </w:p>
        </w:tc>
        <w:tc>
          <w:tcPr>
            <w:tcW w:w="5140" w:type="dxa"/>
            <w:vAlign w:val="bottom"/>
            <w:gridSpan w:val="3"/>
          </w:tcPr>
          <w:p>
            <w:pPr>
              <w:spacing w:after="0"/>
              <w:rPr>
                <w:sz w:val="21"/>
                <w:szCs w:val="21"/>
                <w:color w:val="auto"/>
              </w:rPr>
            </w:pPr>
          </w:p>
        </w:tc>
        <w:tc>
          <w:tcPr>
            <w:tcW w:w="180" w:type="dxa"/>
            <w:vAlign w:val="bottom"/>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82</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2"/>
          </w:tcPr>
          <w:p>
            <w:pPr>
              <w:spacing w:after="0"/>
              <w:rPr>
                <w:sz w:val="21"/>
                <w:szCs w:val="21"/>
                <w:color w:val="auto"/>
              </w:rPr>
            </w:pPr>
          </w:p>
        </w:tc>
        <w:tc>
          <w:tcPr>
            <w:tcW w:w="6060" w:type="dxa"/>
            <w:vAlign w:val="bottom"/>
            <w:gridSpan w:val="5"/>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83</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1014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180" w:type="dxa"/>
            <w:vAlign w:val="bottom"/>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83</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 and Director Independence</w:t>
              </w:r>
            </w:hyperlink>
          </w:p>
        </w:tc>
        <w:tc>
          <w:tcPr>
            <w:tcW w:w="286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83</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2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Principal Accountant Fees and Services</w:t>
              </w:r>
            </w:hyperlink>
          </w:p>
        </w:tc>
        <w:tc>
          <w:tcPr>
            <w:tcW w:w="2580" w:type="dxa"/>
            <w:vAlign w:val="bottom"/>
            <w:tcBorders>
              <w:top w:val="single" w:sz="8" w:color="0000EE"/>
            </w:tcBorders>
            <w:gridSpan w:val="4"/>
          </w:tcPr>
          <w:p>
            <w:pPr>
              <w:spacing w:after="0"/>
              <w:rPr>
                <w:sz w:val="21"/>
                <w:szCs w:val="21"/>
                <w:color w:val="auto"/>
              </w:rPr>
            </w:pPr>
          </w:p>
        </w:tc>
        <w:tc>
          <w:tcPr>
            <w:tcW w:w="470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83</w:t>
              </w:r>
            </w:hyperlink>
          </w:p>
        </w:tc>
      </w:tr>
    </w:tbl>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85">
              <w:r>
                <w:rPr>
                  <w:rFonts w:ascii="Arial" w:cs="Arial" w:eastAsia="Arial" w:hAnsi="Arial"/>
                  <w:sz w:val="18"/>
                  <w:szCs w:val="18"/>
                  <w:b w:val="1"/>
                  <w:bCs w:val="1"/>
                  <w:color w:val="0000EE"/>
                  <w:w w:val="98"/>
                </w:rPr>
                <w:t>PART IV</w:t>
              </w:r>
            </w:hyperlink>
          </w:p>
        </w:tc>
        <w:tc>
          <w:tcPr>
            <w:tcW w:w="5320" w:type="dxa"/>
            <w:vAlign w:val="bottom"/>
            <w:gridSpan w:val="2"/>
          </w:tcPr>
          <w:p>
            <w:pPr>
              <w:spacing w:after="0"/>
              <w:rPr>
                <w:sz w:val="18"/>
                <w:szCs w:val="18"/>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Exhibits, Financial Statement Schedules</w:t>
              </w:r>
            </w:hyperlink>
          </w:p>
        </w:tc>
        <w:tc>
          <w:tcPr>
            <w:tcW w:w="1380" w:type="dxa"/>
            <w:vAlign w:val="bottom"/>
          </w:tcPr>
          <w:p>
            <w:pPr>
              <w:spacing w:after="0"/>
              <w:rPr>
                <w:sz w:val="21"/>
                <w:szCs w:val="21"/>
                <w:color w:val="auto"/>
              </w:rPr>
            </w:pPr>
          </w:p>
        </w:tc>
        <w:tc>
          <w:tcPr>
            <w:tcW w:w="6040" w:type="dxa"/>
            <w:vAlign w:val="bottom"/>
            <w:gridSpan w:val="3"/>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89">
              <w:r>
                <w:rPr>
                  <w:rFonts w:ascii="Arial" w:cs="Arial" w:eastAsia="Arial" w:hAnsi="Arial"/>
                  <w:sz w:val="18"/>
                  <w:szCs w:val="18"/>
                  <w:color w:val="0000EE"/>
                  <w:w w:val="85"/>
                </w:rPr>
                <w:t>Signatures</w:t>
              </w:r>
            </w:hyperlink>
          </w:p>
        </w:tc>
        <w:tc>
          <w:tcPr>
            <w:tcW w:w="2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4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Act. Examples of forward-looking statements include, but are not limited to: (i) projections of revenue, income or loss, earnings or loss per share, the payment or nonpayment of dividends, capital structure and other statements concerning future financial performance;</w:t>
      </w:r>
    </w:p>
    <w:p>
      <w:pPr>
        <w:spacing w:after="0" w:line="2" w:lineRule="exact"/>
        <w:rPr>
          <w:sz w:val="20"/>
          <w:szCs w:val="20"/>
          <w:color w:val="auto"/>
        </w:rPr>
      </w:pPr>
    </w:p>
    <w:p>
      <w:pPr>
        <w:jc w:val="both"/>
        <w:ind w:firstLine="8"/>
        <w:spacing w:after="0" w:line="267" w:lineRule="auto"/>
        <w:tabs>
          <w:tab w:leader="none" w:pos="301"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business relationships with vendors, customers or collaborators, including the proportion of revenues generated from international as opposed to domestic customers; and (v) statements regarding products, their characteristics, performance, sales potential or effect in the hands of customers. Words such as “believes,” “anticipates,” “expects,” “intends,” “targeted,” “should,” “potential,” “goals,” “strategy,”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Item 1A of Part I, Risk Factors, below.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reports on Forms 10-Q and 8-K to be filed by the Company in fiscal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243"/>
        <w:spacing w:after="0" w:line="246" w:lineRule="auto"/>
        <w:rPr>
          <w:sz w:val="20"/>
          <w:szCs w:val="20"/>
          <w:color w:val="auto"/>
        </w:rPr>
      </w:pPr>
      <w:r>
        <w:rPr>
          <w:rFonts w:ascii="Arial" w:cs="Arial" w:eastAsia="Arial" w:hAnsi="Arial"/>
          <w:sz w:val="17"/>
          <w:szCs w:val="17"/>
          <w:color w:val="auto"/>
        </w:rPr>
        <w:t>Fair Isaac Corporation (NYSE: FICO) (together with its consolidated subsidiaries, the “Company,” which may also be referred to in this report as “we,” “us,” “our,” and “FICO”) provides products and services that enable businesses to automate, improve and connect decisions to enhance business performance. Our predictive analytics, which includes the industry-standard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and our decision management systems leverage the use of big data and mathematical algorithms to predict consumer behavior and power hundreds of billions of customer decisions each year.</w:t>
      </w:r>
    </w:p>
    <w:p>
      <w:pPr>
        <w:spacing w:after="0" w:line="196"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We were founded in 1956 on the premise that data, used intelligently, can improve business decisions. Today, we help thousands of companies in over 100 countries use our decision management technology to target and acquire customers more efficiently, increase customer value, reduce fraud and credit losses, lower operating expenses, and enter new markets more profitably. Most leading banks and credit card issuers rely on our solutions, as do insurers, retailers, telecommunications providers, pharmaceutical companies, healthcare organizations, public agencies and organizations in other industries. We also serve consumers through online services that enable people to purchase and understand their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the standard measure in the U.S. of consumer credit risk, empowering them to manage their financial health.</w:t>
      </w:r>
    </w:p>
    <w:p>
      <w:pPr>
        <w:spacing w:after="0" w:line="20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More information about us can be found on our principal website, www.fico.com. We make our Annual Report on Form 10-K, our Quarterly Reports on Form 10-Q and our Current Reports on Form 8-K, as well as amendments to those reports, available free of charge through our website as soon as reasonably practicable after we electronically file them with the SEC. References to our website addresses in this report are provided as a convenience and do not constitute an incorporation by reference. Information on our website is not part of this report.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use analytics to help businesses automate, improve and connect decisions across their enterprise, an approach we commonly refer to as decision management. Most of our solutions address customer engagement, including customer acquisition, customer onboarding, customer servicing and management, and customer protection. We also help businesses improve non-customer decisions such as transaction and claims processing. Our solutions enable users to make decisions that are more precise, consistent and agile, and that systematically advance business goals. This helps our clients to reduce the cost of doing business, increase revenues and profitability, reduce losses from risks and fraud, and increase customer loyalty.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categorize our products and services into the following three operating segments: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Applications. </w:t>
      </w:r>
      <w:r>
        <w:rPr>
          <w:rFonts w:ascii="Arial" w:cs="Arial" w:eastAsia="Arial" w:hAnsi="Arial"/>
          <w:sz w:val="16"/>
          <w:szCs w:val="16"/>
          <w:color w:val="auto"/>
        </w:rPr>
        <w:t>This segment includes pre-configured decision management applications designed for a specific type of business problem or process</w:t>
      </w:r>
    </w:p>
    <w:p>
      <w:pPr>
        <w:spacing w:after="0" w:line="46" w:lineRule="exact"/>
        <w:rPr>
          <w:rFonts w:ascii="Arial" w:cs="Arial" w:eastAsia="Arial" w:hAnsi="Arial"/>
          <w:sz w:val="16"/>
          <w:szCs w:val="16"/>
          <w:color w:val="auto"/>
        </w:rPr>
      </w:pPr>
    </w:p>
    <w:p>
      <w:pPr>
        <w:jc w:val="both"/>
        <w:ind w:left="660"/>
        <w:spacing w:after="0" w:line="261" w:lineRule="auto"/>
        <w:rPr>
          <w:rFonts w:ascii="Arial" w:cs="Arial" w:eastAsia="Arial" w:hAnsi="Arial"/>
          <w:sz w:val="16"/>
          <w:szCs w:val="16"/>
          <w:color w:val="auto"/>
        </w:rPr>
      </w:pPr>
      <w:r>
        <w:rPr>
          <w:rFonts w:ascii="Arial" w:cs="Arial" w:eastAsia="Arial" w:hAnsi="Arial"/>
          <w:sz w:val="18"/>
          <w:szCs w:val="18"/>
          <w:color w:val="auto"/>
        </w:rPr>
        <w:t>— such as marketing, account origination, customer management, fraud, collections and insurance claims management — as well as associated professional services. These applications are available to our customers as on-premises software, and many are available as hosted, software-as-a-service (“SaaS”) applications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w:t>
      </w:r>
    </w:p>
    <w:p>
      <w:pPr>
        <w:spacing w:after="0" w:line="87" w:lineRule="exact"/>
        <w:rPr>
          <w:rFonts w:ascii="Arial" w:cs="Arial" w:eastAsia="Arial" w:hAnsi="Arial"/>
          <w:sz w:val="16"/>
          <w:szCs w:val="16"/>
          <w:color w:val="auto"/>
        </w:rPr>
      </w:pPr>
    </w:p>
    <w:p>
      <w:pPr>
        <w:jc w:val="both"/>
        <w:ind w:left="660" w:hanging="328"/>
        <w:spacing w:after="0" w:line="24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Scores</w:t>
      </w:r>
      <w:r>
        <w:rPr>
          <w:rFonts w:ascii="Arial" w:cs="Arial" w:eastAsia="Arial" w:hAnsi="Arial"/>
          <w:sz w:val="17"/>
          <w:szCs w:val="17"/>
          <w:color w:val="auto"/>
        </w:rPr>
        <w:t>. This segment includes our business-to-business scoring solutions and services, our business-to-consumer scoring solutions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myFICO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solutions for consumers, and associated professional services. Our scoring solutions give our clients access to analytics that can be easily integrated into their transaction streams and decision-making processes. Our scoring solutions are distributed through major credit reporting agencies worldwide, as well as services through which we provide our scores to clients directly.</w:t>
      </w:r>
    </w:p>
    <w:p>
      <w:pPr>
        <w:spacing w:after="0" w:line="200" w:lineRule="exact"/>
        <w:rPr>
          <w:rFonts w:ascii="Arial" w:cs="Arial" w:eastAsia="Arial" w:hAnsi="Arial"/>
          <w:sz w:val="17"/>
          <w:szCs w:val="17"/>
          <w:color w:val="auto"/>
        </w:rPr>
      </w:pPr>
    </w:p>
    <w:p>
      <w:pPr>
        <w:jc w:val="both"/>
        <w:ind w:left="660" w:hanging="328"/>
        <w:spacing w:after="0" w:line="24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Decision Management Software (formerly“Tools”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This segment is composed of analytic and decision management software tools that clients can</w:t>
      </w:r>
      <w:r>
        <w:rPr>
          <w:rFonts w:ascii="Arial" w:cs="Arial" w:eastAsia="Arial" w:hAnsi="Arial"/>
          <w:sz w:val="17"/>
          <w:szCs w:val="17"/>
          <w:i w:val="1"/>
          <w:iCs w:val="1"/>
          <w:color w:val="auto"/>
        </w:rPr>
        <w:t xml:space="preserve"> </w:t>
      </w:r>
      <w:r>
        <w:rPr>
          <w:rFonts w:ascii="Arial" w:cs="Arial" w:eastAsia="Arial" w:hAnsi="Arial"/>
          <w:sz w:val="17"/>
          <w:szCs w:val="17"/>
          <w:color w:val="auto"/>
        </w:rPr>
        <w:t>use to create their own custom decision management applications, our new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Management Suite, as well as associated professional services. These tools are available to our customers as on-premises software or through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Analytic Cloud.</w:t>
      </w:r>
    </w:p>
    <w:p>
      <w:pPr>
        <w:spacing w:after="0" w:line="98"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Comparative segment revenues, operating income and related financial information for fiscal 2016, 2015 and 2014 are set forth in Note 17 to the accompanying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solutions involve four fundamental disciplines:</w:t>
      </w:r>
    </w:p>
    <w:p>
      <w:pPr>
        <w:spacing w:after="0" w:line="225" w:lineRule="exact"/>
        <w:rPr>
          <w:sz w:val="20"/>
          <w:szCs w:val="20"/>
          <w:color w:val="auto"/>
        </w:rPr>
      </w:pPr>
    </w:p>
    <w:p>
      <w:pPr>
        <w:ind w:left="580" w:hanging="329"/>
        <w:spacing w:after="0" w:line="342"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Analytics, which include predictive analytics that identify risks and opportunities associated with individual customers, prospects and transactions, in order to detect patterns such as risk and fraud, as well as optimization analytics that are used to improve the design of decision logic or “strategies.”</w:t>
      </w:r>
    </w:p>
    <w:p>
      <w:pPr>
        <w:spacing w:after="0" w:line="123" w:lineRule="exact"/>
        <w:rPr>
          <w:rFonts w:ascii="Arial" w:cs="Arial" w:eastAsia="Arial" w:hAnsi="Arial"/>
          <w:sz w:val="16"/>
          <w:szCs w:val="16"/>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management and transaction profiling that bring extensive consumer information to every decision.</w:t>
      </w:r>
    </w:p>
    <w:p>
      <w:pPr>
        <w:spacing w:after="0" w:line="225" w:lineRule="exact"/>
        <w:rPr>
          <w:rFonts w:ascii="Arial" w:cs="Arial" w:eastAsia="Arial" w:hAnsi="Arial"/>
          <w:sz w:val="18"/>
          <w:szCs w:val="18"/>
          <w:color w:val="auto"/>
        </w:rPr>
      </w:pPr>
    </w:p>
    <w:p>
      <w:pPr>
        <w:ind w:left="58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Software such as decision management systems that implement business rules, models and decision strategies, often in a real-time environment, as well as software for managing customer engagement.</w:t>
      </w:r>
    </w:p>
    <w:p>
      <w:pPr>
        <w:spacing w:after="0" w:line="170"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Consulting services that help clients make the most of investments in FICO applications, tools and scores in the shortest possible time.</w:t>
      </w:r>
    </w:p>
    <w:p>
      <w:pPr>
        <w:spacing w:after="0" w:line="225"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8"/>
          <w:szCs w:val="18"/>
          <w:color w:val="auto"/>
        </w:rPr>
        <w:t>All of our solutions are designed to help businesses make decisions that are faster, more precise, more consistent and more agile, while reducing costs and risks incurred in making decisions. With the new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Management Platform and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Management Suite, we now offer clients an increasing portfolio of applications, tools and services in the cloud, which they can use to create, customize, deploy and manage powerful analytic services.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Applications</w:t>
      </w:r>
    </w:p>
    <w:p>
      <w:pPr>
        <w:spacing w:after="0" w:line="225" w:lineRule="exact"/>
        <w:rPr>
          <w:sz w:val="20"/>
          <w:szCs w:val="20"/>
          <w:color w:val="auto"/>
        </w:rPr>
      </w:pPr>
    </w:p>
    <w:p>
      <w:pPr>
        <w:jc w:val="both"/>
        <w:ind w:firstLine="230"/>
        <w:spacing w:after="0" w:line="239" w:lineRule="auto"/>
        <w:rPr>
          <w:sz w:val="20"/>
          <w:szCs w:val="20"/>
          <w:color w:val="auto"/>
        </w:rPr>
      </w:pPr>
      <w:r>
        <w:rPr>
          <w:rFonts w:ascii="Arial" w:cs="Arial" w:eastAsia="Arial" w:hAnsi="Arial"/>
          <w:sz w:val="18"/>
          <w:szCs w:val="18"/>
          <w:color w:val="auto"/>
        </w:rPr>
        <w:t>We develop industry-tailored decision management applications, which apply analytics, data management and decision management software to specific business challenges and processes. Our applications primarily serve clients in the banking, insurance, telecommunications, healthcare, retail and public sectors. During fiscal 2016, we continued to expand our product offerings for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 resulting in increased sales opportunities by accommodating small to mid-size businesses that benefit from the affordability and simplicity of cloud-based solutions. Within our Applications segment our fraud solutions accounted for 20%, 23% and 23% of total revenues in each of fiscal 2016, 2015 and 2014, respectively; our customer management solutions accounted for 9%, 9% and 10% of total revenues in each of these periods, respectively; and our customer communication services accounted for 9%, 8% and 8% of total revenues for each of these periods, respectively.</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 Applications</w:t>
      </w:r>
    </w:p>
    <w:p>
      <w:pPr>
        <w:spacing w:after="0" w:line="2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7"/>
          <w:szCs w:val="17"/>
          <w:color w:val="auto"/>
        </w:rPr>
        <w:t>The chief offerings for marketing are our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Analytic Offer Manager and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Customer Dialogue Manager. These solutions offer a suite of products, capabilities and services designed to integrate the technology and analytic services needed to perform context-sensitive customer acquisition, cross-selling and retention programs and deliver mathematically optimized offers. Our marketing solutions enable companies that offer multiple products and use multiple channels (companies such as large financial institutions, consumer branded goods companies, pharmaceutical companies, retail merchants and hospitality companies) to execute more efficient and profitable customer interactions. Services offered in our marketing solutions include customer data integration services; services that enable real-time marketing through direct consumer interaction channels; campaign management and optimization services; interactive tools that automate the design, execution and collection of customer response data across multiple channels; and customer data collection, management and profiling services.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Originations Applications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provide solutions that enable banks, credit unions, finance companies, alternative peer-to-peer and online lenders, auto lenders and other companies to automate and improve the processing of requests for credit or service. These solutions increase the speed and efficiency with which requests are handled, reduce losses and increase approval rates through analytics that assess applicant risk, and reduce the need for manual review by loan officers.</w:t>
      </w:r>
    </w:p>
    <w:p>
      <w:pPr>
        <w:spacing w:after="0" w:line="147" w:lineRule="exact"/>
        <w:rPr>
          <w:sz w:val="20"/>
          <w:szCs w:val="20"/>
          <w:color w:val="auto"/>
        </w:rPr>
      </w:pPr>
    </w:p>
    <w:p>
      <w:pPr>
        <w:jc w:val="both"/>
        <w:ind w:firstLine="243"/>
        <w:spacing w:after="0" w:line="219" w:lineRule="auto"/>
        <w:rPr>
          <w:sz w:val="20"/>
          <w:szCs w:val="20"/>
          <w:color w:val="auto"/>
        </w:rPr>
      </w:pPr>
      <w:r>
        <w:rPr>
          <w:rFonts w:ascii="Arial" w:cs="Arial" w:eastAsia="Arial" w:hAnsi="Arial"/>
          <w:sz w:val="17"/>
          <w:szCs w:val="17"/>
          <w:color w:val="auto"/>
        </w:rPr>
        <w:t>The latest version of our origination application, FICO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Origination Manager, is an application-to-decision processing solution, available both on premises and in the FICO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Analytic Cloud. Our other solutions include the web-based FICO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LiquidCredit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service, which is primarily focused on credit decisions and is offered largely to mid-tier banking institutions. We also offer custom and consortium-based credit risk and application fraud models.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Customer Management Applications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customer strategy management products and services enable businesses to automate and improve risk-based decisions for their existing customers. These solutions help businesses apply advanced analytics in account and customer decisions to increase portfolio revenue, decrease risk exposure and losses, and reduce customer attrition, while improving operational efficiencies.</w:t>
      </w:r>
    </w:p>
    <w:p>
      <w:pPr>
        <w:spacing w:after="0" w:line="181" w:lineRule="exact"/>
        <w:rPr>
          <w:sz w:val="20"/>
          <w:szCs w:val="20"/>
          <w:color w:val="auto"/>
        </w:rPr>
      </w:pPr>
    </w:p>
    <w:p>
      <w:pPr>
        <w:jc w:val="both"/>
        <w:ind w:firstLine="243"/>
        <w:spacing w:after="0" w:line="219" w:lineRule="auto"/>
        <w:rPr>
          <w:sz w:val="20"/>
          <w:szCs w:val="20"/>
          <w:color w:val="auto"/>
        </w:rPr>
      </w:pPr>
      <w:r>
        <w:rPr>
          <w:rFonts w:ascii="Arial" w:cs="Arial" w:eastAsia="Arial" w:hAnsi="Arial"/>
          <w:sz w:val="18"/>
          <w:szCs w:val="18"/>
          <w:color w:val="auto"/>
        </w:rPr>
        <w:t>We provide customer strategy management solutions for banking, telecommunications and retail. Our primary account and customer strategy management product is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TRIAD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Manager, a leading credit management system, available both on premises and in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 The solution is an adaptive control system, which enables businesses to rapidly adapt to changing business and internal conditions by designing and testing new strategies in a “champion/challenger” environment. The current version enables users to manage risk and communications at both the account and customer level from a single platform.</w:t>
      </w:r>
    </w:p>
    <w:p>
      <w:pPr>
        <w:spacing w:after="0" w:line="205"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We market and sell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TRIAD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Manager software licenses, maintenance, consulting services, and strategy design and evaluation. Additionally, we provide TRIAD services and similar credit account management services through third-party credit card processors worldwide, including two of the largest processors in the U.S.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Fraud and Security Management Applications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fraud management products improve our clients’ profitability by predicting the likelihood a given transaction or customer account is experiencing fraud. Our fraud products analyze transactions in real time and generate recommendations for immediate action, which is critical to stopping third-party fraud, as well as first-party fraud and deliberate misuse of account privileges.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solutions are designed to detect and prevent a wide variety of fraud and risk types across multiple industries, including credit and debit payment card fraud; e-payment fraud; deposit account fraud; healthcare fraud; Medicaid and Medicare fraud; and property and casualty insurance claims fraud, including workers' compensation fraud. FICO fraud solutions protect financial institutions, insurance companies and government agencies from losses and damaged customer relationships caused by fraud and related criminal behavior.</w:t>
      </w:r>
    </w:p>
    <w:p>
      <w:pPr>
        <w:spacing w:after="0" w:line="18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6"/>
          <w:szCs w:val="16"/>
          <w:color w:val="auto"/>
        </w:rPr>
        <w:t>Our leading fraud detection solution is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Falcon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Fraud Manager, recognized as a leader in global payment card fraud detection. Falcon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Fraud Manager examines transaction, cardholder, account, customer, device and merchant data to detect a wide range of payment card fraud quickly and accurately utilizing artificial intelligence technology. It analyzes payment transactions in real time, assesses the risk of fraud in a fraud score, and provides the ability for user-defined variables and rules strategies to be used in conjunction with the fraud score to prevent fraud while expediting legitimate transactions. Adaptive analytics, a form of self-learning models, can also be employed to accelerate our customers’ response to evolving fraud tactics.</w:t>
      </w:r>
    </w:p>
    <w:p>
      <w:pPr>
        <w:spacing w:after="0" w:line="180"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Fraud Predictor with Merchant Profiles is used in conjunction with Falcon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Fraud Manager on payment card monitoring for credit and debit to improve fraud detection rates through the inclusion of merchant profiles. Merchant profiles are built using fraud and transactional data that include characteristics revealing which merchants have a history of higher fraud volumes, and which purchase types and ticket sizes have most often been fraudulent at a particular merchant, among others.</w:t>
      </w:r>
    </w:p>
    <w:p>
      <w:pPr>
        <w:spacing w:after="0" w:line="202" w:lineRule="exact"/>
        <w:rPr>
          <w:sz w:val="20"/>
          <w:szCs w:val="20"/>
          <w:color w:val="auto"/>
        </w:rPr>
      </w:pPr>
    </w:p>
    <w:p>
      <w:pPr>
        <w:jc w:val="both"/>
        <w:ind w:firstLine="243"/>
        <w:spacing w:after="0" w:line="230" w:lineRule="auto"/>
        <w:rPr>
          <w:sz w:val="20"/>
          <w:szCs w:val="20"/>
          <w:color w:val="auto"/>
        </w:rPr>
      </w:pPr>
      <w:r>
        <w:rPr>
          <w:rFonts w:ascii="Arial" w:cs="Arial" w:eastAsia="Arial" w:hAnsi="Arial"/>
          <w:sz w:val="17"/>
          <w:szCs w:val="17"/>
          <w:color w:val="auto"/>
        </w:rPr>
        <w:t>In addition to our Falcon products, we offer a wide range of solutions focused on preventing and detecting a variety of financial crimes.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Application Fraud Manager helps businesses prevent both first- and third-party fraud during the application process. By preventing fraud prior to account origination we help our customers avoid future losses as well as unnecessary collections costs. Separately,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Card Alert Service prevents ATM debit fraud by identifying counterfeit payment cards and reporting them to issuers. The service analyzes daily transactions from participating networks, and uses this data to identify common points of compromise and suspect cards most likely to incur fraud.</w:t>
      </w:r>
    </w:p>
    <w:p>
      <w:pPr>
        <w:spacing w:after="0" w:line="206"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Insurance Fraud Manager uses advanced unsupervised predictive modeling techniques to detect health care claims fraud, abuse and errors as soon as unusual behavior patterns emerge. Insurance Fraud Manager is used by both public and private health care payers to detect and prevent fraud in both pre-and post-pay fraud investigation environments.</w:t>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FICO offers a comprehensive modular set of compliance solutions to fight money-laundering, terrorist financing, and to fulfill custom requirements for governance, risk and compliance. These solutions are based on the acquisition of TONBELLER Aktiengesellschaft (“TONBELLER”) combined with FICO’s legacy fraud analytics, such as those used in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Falcon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Fraud Manager.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6"/>
          <w:szCs w:val="16"/>
          <w:color w:val="auto"/>
        </w:rPr>
        <w:t>FICO’s cybersecurity products utilize predictive analytics to deliver enterprise-level risk assessments as well as prioritization of tactical cyber threat response. The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Enterprise Security Score, based on the acquisition of QuadMetrics, Inc. (“QuadMetrics”) in 2016, provides an empirically derived score that conveys the security posture of an organization and the likelihood of a material data breach in the next 12 months. The score is used to manage the cyber risk of an enterprise as well as risks introduced by trusted business partners. Separately,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Falcon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Cybersecurity Analytics utilizes advanced streaming self-learning models to help organizations detect and remediate cyber attacks by reducing the dwell time between when an attack occurs and when it is recognized. These products can be used independently or together as part of a comprehensive cyber risk management program.</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Collections &amp; Recovery Applications</w:t>
      </w:r>
    </w:p>
    <w:p>
      <w:pPr>
        <w:spacing w:after="0" w:line="225"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7"/>
          <w:szCs w:val="17"/>
          <w:color w:val="auto"/>
        </w:rPr>
        <w:t>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Debt Manager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solution and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PlacementsPlus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service automate the full cycle of collections and recovery, including early collections, late collections, asset disposal, agency placement, recovery, litigation, bankruptcy, asset management and residual balance recovery. PlacementsPlus service facilitates control over the distribution and management of accounts to agencies, attorneys, debt buyers and internal recovery departments. FICO Debt Management Solutions also include assessments, models and scores, predictive analytics, advanced customer engagement, optimization and speech analytics capabilities.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Debt Manager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available both on premises and in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Analytic Cloud.</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Customer Communication Services</w:t>
      </w:r>
    </w:p>
    <w:p>
      <w:pPr>
        <w:spacing w:after="0" w:line="225" w:lineRule="exact"/>
        <w:rPr>
          <w:sz w:val="20"/>
          <w:szCs w:val="20"/>
          <w:color w:val="auto"/>
        </w:rPr>
      </w:pPr>
    </w:p>
    <w:p>
      <w:pPr>
        <w:jc w:val="both"/>
        <w:ind w:firstLine="230"/>
        <w:spacing w:after="0" w:line="224" w:lineRule="auto"/>
        <w:rPr>
          <w:sz w:val="20"/>
          <w:szCs w:val="20"/>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Communication Services provides customer engagement, fraud resolution, and collections solutions in the cloud. It enables leading financial services institutions, utilities, telecommunications firms, insurers, and other businesses to engage in automated two-way communications. It allows businesses to reach customers in real time using short message service (“SMS”), mobile applications, automated voice, email and other channels; resolve matters such as verification of suspicious credit or debit card transactions; request missed payments; and resolve customer service issues.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Communication Services, combined with FICO’s decision management applications, allow businesses to execute and resolve customer interactions while improving customer outcomes.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Analytic Services</w:t>
      </w:r>
    </w:p>
    <w:p>
      <w:pPr>
        <w:spacing w:after="0" w:line="225"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perform custom predictive, descriptive and decision modeling and related analytic projects for clients in multiple industries to address business processes across the customer life cycle. This work leverages our analytic methodologies and expertise to solve risk management and marketing challenges for a single business, using that business’s data and industry best practices to develop a highly customized solution. Most of this work falls under predictive analytics, decision analysis and optimization, which provide greater insight into customer preferences and future customer behavior. Within decision analysis and optimization, we apply data and proprietary algorithms to the design of customer treatment strategies.</w:t>
      </w: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Scores</w:t>
      </w:r>
    </w:p>
    <w:p>
      <w:pPr>
        <w:spacing w:after="0" w:line="225" w:lineRule="exact"/>
        <w:rPr>
          <w:sz w:val="20"/>
          <w:szCs w:val="20"/>
          <w:color w:val="auto"/>
        </w:rPr>
      </w:pPr>
    </w:p>
    <w:p>
      <w:pPr>
        <w:jc w:val="both"/>
        <w:ind w:firstLine="243"/>
        <w:spacing w:after="0" w:line="220" w:lineRule="auto"/>
        <w:rPr>
          <w:sz w:val="20"/>
          <w:szCs w:val="20"/>
          <w:color w:val="auto"/>
        </w:rPr>
      </w:pPr>
      <w:r>
        <w:rPr>
          <w:rFonts w:ascii="Arial" w:cs="Arial" w:eastAsia="Arial" w:hAnsi="Arial"/>
          <w:sz w:val="17"/>
          <w:szCs w:val="17"/>
          <w:color w:val="auto"/>
        </w:rPr>
        <w:t>Our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Scores are used in the majority of U.S. credit decisions, by nearly all of the major banks, credit card organizations, mortgage lenders and auto loan originators. These credit scores, developed based on third-party data, provide a consistent and objective measure of an individual’s credit risk. Credit grantors use our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Scores in a variety of ways: to prescreen candidates for marketing programs; evaluate applicants for new credit; and manage existing customer accounts.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is a three-digit score ranging from 300—850. They are calculated by running data from the three U.S. national credit reporting agencies, TransUnion, Experian and Equifax, through one of several proprietary scoring models developed by FICO. Lenders generally pay the credit reporting agencies scoring fees based on usage, and the credit reporting agencies pay an associated fee to us.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9, the most recent version of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was released in early fiscal 2015.</w:t>
      </w:r>
    </w:p>
    <w:p>
      <w:pPr>
        <w:spacing w:after="0" w:line="105" w:lineRule="exact"/>
        <w:rPr>
          <w:sz w:val="20"/>
          <w:szCs w:val="20"/>
          <w:color w:val="auto"/>
        </w:rPr>
      </w:pPr>
    </w:p>
    <w:p>
      <w:pPr>
        <w:jc w:val="both"/>
        <w:ind w:firstLine="243"/>
        <w:spacing w:after="0" w:line="182" w:lineRule="auto"/>
        <w:rPr>
          <w:sz w:val="20"/>
          <w:szCs w:val="20"/>
          <w:color w:val="auto"/>
        </w:rPr>
      </w:pPr>
      <w:r>
        <w:rPr>
          <w:rFonts w:ascii="Arial" w:cs="Arial" w:eastAsia="Arial" w:hAnsi="Arial"/>
          <w:sz w:val="18"/>
          <w:szCs w:val="18"/>
          <w:color w:val="auto"/>
        </w:rPr>
        <w:t>While the core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 is the foundation of our scoring portfolio, we offer a number of other broad based scores, including several specific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Industry Scores. We also develop various custom scores for our financial services clients. In 2016 we introduced FICO</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Score XD, which expands the scorable population using alternative credit data. FICO</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Score XD looks at public records and property data, and a consumer’s history with mobile, landline phone and cable payments, to generate scores on the same 300—850 scale as standard FICO</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Scores. FICO</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Score XD is available to lenders from LexisNexis Risk Solutions and Equifax.</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183" w:lineRule="auto"/>
        <w:rPr>
          <w:sz w:val="20"/>
          <w:szCs w:val="20"/>
          <w:color w:val="auto"/>
        </w:rPr>
      </w:pPr>
      <w:r>
        <w:rPr>
          <w:rFonts w:ascii="Arial" w:cs="Arial" w:eastAsia="Arial" w:hAnsi="Arial"/>
          <w:sz w:val="18"/>
          <w:szCs w:val="18"/>
          <w:color w:val="auto"/>
        </w:rPr>
        <w:t>Outside the U.S., we offer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 for consumers, as well as for small and medium enterprises lending through credit reporting agencies in 12 countries worldwide. We have installed client-specific versions of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 in nine countries. Like FICO</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Scores in the U.S., these scores help lenders in multiple countries leverage the FICO</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Score’s predictive analysis to assess the risk of marketing prospects and credit applicants. FICO</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Scores are in use or being implemented in 20 different countries across five continents outside the U.S.</w:t>
      </w:r>
    </w:p>
    <w:p>
      <w:pPr>
        <w:spacing w:after="0" w:line="204" w:lineRule="exact"/>
        <w:rPr>
          <w:sz w:val="20"/>
          <w:szCs w:val="20"/>
          <w:color w:val="auto"/>
        </w:rPr>
      </w:pPr>
    </w:p>
    <w:p>
      <w:pPr>
        <w:jc w:val="both"/>
        <w:ind w:firstLine="243"/>
        <w:spacing w:after="0" w:line="213" w:lineRule="auto"/>
        <w:rPr>
          <w:sz w:val="20"/>
          <w:szCs w:val="20"/>
          <w:color w:val="auto"/>
        </w:rPr>
      </w:pPr>
      <w:r>
        <w:rPr>
          <w:rFonts w:ascii="Arial" w:cs="Arial" w:eastAsia="Arial" w:hAnsi="Arial"/>
          <w:sz w:val="18"/>
          <w:szCs w:val="18"/>
          <w:color w:val="auto"/>
        </w:rPr>
        <w:t>We also have scoring systems for insurance underwriters and marketers. They use the same underlying statistical technology as our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but are designed to predict applicant or policyholder insurance loss ratio for automobile or homeowners' coverage. Our insurance scores are available in the U.S. and Canada. We license credit bureau scoring services and related consulting directly to users in banking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PreScore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service for prescreening solicitation candidates.</w:t>
      </w:r>
    </w:p>
    <w:p>
      <w:pPr>
        <w:spacing w:after="0" w:line="203" w:lineRule="exact"/>
        <w:rPr>
          <w:sz w:val="20"/>
          <w:szCs w:val="20"/>
          <w:color w:val="auto"/>
        </w:rPr>
      </w:pPr>
    </w:p>
    <w:p>
      <w:pPr>
        <w:jc w:val="both"/>
        <w:ind w:right="20" w:firstLine="230"/>
        <w:spacing w:after="0" w:line="276" w:lineRule="auto"/>
        <w:rPr>
          <w:sz w:val="20"/>
          <w:szCs w:val="20"/>
          <w:color w:val="auto"/>
        </w:rPr>
      </w:pPr>
      <w:r>
        <w:rPr>
          <w:rFonts w:ascii="Arial" w:cs="Arial" w:eastAsia="Arial" w:hAnsi="Arial"/>
          <w:sz w:val="16"/>
          <w:szCs w:val="16"/>
          <w:color w:val="auto"/>
        </w:rPr>
        <w:t>We also provide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based products, education and information on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Scores to consumers. They are distributed directly by us through our myFICO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service and through licensed distribution partners, including Experian and certain lenders, for use in customer and noncustomer programs.</w:t>
      </w:r>
    </w:p>
    <w:p>
      <w:pPr>
        <w:spacing w:after="0" w:line="66" w:lineRule="exact"/>
        <w:rPr>
          <w:sz w:val="20"/>
          <w:szCs w:val="20"/>
          <w:color w:val="auto"/>
        </w:rPr>
      </w:pPr>
    </w:p>
    <w:p>
      <w:pPr>
        <w:jc w:val="both"/>
        <w:ind w:firstLine="230"/>
        <w:spacing w:after="0" w:line="197" w:lineRule="auto"/>
        <w:rPr>
          <w:sz w:val="20"/>
          <w:szCs w:val="20"/>
          <w:color w:val="auto"/>
        </w:rPr>
      </w:pPr>
      <w:r>
        <w:rPr>
          <w:rFonts w:ascii="Arial" w:cs="Arial" w:eastAsia="Arial" w:hAnsi="Arial"/>
          <w:sz w:val="17"/>
          <w:szCs w:val="17"/>
          <w:color w:val="auto"/>
        </w:rPr>
        <w:t>The myFICO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subscription offerings are available online at www.myfico.com. Consumers can use the myFICO.com website to purchase their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Scores, including credit reports associated with the scores, explanations of the factors affecting their scores, and customized information on how to manage their scores. We make available the 19 most widely used versions of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from the three major U.S. credit bureaus through our myFICO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service, representing approximately 95% of all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Scores sold and used by lenders. Customers can use products to simulate how taking specific actions would affect their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Consumers can also subscribe to monitoring services, which deliver alerts via email and text when changes to a user’s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Scores or other credit report content are detected. In addition, consumers can purchase identity theft monitoring products that alert consumers of potential risks of identity fraud with comprehensive detection, defense and identity restoration services.</w:t>
      </w: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225"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color w:val="auto"/>
        </w:rPr>
        <w:t>We provide analytic and decision management platforms and tools that businesses use to build their own tailored, analytically powered decision management applications on-premises, within the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Analytic Cloud or via third-party cloud environments such as Amazon Web Services. In contrast to our packaged applications developed for specific industry solutions, our tools platform adds scalable and flexible decision management capabilities to virtually any application or operational system. These tools are sold as licensed software, and can be used standalone, or in conjunction with third-party solutions to advance a client’s decision management initiatives. We use these tools as common software components for our own decision management solutions, described above in the Applications section. They are also key components of our decision management architecture. We also partner with third-party providers within given industry markets and with major software companies to embed our tools within existing applications.</w:t>
      </w:r>
    </w:p>
    <w:p>
      <w:pPr>
        <w:spacing w:after="0" w:line="180" w:lineRule="exact"/>
        <w:rPr>
          <w:sz w:val="20"/>
          <w:szCs w:val="20"/>
          <w:color w:val="auto"/>
        </w:rPr>
      </w:pPr>
    </w:p>
    <w:p>
      <w:pPr>
        <w:jc w:val="both"/>
        <w:ind w:firstLine="243"/>
        <w:spacing w:after="0" w:line="222" w:lineRule="auto"/>
        <w:rPr>
          <w:sz w:val="20"/>
          <w:szCs w:val="20"/>
          <w:color w:val="auto"/>
        </w:rPr>
      </w:pPr>
      <w:r>
        <w:rPr>
          <w:rFonts w:ascii="Arial" w:cs="Arial" w:eastAsia="Arial" w:hAnsi="Arial"/>
          <w:sz w:val="17"/>
          <w:szCs w:val="17"/>
          <w:color w:val="auto"/>
        </w:rPr>
        <w:t>During fiscal 2016, FICO continued to enhance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Management Suite, a collection of tools for building, extending, deploying and scaling applications and solutions. The Decision Management Suite includes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Management Platform, along with capabilities for building and customizing predictive analytic, decisioning, and optimization components and services; developing, orchestrating and publishing analytics-powered applications; and visualizing, analyzing and reporting data trends.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Management Suite is available in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Analytic Cloud and on-premises; businesses can choose either or both deployments depending on their specific needs, IT environments and other factors. In fiscal 2016, we upgraded and enhanced much of the functionality in the suite, including:</w:t>
      </w:r>
    </w:p>
    <w:p>
      <w:pPr>
        <w:spacing w:after="0" w:line="204" w:lineRule="exact"/>
        <w:rPr>
          <w:sz w:val="20"/>
          <w:szCs w:val="20"/>
          <w:color w:val="auto"/>
        </w:rPr>
      </w:pPr>
    </w:p>
    <w:p>
      <w:pPr>
        <w:ind w:left="660" w:hanging="328"/>
        <w:spacing w:after="0" w:line="21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Management Platform, the fundamental backbone of the Suite, to dramatically improve performance, data interchange, model tracking and user collaboration;</w:t>
      </w:r>
    </w:p>
    <w:p>
      <w:pPr>
        <w:spacing w:after="0" w:line="1" w:lineRule="exact"/>
        <w:rPr>
          <w:rFonts w:ascii="Arial" w:cs="Arial" w:eastAsia="Arial" w:hAnsi="Arial"/>
          <w:sz w:val="18"/>
          <w:szCs w:val="18"/>
          <w:color w:val="auto"/>
        </w:rPr>
      </w:pPr>
    </w:p>
    <w:p>
      <w:pPr>
        <w:ind w:left="660" w:right="40" w:hanging="328"/>
        <w:spacing w:after="0" w:line="20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Management Streaming (formerly known as Data Management Integration Platform) to improve scale, performance and versatility; and</w:t>
      </w:r>
    </w:p>
    <w:p>
      <w:pPr>
        <w:spacing w:after="0" w:line="1" w:lineRule="exact"/>
        <w:rPr>
          <w:rFonts w:ascii="Arial" w:cs="Arial" w:eastAsia="Arial" w:hAnsi="Arial"/>
          <w:sz w:val="18"/>
          <w:szCs w:val="18"/>
          <w:color w:val="auto"/>
        </w:rPr>
      </w:pPr>
    </w:p>
    <w:p>
      <w:pPr>
        <w:ind w:left="660" w:right="520" w:hanging="328"/>
        <w:spacing w:after="0" w:line="20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Central™ (formerly known as Model Central), an analytic and decision model management tool, to expand its versatility and usability across a much broader range of implementations and use cases.</w:t>
      </w:r>
    </w:p>
    <w:p>
      <w:pPr>
        <w:spacing w:after="0" w:line="203"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8"/>
          <w:szCs w:val="18"/>
          <w:color w:val="auto"/>
        </w:rPr>
        <w:t>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Management Suite combines big data, predictive analytics and decision execution together in an easy-to-use development environment. It enables organizations to rapidly create innovative analytic applications; dramatically increase developer and business user productivity with support for a broad range of analytic and decision tools; and execute decisions in real time. It also empowers business analysts and other domain experts to modify systems in real time without IT involvement, providing organizations with the agility they need to rapidly respond to customer, regulatory and business changes.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principal products offered are software tools for:</w:t>
      </w:r>
    </w:p>
    <w:p>
      <w:pPr>
        <w:spacing w:after="0" w:line="225" w:lineRule="exact"/>
        <w:rPr>
          <w:sz w:val="20"/>
          <w:szCs w:val="20"/>
          <w:color w:val="auto"/>
        </w:rPr>
      </w:pPr>
    </w:p>
    <w:p>
      <w:pPr>
        <w:jc w:val="both"/>
        <w:ind w:left="560" w:hanging="322"/>
        <w:spacing w:after="0" w:line="268"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Rules Management</w:t>
      </w:r>
      <w:r>
        <w:rPr>
          <w:rFonts w:ascii="Arial" w:cs="Arial" w:eastAsia="Arial" w:hAnsi="Arial"/>
          <w:sz w:val="16"/>
          <w:szCs w:val="16"/>
          <w:color w:val="auto"/>
        </w:rPr>
        <w:t>. The FICO</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Blaze Advisor</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 rules management system is used to design, develop, execute and maintain rules-based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applications. The Blaze Advisor system enables business users to propose and preview the impact of changes to decisioning logic, to review and approve proposed changes, and commit those changes to production decisioning, all without demanding IT cycles. The Blaze Advisor system is sold as an end-user tool and is also the rules engine within several of our decision management applications. The Blaze Advisor system, available in six languages, is a multi-platform solution that: embeds rules management within existing applications; supports Web Services and service-oriented architecture, Java 2 Enterprise Edition platforms, Microsoft .NET and COBOL for z/OS mainframes; and is the first rules engine to support Java,</w:t>
      </w:r>
    </w:p>
    <w:p>
      <w:pPr>
        <w:spacing w:after="0" w:line="1" w:lineRule="exact"/>
        <w:rPr>
          <w:rFonts w:ascii="Arial" w:cs="Arial" w:eastAsia="Arial" w:hAnsi="Arial"/>
          <w:sz w:val="16"/>
          <w:szCs w:val="16"/>
          <w:color w:val="auto"/>
        </w:rPr>
      </w:pPr>
    </w:p>
    <w:p>
      <w:pPr>
        <w:jc w:val="both"/>
        <w:ind w:left="560"/>
        <w:spacing w:after="0" w:line="229" w:lineRule="auto"/>
        <w:rPr>
          <w:rFonts w:ascii="Arial" w:cs="Arial" w:eastAsia="Arial" w:hAnsi="Arial"/>
          <w:sz w:val="16"/>
          <w:szCs w:val="16"/>
          <w:color w:val="auto"/>
        </w:rPr>
      </w:pPr>
      <w:r>
        <w:rPr>
          <w:rFonts w:ascii="Arial" w:cs="Arial" w:eastAsia="Arial" w:hAnsi="Arial"/>
          <w:sz w:val="18"/>
          <w:szCs w:val="18"/>
          <w:color w:val="auto"/>
        </w:rPr>
        <w:t>.NET and COBOL deployment of the same rules. It also incorporates the exclusive Rete III rules execution technology, which improves the efficiency and speed with which the Blaze Advisor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able to process and execute complex, high-volume decision rules. FICO’s solution for rules management in the cloud is called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Modeler.</w:t>
      </w:r>
    </w:p>
    <w:p>
      <w:pPr>
        <w:spacing w:after="0" w:line="103" w:lineRule="exact"/>
        <w:rPr>
          <w:rFonts w:ascii="Arial" w:cs="Arial" w:eastAsia="Arial" w:hAnsi="Arial"/>
          <w:sz w:val="16"/>
          <w:szCs w:val="16"/>
          <w:color w:val="auto"/>
        </w:rPr>
      </w:pPr>
    </w:p>
    <w:p>
      <w:pPr>
        <w:jc w:val="both"/>
        <w:ind w:left="560" w:hanging="322"/>
        <w:spacing w:after="0" w:line="211"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Predictive Modeling. </w:t>
      </w:r>
      <w:r>
        <w:rPr>
          <w:rFonts w:ascii="Arial" w:cs="Arial" w:eastAsia="Arial" w:hAnsi="Arial"/>
          <w:sz w:val="18"/>
          <w:szCs w:val="18"/>
          <w:color w:val="auto"/>
        </w:rPr>
        <w:t>FICO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Central</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comprehensive offering to help banks and other organizations, including insurance, retail and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care companies, maximize the power of their predictive and decision models and meet stricter regulations for model management. It complements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Model Builder, which enables the user to develop and deploy sophisticated predictive models for use in automated decisions. This software is based on the methodology and tools FICO uses to build both client-level and industry-level predictive models and scorecards, which we have developed over more than 40 years, and includes additional algorithms for rapidly discovering variable relationships, predictive interactions and optimal segmentation. The predictive models produced can be embedded in custom production applications or one of our Decision Management applications and can also be executed in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Blaze Advisor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FICO’s solution set for predictive modeling in the cloud is called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Modeler.</w:t>
      </w:r>
    </w:p>
    <w:p>
      <w:pPr>
        <w:spacing w:after="0" w:line="205" w:lineRule="exact"/>
        <w:rPr>
          <w:rFonts w:ascii="Arial" w:cs="Arial" w:eastAsia="Arial" w:hAnsi="Arial"/>
          <w:sz w:val="18"/>
          <w:szCs w:val="18"/>
          <w:color w:val="auto"/>
        </w:rPr>
      </w:pPr>
    </w:p>
    <w:p>
      <w:pPr>
        <w:jc w:val="both"/>
        <w:ind w:left="560" w:hanging="322"/>
        <w:spacing w:after="0" w:line="234" w:lineRule="auto"/>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Optimization. </w:t>
      </w:r>
      <w:r>
        <w:rPr>
          <w:rFonts w:ascii="Arial" w:cs="Arial" w:eastAsia="Arial" w:hAnsi="Arial"/>
          <w:sz w:val="17"/>
          <w:szCs w:val="17"/>
          <w:color w:val="auto"/>
        </w:rPr>
        <w:t>FICO</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Xpress Optimization Suite provides operations research professionals with world-class solvers and high-productivity tools to</w:t>
      </w:r>
      <w:r>
        <w:rPr>
          <w:rFonts w:ascii="Arial" w:cs="Arial" w:eastAsia="Arial" w:hAnsi="Arial"/>
          <w:sz w:val="17"/>
          <w:szCs w:val="17"/>
          <w:i w:val="1"/>
          <w:iCs w:val="1"/>
          <w:color w:val="auto"/>
        </w:rPr>
        <w:t xml:space="preserve"> </w:t>
      </w:r>
      <w:r>
        <w:rPr>
          <w:rFonts w:ascii="Arial" w:cs="Arial" w:eastAsia="Arial" w:hAnsi="Arial"/>
          <w:sz w:val="17"/>
          <w:szCs w:val="17"/>
          <w:color w:val="auto"/>
        </w:rPr>
        <w:t>quickly design and deliver custom, mathematically optimal solutions for a wide range of industry problems. Xpress includes a powerful modeling and programming language, with robust scalability, to quickly model and solve even the largest optimization problems. Xpress tools are licensed to end users, consultants and independent software vendors in several industries, and are a core component within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Optimizer. Decision Optimizer is a software tool that enables complex, large-scale optimizations involving dozens of networked action-effect models, and enables exploration and simulation of many optimized scenarios along an efficient frontier of options. The data-driven strategies produced by these tools can be executed by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Blaze Advisor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or one of our Decision Management applications. FICO’s solution for executing optimization services in the cloud is called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Optimization Modeler.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market for our advanced solutions is intensely competitive and is constantly changing. Our competitors vary in size and in the scope of the products and services they offer. We encounter competition from a number of sources, including:</w:t>
      </w:r>
    </w:p>
    <w:p>
      <w:pPr>
        <w:spacing w:after="0" w:line="170" w:lineRule="exact"/>
        <w:rPr>
          <w:sz w:val="20"/>
          <w:szCs w:val="20"/>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225"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225"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enterprise resource planning and customer relationship management packaged solutions providers;</w:t>
      </w:r>
    </w:p>
    <w:p>
      <w:pPr>
        <w:spacing w:after="0" w:line="225"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225"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225"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providers of credit reports and credit scores;</w:t>
      </w:r>
    </w:p>
    <w:p>
      <w:pPr>
        <w:spacing w:after="0" w:line="225"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providers of automated application processing services;</w:t>
      </w:r>
    </w:p>
    <w:p>
      <w:pPr>
        <w:spacing w:after="0" w:line="225"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225"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225"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60" w:hanging="32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providers of account/workflow management software;</w:t>
      </w:r>
    </w:p>
    <w:p>
      <w:pPr>
        <w:spacing w:after="0" w:line="225" w:lineRule="exact"/>
        <w:rPr>
          <w:rFonts w:ascii="Arial" w:cs="Arial" w:eastAsia="Arial" w:hAnsi="Arial"/>
          <w:sz w:val="18"/>
          <w:szCs w:val="18"/>
          <w:color w:val="auto"/>
        </w:rPr>
      </w:pPr>
    </w:p>
    <w:p>
      <w:pPr>
        <w:ind w:left="560" w:right="20" w:hanging="322"/>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software companies supplying modeling, rules, or analytic development tools; collections and recovery solutions providers; entity resolution and social network analysis solutions providers; and</w:t>
      </w:r>
    </w:p>
    <w:p>
      <w:pPr>
        <w:spacing w:after="0" w:line="170" w:lineRule="exact"/>
        <w:rPr>
          <w:rFonts w:ascii="Arial" w:cs="Arial" w:eastAsia="Arial" w:hAnsi="Arial"/>
          <w:sz w:val="18"/>
          <w:szCs w:val="18"/>
          <w:color w:val="auto"/>
        </w:rPr>
      </w:pPr>
    </w:p>
    <w:p>
      <w:pPr>
        <w:ind w:left="560" w:hanging="32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providers of cloud-based customer engagement and risk management solutions.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believe our competitors are unable to provide the mix of products, expertise in predictive analytics and their integration with decision management software, and enhanced customer management capabilities we are able to deliver. However, certain competitors may have larger shares of particular geographic or product markets than we do.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Applications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competition for our Applications varies by both application and industry.</w:t>
      </w:r>
    </w:p>
    <w:p>
      <w:pPr>
        <w:spacing w:after="0" w:line="22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 the marketing services market, we compete with Acxiom, Epsilon, Equifax, Experian, Harte-Hanks, InfoUSA, KnowledgeBase, Merkle and TargetBase, among others. We also compete with traditional advertising agencies and companies’ internal information technology and analytics departments.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customer origination market, we compete with Experian, Equifax, and CGI, among others.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customer strategy management market, we compete with Experian, among others.</w:t>
      </w:r>
    </w:p>
    <w:p>
      <w:pPr>
        <w:spacing w:after="0" w:line="225"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In the fraud management market for banking, we compete primarily with Actimize, a division of NICE Systems, Experian, Detica, a division of BAE, SAS and ACI Worldwide. In the fraud solutions market for health care insurance, we compete with Emdeon, OptumInsight, ViPS, MedStat, Detica, a division of BAE, SAS, Verisk Analytics and IBM. Verisk Analytics and SAS also compete in the property and casualty insurance claims fraud market.</w:t>
      </w:r>
    </w:p>
    <w:p>
      <w:pPr>
        <w:spacing w:after="0" w:line="1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collections and recovery market, we compete with both outside suppliers and in-house scoring and computer systems departments for software and ASP servicing. Major competitors include CGI, Experian, and various boutique firms, along with the three major U.S. credit reporting agencies and Experian-Scorex for scoring and optimization projects.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Scores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this segment, we compete with both outside suppliers and in-house analytics departments for scoring business. Primary competitors among outside suppliers of scoring models are the three major credit reporting agencies in the U.S. and Canada, which are also our partners in offering our scoring solutions, Experian, TransUnion and TransUnion International, Equifax, and VantageScore (a joint venture entity established by the major U.S. credit reporting agencies). Additional competitors include CRIF and other credit reporting agencies outside the U.S., and other data providers like LexisNexis and ChoicePoint, some of which also represent FICO partners.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our direct-to-consumer services that deliver credit scores, credit reports and consumer credit education services, we compete with other direct to consumer credit and identity services.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primary competitors in this segment include IBM, SAS, Pegasystems and Angoss.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believe the principal competitive factors affecting our markets include: technical performance; access to unique proprietary databases; availability in SaaS format; product attributes like adaptability, scalability, interoperability, functionality and ease-of-use; product price; customer service and support; the effectiveness of sales and marketing efforts; existing market penetration; and reputation. Although we believe our products and services compete favorably with respect to these factors, we may not be able to maintain our competitive position against current and future competitors.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MARKETS AND CUSTOMERS</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Our products and services serve clients in multiple industries, including primarily banking, insurance, retail, healthcare and public agencies. End users of our products include 98 of the 100 largest financial institutions in the U.S., and two-thirds of the largest 100 banks in the world. Our clients also include more than 700 insurers, including nine of the top ten U.S. property and casualty insurers; more than 400 retailers and general merchandisers, including more than one-third of the top 100 U.S. retailers; more than 150 government or public agencies; and more than 150 healthcare and pharmaceuticals companies, including seven of the world’s top ten pharmaceuticals companies. All of the top ten companies on the 2016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500 list use FICO’s solutions. In addition, our consumer services are marketed to an estimated 200 million U.S. consumers whose credit relationships are reported to the three major U.S. credit reporting agencies.</w:t>
      </w:r>
    </w:p>
    <w:p>
      <w:pPr>
        <w:spacing w:after="0" w:line="1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U.S., we market our products and services primarily through our own direct sales organization that is organized around vertical markets. Sales groups are based in our headquarters and in field offices strategically located both in and outside the U.S. We also market our products through indirect channels, including alliance partners and other resellers.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scores are marketed and sold through credit reporting agencies. During fiscal 2016, 2015 and 2014, revenues generated from our agreements with Equifax, TransUnion and Experian collectively accounted for 19%, 16% and 15% of our total revenues, respectively.</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Outside the U.S., we market our products and services primarily through our subsidiary sales organizations. Our subsidiaries license and support our products in their local countries as well as within other foreign countries where we do not operate through a direct sales subsidiary. We also market our products through resellers and independent distributors in international territories not covered by our subsidiaries' direct sales organizations.</w:t>
      </w:r>
    </w:p>
    <w:p>
      <w:pPr>
        <w:spacing w:after="0" w:line="16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largest market segments outside the U.S. are the United Kingdom and Canada. In addition, we have delivered products to users in more than 100 countries.</w:t>
      </w:r>
    </w:p>
    <w:p>
      <w:pPr>
        <w:spacing w:after="0" w:line="116"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color w:val="auto"/>
        </w:rPr>
        <w:t>Revenues from international customers, including end users and resellers, amounted to 36%, 40% and 42% of our total revenues in fiscal 2016, 2015 and 2014, respectively. See Note 17 to the accompanying consolidated financial statements for a summary of our operating segments and geographic information.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specialize in analytics software and decision management technologies that analyze data and drive decision strategies and customer engagement. We maintain active research in a number of fields for the purposes of deriving greater insight and predictive value from data, making various forms of data more usable and valuable to the model-building process, and automating and applying analytics to the various processes involved in making high-volume decisions in real time.</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widely recognized as a leader in predictive analytics due to our pioneering work in credit scoring and fraud detection. We believe that our tools and processes are among the very best commercially available, and that we are uniquely able to integrate advanced analytic, software and data technologies into mission-critical business solutions that offer superior returns on investment.</w:t>
      </w:r>
    </w:p>
    <w:p>
      <w:pPr>
        <w:spacing w:after="0" w:line="181" w:lineRule="exact"/>
        <w:rPr>
          <w:sz w:val="20"/>
          <w:szCs w:val="20"/>
          <w:color w:val="auto"/>
        </w:rPr>
      </w:pPr>
    </w:p>
    <w:p>
      <w:pPr>
        <w:jc w:val="both"/>
        <w:ind w:firstLine="230"/>
        <w:spacing w:after="0" w:line="235" w:lineRule="auto"/>
        <w:rPr>
          <w:sz w:val="20"/>
          <w:szCs w:val="20"/>
          <w:color w:val="auto"/>
        </w:rPr>
      </w:pPr>
      <w:r>
        <w:rPr>
          <w:rFonts w:ascii="Arial" w:cs="Arial" w:eastAsia="Arial" w:hAnsi="Arial"/>
          <w:sz w:val="17"/>
          <w:szCs w:val="17"/>
          <w:color w:val="auto"/>
        </w:rPr>
        <w:t>In fiscal 2016, we continued to make progress with our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Analytic Cloud and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Management Platform initiatives. We have made many of our software solutions, which were previously available only as on-premises software installations, into SaaS solutions hosted on our cloud.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Management Suite enables clients to use FICO tools, along with rapid application development tools and visualization tools, to quickly develop their own decision management applications and services. We continue to add functionality to the platform as well as host additional FICO applications in the cloud. These ongoing initiatives are driven by enhancing our core technical capabilities listed below, and extending them through partnerships with other technology providers as well as through employing open source software.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Areas of Expertise</w:t>
      </w:r>
    </w:p>
    <w:p>
      <w:pPr>
        <w:spacing w:after="0" w:line="22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i w:val="1"/>
          <w:iCs w:val="1"/>
          <w:color w:val="auto"/>
        </w:rPr>
        <w:t xml:space="preserve">Predictive Modeling. </w:t>
      </w:r>
      <w:r>
        <w:rPr>
          <w:rFonts w:ascii="Arial" w:cs="Arial" w:eastAsia="Arial" w:hAnsi="Arial"/>
          <w:sz w:val="16"/>
          <w:szCs w:val="16"/>
          <w:color w:val="auto"/>
        </w:rPr>
        <w:t>Predictive modeling identifies and mathematically represents underlying relationships in historical data in order to explain the data</w:t>
      </w:r>
      <w:r>
        <w:rPr>
          <w:rFonts w:ascii="Arial" w:cs="Arial" w:eastAsia="Arial" w:hAnsi="Arial"/>
          <w:sz w:val="16"/>
          <w:szCs w:val="16"/>
          <w:i w:val="1"/>
          <w:iCs w:val="1"/>
          <w:color w:val="auto"/>
        </w:rPr>
        <w:t xml:space="preserve"> </w:t>
      </w:r>
      <w:r>
        <w:rPr>
          <w:rFonts w:ascii="Arial" w:cs="Arial" w:eastAsia="Arial" w:hAnsi="Arial"/>
          <w:sz w:val="16"/>
          <w:szCs w:val="16"/>
          <w:color w:val="auto"/>
        </w:rPr>
        <w:t>and make predictions or classifications about future events. Our models summarize large quantities of data to amplify its value. Predictive models typically analyze current and historical data on individuals to produce easily understood metrics such as scores. These scores rank-order individuals by likely future performance, e.g., their likelihood of making credit payments on time, or of responding to a particular offer for services. We also include in this category models that detect the likelihood of a transaction being fraudulent. Our predictive models are frequently operationalized in mission-critical transactional systems and drive decisions and actions in near real time. A number of analytic methodologies underlie our products in this area. These include proprietary applications of both linear and nonlinear mathematical programming algorithms, in which one objective is optimized within a set of constraints, and advanced neural systems, which learn complex patterns from large data sets to predict the probability that a new individual will exhibit certain behaviors of business interest. We also apply various related statistical techniques for analysis and pattern detection within large datasets, and have enhanced our abilities to derive insights and predictive variables from various forms of so-called big data, including unstructured data, such as text.</w:t>
      </w:r>
    </w:p>
    <w:p>
      <w:pPr>
        <w:spacing w:after="0" w:line="16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i w:val="1"/>
          <w:iCs w:val="1"/>
          <w:color w:val="auto"/>
        </w:rPr>
        <w:t xml:space="preserve">Decision Analysis and Optimization. </w:t>
      </w:r>
      <w:r>
        <w:rPr>
          <w:rFonts w:ascii="Arial" w:cs="Arial" w:eastAsia="Arial" w:hAnsi="Arial"/>
          <w:sz w:val="17"/>
          <w:szCs w:val="17"/>
          <w:color w:val="auto"/>
        </w:rPr>
        <w:t>Decision analysis refers to the broad quantitative field that deals with modeling, analyzing and optimizing decisions</w:t>
      </w:r>
      <w:r>
        <w:rPr>
          <w:rFonts w:ascii="Arial" w:cs="Arial" w:eastAsia="Arial" w:hAnsi="Arial"/>
          <w:sz w:val="17"/>
          <w:szCs w:val="17"/>
          <w:i w:val="1"/>
          <w:iCs w:val="1"/>
          <w:color w:val="auto"/>
        </w:rPr>
        <w:t xml:space="preserve"> </w:t>
      </w:r>
      <w:r>
        <w:rPr>
          <w:rFonts w:ascii="Arial" w:cs="Arial" w:eastAsia="Arial" w:hAnsi="Arial"/>
          <w:sz w:val="17"/>
          <w:szCs w:val="17"/>
          <w:color w:val="auto"/>
        </w:rPr>
        <w:t>made by individuals, groups and organizations. Whereas predictive models analyze multiple aspects of individual behavior to forecast future behavior, decision analysis analyzes multiple aspects of a given decision to identify the most effective action to take to reach a desired result. We have developed an integrated approach to decision analysis that incorporates the development of a decision model that mathematically maps the entire decision structure; proprietary optimization technology that identifies the most effective strategies, given both the performance objective and constraints; the development of designed testing required for active, continuous learning; and the robust extrapolation of an optimized strategy to a wider set of scenarios than historically encountered. Our optimization capabilities also include a proprietary mathematical modeling and programming language, an easy-to-use development environment, and a state-of-the-art set of optimization algorithms.</w:t>
      </w:r>
    </w:p>
    <w:p>
      <w:pPr>
        <w:spacing w:after="0" w:line="1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i w:val="1"/>
          <w:iCs w:val="1"/>
          <w:color w:val="auto"/>
        </w:rPr>
        <w:t xml:space="preserve">Transaction Profiling. </w:t>
      </w:r>
      <w:r>
        <w:rPr>
          <w:rFonts w:ascii="Arial" w:cs="Arial" w:eastAsia="Arial" w:hAnsi="Arial"/>
          <w:sz w:val="16"/>
          <w:szCs w:val="16"/>
          <w:color w:val="auto"/>
        </w:rPr>
        <w:t>Transaction profiling is a patent-protected technique used to extract meaningful information and reduce the complexity of</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data used in modeling. Many of our products operate using transactional data, such as credit card purchase transactions, or other types of data that change over time. In its raw form, this data is very difficult to use in predictive models for several reasons. First, an isolated transaction contains very little information about the behavior of the individual who generated the transaction. In addition, transaction patterns change rapidly over time. Finally, this type of data can often be highly complex. To overcome these issues, we have developed a set of techniques that transform raw transactional data into a mathematical representation that reveals latent information, and which make the data more usable by predictive models. This profiling technology accumulates data across multiple transactions of many types to create and update profiles of transaction patterns. These profiles enable our neural network models to efficiently and effectively make accurate assessments of, for example, fraud risk and credit risk within real-time transaction streams.</w:t>
      </w:r>
    </w:p>
    <w:p>
      <w:pPr>
        <w:spacing w:after="0" w:line="16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 xml:space="preserve">Customer Data Integration. </w:t>
      </w:r>
      <w:r>
        <w:rPr>
          <w:rFonts w:ascii="Arial" w:cs="Arial" w:eastAsia="Arial" w:hAnsi="Arial"/>
          <w:sz w:val="17"/>
          <w:szCs w:val="17"/>
          <w:color w:val="auto"/>
        </w:rPr>
        <w:t>Decisions made on customers or prospects can benefit from data stored in multiple sources, both inside and outside the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 We have focused on developing data integration processes that are able to assemble and integrate those disparate data sources into a unified view of the customer or household, through the application of persistent keying technology. This data can include structured or unstructured data. Recent innovations include a solution that can integrate multiple data sources in real time and make them available for analysis and decisions.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Decision Management Software. </w:t>
      </w:r>
      <w:r>
        <w:rPr>
          <w:rFonts w:ascii="Arial" w:cs="Arial" w:eastAsia="Arial" w:hAnsi="Arial"/>
          <w:sz w:val="16"/>
          <w:szCs w:val="16"/>
          <w:color w:val="auto"/>
        </w:rPr>
        <w:t>In order to make a decision strategy operational, various steps and rules need to be programmed or exported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business's software infrastructure, where they can communicate with front-end, customer-facing systems and back-end systems such as billing systems. We have developed software systems, sometimes known as decision engines and decision rules management systems, which perform the necessary functions to execute a decision strategy. Our software includes very efficient programs for these functions, facilitating, for example, business user definition of extremely complex decision strategies using graphical user interfaces; simultaneous testing of hundreds of decision strategies in “champion/challenger” (test/control) mode; high-volume processing and analysis of transactions in real time; integration of multiple data sources; and execution of predictive models for improved behavior forecasts and finer segmentation. Decision management software is an integral part of our decision management applications, described earlier.</w:t>
      </w:r>
    </w:p>
    <w:p>
      <w:pPr>
        <w:spacing w:after="0" w:line="16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i w:val="1"/>
          <w:iCs w:val="1"/>
          <w:color w:val="auto"/>
        </w:rPr>
        <w:t>Customer Engagement</w:t>
      </w:r>
      <w:r>
        <w:rPr>
          <w:rFonts w:ascii="Arial" w:cs="Arial" w:eastAsia="Arial" w:hAnsi="Arial"/>
          <w:sz w:val="18"/>
          <w:szCs w:val="18"/>
          <w:color w:val="auto"/>
        </w:rPr>
        <w:t>. We have advanced technology for customer engagement, which enables the execution of decisions and customer contact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SMS, email, automated voice, mobile applications and other channels. This technology enables FICO to extend decision management beyond the rendering of the decision to the final resolution with a customer, using the most effective method of communication for a given event and customer. Integrating this technology with our decision management systems has proven to decrease costs, improve staff efficiency, increase customer satisfaction and improve the return from marketing, fraud and collections activities.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i w:val="1"/>
          <w:iCs w:val="1"/>
          <w:color w:val="auto"/>
        </w:rPr>
        <w:t xml:space="preserve">Social Network Analysis. </w:t>
      </w:r>
      <w:r>
        <w:rPr>
          <w:rFonts w:ascii="Arial" w:cs="Arial" w:eastAsia="Arial" w:hAnsi="Arial"/>
          <w:sz w:val="18"/>
          <w:szCs w:val="18"/>
          <w:color w:val="auto"/>
        </w:rPr>
        <w:t>We have advanced technology for identity resolution and social network analysis, which enables users to understand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between their organization, customers, events, and third-party actors. Businesses can perform real-time searches across their enterprise data to find, match, and link similar entities and uncover hidden relationship between people, places and things. This technology complements FICO’s capabilities in the area of fraud and marketing analytics.</w:t>
      </w:r>
    </w:p>
    <w:p>
      <w:pPr>
        <w:spacing w:after="0" w:line="187" w:lineRule="exact"/>
        <w:rPr>
          <w:sz w:val="20"/>
          <w:szCs w:val="20"/>
          <w:color w:val="auto"/>
        </w:rPr>
      </w:pPr>
    </w:p>
    <w:p>
      <w:pPr>
        <w:jc w:val="both"/>
        <w:ind w:firstLine="230"/>
        <w:spacing w:after="0" w:line="316" w:lineRule="auto"/>
        <w:rPr>
          <w:sz w:val="20"/>
          <w:szCs w:val="20"/>
          <w:color w:val="auto"/>
        </w:rPr>
      </w:pPr>
      <w:r>
        <w:rPr>
          <w:rFonts w:ascii="Arial" w:cs="Arial" w:eastAsia="Arial" w:hAnsi="Arial"/>
          <w:sz w:val="16"/>
          <w:szCs w:val="16"/>
          <w:i w:val="1"/>
          <w:iCs w:val="1"/>
          <w:color w:val="auto"/>
        </w:rPr>
        <w:t xml:space="preserve">Cybersecurity. </w:t>
      </w:r>
      <w:r>
        <w:rPr>
          <w:rFonts w:ascii="Arial" w:cs="Arial" w:eastAsia="Arial" w:hAnsi="Arial"/>
          <w:sz w:val="16"/>
          <w:szCs w:val="16"/>
          <w:color w:val="auto"/>
        </w:rPr>
        <w:t>We continue to seek projects in the cybersecurity and security information and event management space that leverage FICO’s streaming</w:t>
      </w:r>
      <w:r>
        <w:rPr>
          <w:rFonts w:ascii="Arial" w:cs="Arial" w:eastAsia="Arial" w:hAnsi="Arial"/>
          <w:sz w:val="16"/>
          <w:szCs w:val="16"/>
          <w:i w:val="1"/>
          <w:iCs w:val="1"/>
          <w:color w:val="auto"/>
        </w:rPr>
        <w:t xml:space="preserve"> </w:t>
      </w:r>
      <w:r>
        <w:rPr>
          <w:rFonts w:ascii="Arial" w:cs="Arial" w:eastAsia="Arial" w:hAnsi="Arial"/>
          <w:sz w:val="16"/>
          <w:szCs w:val="16"/>
          <w:color w:val="auto"/>
        </w:rPr>
        <w:t>analytics, transaction profiling and unsupervised modeling technologies. These technologies include those successfully leveraged by our fraud management systems, including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Falcon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Fraud Manager, and new methods we believe to be unique approaches for detecting certain types of cyber security threats.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research and development expenses were $103.7 million, $98.8 million and $83.4 million in fiscal 2016, 2015 and 2014, respectively. We believe that our future success depends on our ability to continually maintain and improve our core technologies, enhance our existing products, and develop new products and technologies that meet an expanding range of markets and customer requirements. In the development of new products and enhancements to existing products, we use our own development tools extensively.</w:t>
      </w:r>
    </w:p>
    <w:p>
      <w:pPr>
        <w:spacing w:after="0" w:line="1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have traditionally relied primarily on the internal development of our products. Based on timing and cost considerations; however, we have acquired, and in the future may consider acquiring, technology or products from third parties.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PROTECTION AND TRADEMARKS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rely on a combination of patent, copyright, trademark and trade secret laws and confidentiality agreements and procedures to protect our proprietary rights.</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retain the title to and protect the suite of models and software used to develop scoring models as a trade secret. We also restrict access to our source code and limit access to and distribution of our software, documentation and other proprietary information. We have generally relied upon the laws protecting trade secrets and upon contractual nondisclosure safeguards and restrictions on transferability to protect our software and proprietary interests in our product and service methodology and know-how. Our confidentiality procedures include invention assignment and proprietary information agreements with our employees and independent contractors, and nondisclosure agreements with our distributors, strategic partners and customers. We also claim copyright protection for certain proprietary software and documentation.</w:t>
      </w:r>
    </w:p>
    <w:p>
      <w:pPr>
        <w:spacing w:after="0" w:line="13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have patents on many of our technologies and have patent applications pending on other technologies. The patents we hold may not be upheld as valid and may not prevent the development of competitive products. In addition, patents may never be issued on our pending patent applications or on any future applications that we may submit. We currently hold 156 U.S. and 15 foreign patents with 93 applications pending.</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Despite our precautions, it may be possible for competitors or users to copy or reproduce aspects of our software or to obtain information that we regard as trade secrets. In addition, the laws of some foreign countries do not protect proprietary rights to the same extent as do the laws of the U.S. Patents and other protections for our intellectual property are important, but we believe our success and growth will depend principally on such factors as the knowledge, ability, experience and creative skills of our personnel, new products, frequent product enhancements and name recognition.</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developed technologies for research projects conducted under agreements with various U.S. government agencies or their subcontractors. Although we have acquired commercial rights to these technologies, the U.S. government typically retains ownership of intellectual property rights and licenses in the technologies that we develop under these contracts. In some cases, the U.S. government can terminate our rights to these technologies if we fail to commercialize them on a timely basis. In addition, under U.S. government contracts, the government may make the results of our research public, which could limit our competitive advantage with respect to future products based on funded research.</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used, registered and/or applied to register certain trademarks and service marks for our technologies, products and services. We currently have 40 trademarks registered in the U.S. and select foreign countries.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PERSONNEL</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September 30, 2016, we employed 3,088 persons worldwide. Of these, 169 full-time employees were located in our San Jose, California office, 341 full-time employees were located in our San Diego, California office, 195 full-time employees were located in our Roseville, Minnesota office, 189 full-time employees were located in our San Rafael, California office, 146 full-time employees were located in our Fairfax, Virginia office, 630 full-time employees were located in our India-based offices and 321 full-time employees were located in our United Kingdom-based offices. None of our employees are covered by a collective bargaining agreement other than to the extent mandated by applicable law in certain foreign jurisdictions, and no work stoppages have been experienced.</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Information regarding our executive officers is included in Item 10, </w:t>
      </w:r>
      <w:r>
        <w:rPr>
          <w:rFonts w:ascii="Arial" w:cs="Arial" w:eastAsia="Arial" w:hAnsi="Arial"/>
          <w:sz w:val="18"/>
          <w:szCs w:val="18"/>
          <w:i w:val="1"/>
          <w:iCs w:val="1"/>
          <w:color w:val="auto"/>
        </w:rPr>
        <w:t>Directors, Executive Officers and Corporate Governance</w:t>
      </w:r>
      <w:r>
        <w:rPr>
          <w:rFonts w:ascii="Arial" w:cs="Arial" w:eastAsia="Arial" w:hAnsi="Arial"/>
          <w:sz w:val="18"/>
          <w:szCs w:val="18"/>
          <w:color w:val="auto"/>
        </w:rPr>
        <w:t>,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continue to expand the pursuit of our Decision Management strategy, and we may not be successful, which could cause our growth prospects and results of operations to suffer.</w:t>
      </w:r>
    </w:p>
    <w:p>
      <w:pPr>
        <w:spacing w:after="0" w:line="170"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continue to expand the pursuit of our business objective to become a leader in helping businesses automate and improve decisions across their enterprises, an approach that we commonly refer to as Decision Management, or “DM.” Our DM strategy is designed to enable us to increase our business by selling multiple products to clients, as well as to enable the development of custom client solutions that may lead to opportunities to develop new proprietary scores or other new proprietary products. The market may be unreceptive to this general DM business approach, including being unreceptive to purchasing multiple products from us or unreceptive to our customized solutions. If our DM strategy is not successful, we may not be able to grow our business, growth may occur more slowly than we anticipate, or our revenues and profits may decline.</w:t>
      </w:r>
    </w:p>
    <w:p>
      <w:pPr>
        <w:spacing w:after="0" w:line="17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expect that revenues derived from our scoring solutions, fraud solutions, customer management solutions and tools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70"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Our growth and the success of our DM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183" w:lineRule="exact"/>
        <w:rPr>
          <w:sz w:val="20"/>
          <w:szCs w:val="20"/>
          <w:color w:val="auto"/>
        </w:rPr>
      </w:pPr>
    </w:p>
    <w:p>
      <w:pPr>
        <w:jc w:val="both"/>
        <w:ind w:left="180"/>
        <w:spacing w:after="0" w:line="327"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credit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14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Most of our customers are relatively large enterprises, such as banks, credit card processors, insurance companies, healthcare firms, retailers and public agencies. As a result, many of our customers and potential customers are significantly larger than we are and may have sufficient bargaining power to demand reduced prices and favorable nonstandard terms.</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the U.S. and other key international economies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European Union continues to face great economic uncertainty which could impact the overall world economy or various other regional economies. The potential for economic disruption presents considerable risks to our business, including potential bankruptcies or credit deterioration of financial institutions with which we have substantial relationships. Such disruption could result in a decline in the volume of transactions that we execute for our customers.</w:t>
      </w:r>
    </w:p>
    <w:p>
      <w:pPr>
        <w:spacing w:after="0" w:line="19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6"/>
          <w:szCs w:val="16"/>
          <w:color w:val="auto"/>
        </w:rPr>
        <w:t>We also derive a substantial portion of our revenues and operating income from our contracts with the three major credit reporting agencies, TransUnion, Equifax and Experian, and other parties that distribute our products to certain markets. The loss of or a significant change in a relationship with one of these credit reporting agencies with respect to their distribution of our products or with respect to our myFICO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offerings, the loss of or a significant change in a relationship with a major customer, the loss of or a significant change in a relationship with a significant third-party distributor (including credit card processors), or the delay of significant revenues from these sources, could have a material adverse effect on our revenues and results of operations.</w:t>
      </w:r>
    </w:p>
    <w:p>
      <w:pPr>
        <w:spacing w:after="0" w:line="180"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our future revenues may be adversely affected.</w:t>
      </w:r>
    </w:p>
    <w:p>
      <w:pPr>
        <w:spacing w:after="0" w:line="170"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Most of our products rely on distributors, and we intend to continue to market and distribute our products through existing and future distributor relationships. Our Scores segment relies on, among others, TransUnion, Equifax and Experian. Failure of our existing and future distributors to generate significant revenues,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TransUnion, Equifax and Experian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Our acquisition and divestiture activities may disrupt our ongoing business and may involve increased expenses, and we may not realize the financial and strategic goals contemplated at the time of a transaction.</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jc w:val="both"/>
        <w:ind w:left="660" w:hanging="328"/>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claims or liabilities we assume from an acquired company, business, product or technology, including claims by government agencies, terminated employees, current or former customers, former stockholders or other third parties; pre-existing contractual relationships of an acquired company we would not have otherwise entered into; unfavorable revenue recognition or other accounting treatment as a result of an acquired company’s practices; and intellectual property claims or disputes;</w:t>
      </w:r>
    </w:p>
    <w:p>
      <w:pPr>
        <w:jc w:val="both"/>
        <w:ind w:left="660" w:hanging="328"/>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fail to identify or assess the magnitude of certain liabilities or other circumstances prior to acquiring a company, business, product or technology, which could result in unexpected litigation or regulatory exposure, unfavorable accounting treatment, unexpected increases in taxes due, a loss of anticipated tax benefits or other adverse effects on our business, operating results or financial condition;</w:t>
      </w: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realize the anticipated increase in our revenues from an acquisition for a number of reasons, including if a larger than predicted number of customers decline to renew their contracts, if we are unable to sell the acquired products to our customer base or if contract models of an acquired company do not allow us to recognize revenues on a timely basis;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have difficulty incorporating acquired technologies or products with our existing product lines and maintaining uniform standards, architecture, controls, procedures and policies;</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 and</w:t>
      </w: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additional or unexpected changes in how we are required to account for our acquisitions pursuant to U.S. generally accepted accounting principles, including arrangements we assume from an acquisition.</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also divested ourselves of businesses in the past and may do so again in the future. Divestitures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liabilities, legal risks and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distraction of management from our ongoing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relationships with employees and customers as a result of migrating a business to new owners.</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acquisitions and divestitures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business combination accounting standards, we recognize the identifiable assets acquired and the liabilities assumed in acquired companies generally at their acquisition-date fair values and separately from goodwill. Goodwill is measured as the excess amount of consideration transferred, which is also generally measured at fair value, and the net of the amounts of the identifiable assets acquired and the liabilities assumed as of the acquisition date.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goodwill or intangible assets, or a reduction in the useful lives of intangible assets acquired;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 both income tax and non-income tax related, after our final determination of the amounts for these contingencies or the conclusion of the measurement period (generally up to one year from the acquisition date), whichever comes first;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charges to our operating results to maintain certain duplicative pre-merger activities for an extended period of time or to maintain these activities for a period of time that is longer than we had anticipated, charges to eliminate certain duplicative pre-merger activities, and charges to restructure our operations or to reduce our cost structure;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these costs will be accounted for as expenses that will decrease our net income and earnings per share for the periods in which those costs are incurred. Charges to our operating results in any given period could differ substantially from other periods based on the timing and size of our future acquisitions and the extent of integration activities. A more detailed discussion of our accounting for business combinations and other items is presented in the “Critical Accounting Policies and Estimates” section of Management’s Discussion and Analysis of Financial Condition and Results of Operations (Item 7).</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reengineering initiative may cause our growth prospects and profitability to suffer.</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As part of our management approach, we implemented an ongoing reengineering initiative designed to grow revenues through strategic resource allocation and improve profitability through cost reductions. Our reengineering initiative may not be successful over the long term as a result of our failure to reduce expenses at the anticipated level, or a lower, or no, positive impact on revenues from strategic resource allocation. If our reengineering initiative is not successful over the long term, our revenues, results of operations and business may suffer.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occurrence of certain negative events may cause fluctuations in our stock price.</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market price of our common stock may be volatile and could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or customer dissatisfaction with, or problems caused by, the performance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competitive and other conditions in the consumer credit, banking and insurance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domestic and international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complete large installations on schedule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1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addition,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70"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licensing our products typically ranges from 60 days to 18 months.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178" w:lineRule="exact"/>
        <w:rPr>
          <w:sz w:val="20"/>
          <w:szCs w:val="20"/>
          <w:color w:val="auto"/>
        </w:rPr>
      </w:pPr>
    </w:p>
    <w:p>
      <w:pPr>
        <w:ind w:left="180" w:right="700"/>
        <w:spacing w:after="0" w:line="277"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7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Large portions of our software license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25"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customer service and technical support personnel to assist customers with product installation and deployment.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25"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alliances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alliances, or if they decline to provide such data due to privacy concerns, competition concerns, prohibitions or a lack of permission from their customers or partners, we could lose access to required data and our products, and the development of new products, might become less effective. Third parties have asserted copyright and other intellectual property interests in these data, and these assertions, if successful, could prevent us from using these data. Any interruption of our supply of data could seriously harm our business, financial condition or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225"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6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 party claiming infringement, which license may not be available or might require substantial royalties or license fees that would reduce our margins.</w:t>
      </w:r>
    </w:p>
    <w:p>
      <w:pPr>
        <w:spacing w:after="0" w:line="18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188"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our 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181"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Our business requires the storage, transmission and utilization of sensitive consumer and customer information. Many of our products are provided by us through the Internet. Security breaches could expose us to a risk of loss, the unauthorized disclosure of consumer or customer information, litigation, indemnity obligations and other liability. If our security measures are breached as a result of third-party action, employee error, malfeasance or otherwise, and as a result, someone obtains unauthorized access to our systems or to consumer or customer information, our reputation may be damaged, our business may suffer and we could incur significant liability.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curtail or cease their use of our products and services or subject us to third-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party lawsuits, regulatory fines or other action or liability, which could materially and adversely affect our business and operating results.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Protection from system interruptions is important to our business. If we experience system interruptions, it could harm our business.</w:t>
      </w:r>
    </w:p>
    <w:p>
      <w:pPr>
        <w:spacing w:after="0" w:line="237"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Systems or network interruptions, including interruptions experienced in connection with our cloud-based and other product offerings, could delay and disrupt our ability to develop, deliver or maintain our products and services, causing harm to our business and reputation and resulting in loss of customers or revenue. These interruptions can include software or hardware malfunctions, communication failures, outages or other failures of third party environments or service providers, fires, floods, earthquakes, power losses, equipment failures and other events beyond our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70"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We have a significant share of the available market in portions of our Scores segment and for certain services in our Applications segment, specifically, the markets for account management services at credit card processors and credit card fraud detection software. 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our markets, technology changes rapidly, and there are continuous improvements in computer hardware, network operating systems, programming tools, programming languages, operating systems, database technology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15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1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our competitors introduce new products and pricing strategies, it could decrease our product sales and market share, or could pressure us to reduce our product prices in a manner that reduces our margins.</w:t>
      </w:r>
    </w:p>
    <w:p>
      <w:pPr>
        <w:spacing w:after="0" w:line="170"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We may not be able to compete successfully against our competitors, and this inability could impair our capacity to sell our products. The market for business analytics is new, rapidly evolving and highly competitive, and we expect competition in this market to persist and intensify. Our regional and global competitors vary in size and in the scope of the products and services they offer, and include:</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enterprise resource planning, customer relationship management, and customer communication and mobility solution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credit report and credit score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process modeling tools providers;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automated application processing services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account/workflow management software providers;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software tools companies supplying modeling, rules, or analytic development tools; collections and recovery solutions providers; entity resolution and social network analysis solutions providers;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cloud-based customer engagement and risk management solutions providers.</w:t>
      </w:r>
    </w:p>
    <w:p>
      <w:pPr>
        <w:spacing w:after="0" w:line="21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We expect to experience additional competition from other established and emerging companies, as well as from other technologies. For example, certain of our fraud solutions products compete against other methods of preventing credit card fraud, such as credit cards that contain the cardholder’s photograph; smart cards; cardholder verification and authentication solutions; biometric measures on devices including fingerprint and face matching; and other card authorization techniques and user verification techniques. Many of our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TransUnion, Equifax and Experian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18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187" w:lineRule="exact"/>
        <w:rPr>
          <w:sz w:val="20"/>
          <w:szCs w:val="20"/>
          <w:color w:val="auto"/>
        </w:rPr>
      </w:pPr>
    </w:p>
    <w:p>
      <w:pPr>
        <w:jc w:val="both"/>
        <w:ind w:left="180"/>
        <w:spacing w:after="0" w:line="279" w:lineRule="auto"/>
        <w:rPr>
          <w:sz w:val="20"/>
          <w:szCs w:val="20"/>
          <w:color w:val="auto"/>
        </w:rPr>
      </w:pPr>
      <w:r>
        <w:rPr>
          <w:rFonts w:ascii="Arial" w:cs="Arial" w:eastAsia="Arial" w:hAnsi="Arial"/>
          <w:sz w:val="17"/>
          <w:szCs w:val="17"/>
          <w:b w:val="1"/>
          <w:bCs w:val="1"/>
          <w:i w:val="1"/>
          <w:iCs w:val="1"/>
          <w:color w:val="auto"/>
        </w:rPr>
        <w:t>Legislation that is enacted by the U.S. Congress, the states, Canadian provinces, and other countries, and government regulations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current products and services, it could adversely affect our business and results of operations.</w:t>
      </w:r>
    </w:p>
    <w:p>
      <w:pPr>
        <w:spacing w:after="0" w:line="17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Legislation and governmental regulation affect how our business is conducted and, in some cases, subject us to the possibility of government supervision and future lawsuits arising from our products and services. Globally, legislation and governmental regulation also influence our current and prospective customers’ activities, as well as their expectations and needs in relation to our products and services. Both our core businesses and our newer initiatives are affected globally by federal, regional, provincial, state and other jurisdictional regulations, including those in the following significant regulatory areas:</w:t>
      </w:r>
    </w:p>
    <w:p>
      <w:pPr>
        <w:spacing w:after="0" w:line="154" w:lineRule="exact"/>
        <w:rPr>
          <w:sz w:val="20"/>
          <w:szCs w:val="20"/>
          <w:color w:val="auto"/>
        </w:rPr>
      </w:pPr>
    </w:p>
    <w:p>
      <w:pPr>
        <w:ind w:left="560" w:hanging="322"/>
        <w:spacing w:after="0" w:line="258"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Examples in the U.S. include the Fair Credit Reporting Act, as amended by the Fair and Accurate Credit Transactions Act;</w:t>
      </w:r>
    </w:p>
    <w:p>
      <w:pPr>
        <w:spacing w:after="0" w:line="1"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such as state “mortgage trigger” laws, state “inquiries” laws, state insurance restrictions on the use of credit based insurance scores, and the Consumer Credit Directive in the European Union;</w:t>
      </w:r>
    </w:p>
    <w:p>
      <w:pPr>
        <w:ind w:left="560" w:hanging="322"/>
        <w:spacing w:after="0" w:line="250"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Fair lending laws, such as the Truth In Lending Act and Regulation Z, as amended by the Credit Card Accountability Responsibility and Disclosure Act of 2009, the Equal Credit Opportunity Act and Regulation B, and the Fair Housing Act;</w:t>
      </w:r>
    </w:p>
    <w:p>
      <w:pPr>
        <w:jc w:val="both"/>
        <w:ind w:left="560" w:hanging="322"/>
        <w:spacing w:after="0" w:line="265" w:lineRule="auto"/>
        <w:tabs>
          <w:tab w:leader="none" w:pos="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Privacy and security laws and regulations that limit the use and disclosure of personally identifiable information or require security procedures, including but not limited to the provisions of the Financial Services Modernization Act of 1999, also known as the Gramm Leach Bliley Act (“GLBA”); the Health Insurance Portability and Accountability Act of 1996, as amended by the Health Information Technology for Economic and Clinical Health Act; the Cybersecurity Act of 2015; the Department of Commerce’s National Institute of Standards and Technology’s Cybersecurity Framework; and identity theft, file freezing, security breach notification and similar state privacy laws;</w:t>
      </w:r>
    </w:p>
    <w:p>
      <w:pPr>
        <w:spacing w:after="0" w:line="1" w:lineRule="exact"/>
        <w:rPr>
          <w:rFonts w:ascii="Arial" w:cs="Arial" w:eastAsia="Arial" w:hAnsi="Arial"/>
          <w:sz w:val="17"/>
          <w:szCs w:val="17"/>
          <w:color w:val="auto"/>
        </w:rPr>
      </w:pPr>
    </w:p>
    <w:p>
      <w:pPr>
        <w:ind w:left="560" w:right="20" w:hanging="322"/>
        <w:spacing w:after="0" w:line="216" w:lineRule="exact"/>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ind w:left="560" w:hanging="322"/>
        <w:spacing w:after="0"/>
        <w:tabs>
          <w:tab w:leader="none" w:pos="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Regulations applicable to secondary market participants such as Fannie Mae and Freddie Mac that could have an impact on our products;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60" w:right="20" w:hanging="322"/>
        <w:spacing w:after="0" w:line="258"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regulations applicable to our customer communication clients and their use of our products and services, including the Telephone Consumer Protection Act and regulations promulgated thereunder;</w:t>
      </w:r>
    </w:p>
    <w:p>
      <w:pPr>
        <w:spacing w:after="0" w:line="1" w:lineRule="exact"/>
        <w:rPr>
          <w:rFonts w:ascii="Arial" w:cs="Arial" w:eastAsia="Arial" w:hAnsi="Arial"/>
          <w:sz w:val="18"/>
          <w:szCs w:val="18"/>
          <w:color w:val="auto"/>
        </w:rPr>
      </w:pPr>
    </w:p>
    <w:p>
      <w:pPr>
        <w:ind w:left="560" w:hanging="32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Insurance laws and regulations applicable to our insurance clients and their use of our insurance products and services;</w:t>
      </w:r>
    </w:p>
    <w:p>
      <w:pPr>
        <w:spacing w:after="0" w:line="9" w:lineRule="exact"/>
        <w:rPr>
          <w:rFonts w:ascii="Arial" w:cs="Arial" w:eastAsia="Arial" w:hAnsi="Arial"/>
          <w:sz w:val="18"/>
          <w:szCs w:val="18"/>
          <w:color w:val="auto"/>
        </w:rPr>
      </w:pPr>
    </w:p>
    <w:p>
      <w:pPr>
        <w:jc w:val="both"/>
        <w:ind w:left="560" w:hanging="322"/>
        <w:spacing w:after="0" w:line="250"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such as the Consumer Financial Protection Act, the Fair Debt Collection Practices Act, the Servicemembers Civil Relief Act, and the Military Lending Act, and laws governing the use of the Internet and telemarketing, advertising, endorsements and testimonials and credit repair;</w:t>
      </w:r>
    </w:p>
    <w:p>
      <w:pPr>
        <w:spacing w:after="0" w:line="1"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regulations applicable to operations in other countries, for example, the European Union’s General Data Protection Regulation, and the Foreign Corrupt Practices Act;</w:t>
      </w:r>
    </w:p>
    <w:p>
      <w:pPr>
        <w:ind w:left="560" w:hanging="322"/>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Sarbanes-Oxley Act requirements to maintain and verify internal process controls, including controls for material event awareness and notification;</w:t>
      </w:r>
    </w:p>
    <w:p>
      <w:pPr>
        <w:spacing w:after="0" w:line="32" w:lineRule="exact"/>
        <w:rPr>
          <w:rFonts w:ascii="Arial" w:cs="Arial" w:eastAsia="Arial" w:hAnsi="Arial"/>
          <w:sz w:val="16"/>
          <w:szCs w:val="16"/>
          <w:color w:val="auto"/>
        </w:rPr>
      </w:pPr>
    </w:p>
    <w:p>
      <w:pPr>
        <w:jc w:val="both"/>
        <w:ind w:left="560" w:hanging="322"/>
        <w:spacing w:after="0" w:line="250"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expectations for management of third parties (e.g., vendors, contractors, suppliers, distributors), such as OCC Bulletin 2013-29; Federal Reserve Supervisory Letter 13-19 / CA 13-21; Federal Housing Finance Agency Advisory Bulletin AB 2014-07; CFPB Bulletin 2012-03; and FFIEC Outsourcing Technology Services June 2004;</w:t>
      </w:r>
    </w:p>
    <w:p>
      <w:pPr>
        <w:spacing w:after="0" w:line="1" w:lineRule="exact"/>
        <w:rPr>
          <w:rFonts w:ascii="Arial" w:cs="Arial" w:eastAsia="Arial" w:hAnsi="Arial"/>
          <w:sz w:val="18"/>
          <w:szCs w:val="18"/>
          <w:color w:val="auto"/>
        </w:rPr>
      </w:pPr>
    </w:p>
    <w:p>
      <w:pPr>
        <w:ind w:left="560" w:hanging="322"/>
        <w:spacing w:after="0" w:line="250"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Regulations applicable to anti-money laundering, such as the Bank Secrecy Act, as amended by the Uniting and Strengthening America by Providing Appropriate Tools Required to Intercept and Obstruct Terrorism Act of 2001;</w:t>
      </w:r>
    </w:p>
    <w:p>
      <w:pPr>
        <w:ind w:left="560" w:right="20" w:hanging="322"/>
        <w:spacing w:after="0" w:line="281"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and the many regulations mandated by that Act, including regulations issued by, and the supervisory and investigative authority of, the Bureau of Consumer Financial Protection; and</w:t>
      </w:r>
    </w:p>
    <w:p>
      <w:pPr>
        <w:spacing w:after="0" w:line="1" w:lineRule="exact"/>
        <w:rPr>
          <w:rFonts w:ascii="Arial" w:cs="Arial" w:eastAsia="Arial" w:hAnsi="Arial"/>
          <w:sz w:val="16"/>
          <w:szCs w:val="16"/>
          <w:color w:val="auto"/>
        </w:rPr>
      </w:pPr>
    </w:p>
    <w:p>
      <w:pPr>
        <w:ind w:left="560" w:hanging="32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regulations regarding export controls as they apply to FICO products delivered in non-U.S. countries.</w:t>
      </w:r>
    </w:p>
    <w:p>
      <w:pPr>
        <w:spacing w:after="0" w:line="211"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making credit evaluations of consumers, or in performing fraud screening or user authentication, our customers are subject to requirements of multiple jurisdictions, which may impose onerous and contradictory requirements. Privacy legislation such as GLBA or the European Union’s General Data Protection Regulation may also affect the nature and extent of the products or services that we can provide to customers, as well as our ability to collect, monitor and disseminate information subject to privacy protection. In addition to existing regulation, changes in legislative, judicial, regulatory or consumer environments could harm our business, financial condition or results of operations. These regulations and amendments to them could affect the demand for or profitability of some of our products, including scoring and consumer products. New regulations pertaining to financial institutions could cause them to pursue new strategies, reducing the demand for our products.</w:t>
      </w:r>
    </w:p>
    <w:p>
      <w:pPr>
        <w:spacing w:after="0" w:line="17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response to market disruptions over the past several years, legislators and financial regulators implemented a number of mechanisms designed to add stability to the financial markets, including the provision of direct and indirect assistance to distressed financial institutions, assistance by the banking authorities in arranging acquisitions of weakened banks and broker-dealers, and implementation of programs by the Federal Reserve to provide liquidity to the commercial paper markets. The overall effects of these and other legislative and regulatory efforts on the financial markets are uncertain, and they may not have the intended stabilization effects. Should these or other legislative or regulatory initiatives fail to stabilize and add liquidity to the financial markets over the long term, our business, financial condition, results of operations and prospects could be materially and adversely affected. Whether or not legislative or regulatory initiatives or other efforts designed to address recent economic conditions successfully stabilize and add liquidity to the financial markets over the long term, we may need to modify our strategies, businesses or operations, and we may incur additional costs in order to compete in a changed business environment.</w:t>
      </w:r>
    </w:p>
    <w:p>
      <w:pPr>
        <w:spacing w:after="0" w:line="19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and insurance industries. If our clients’ industries experience uncertainty, it will likely harm our business, financial condition or results of operations.</w:t>
      </w:r>
    </w:p>
    <w:p>
      <w:pPr>
        <w:spacing w:after="0" w:line="17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During fiscal 2016, 74% of our revenues were derived from sales of products and services to the banking and insurance industries. Global economic uncertainty experienced in the U.S. and other key international economies in the past produced substantial stress, volatility, illiquidity and disruption of global credit and other financial markets, resulting in the bankruptcy or acquisition of, or government assistance to, several major domestic and international financial institutions. The potential for disruptions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w:t>
      </w:r>
    </w:p>
    <w:p>
      <w:pPr>
        <w:spacing w:after="0" w:line="193"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While we are attempting to expand our sales of consumer credit, banking and insurance products and services into international markets, the risks are greater as these markets are also experiencing substantial disruption and we are less well-known in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External Conditions</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70"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has produced substantial stress, volatility, illiquidity and disruption of global credit and other financial markets in the past. Any economic uncertainty can negatively affect the businesses and purchasing decisions of companies in the industries we serve. The potential for disruptions presents considerable risks to our businesses and operations. If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1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For example, on June 23, 2016, the United Kingdom (U.K.) held a referendum in which voters approved an exit from the European Union, commonly referred to as “Brexit”. As a result of the referendum, it is expected that the British government will begin negotiating the terms of the U.K.’s future relationship with the European Union. Although it is unknown what those terms will be, the announcement of Brexit caused, and may continue to create, volatility in global stock markets and regional and global economic uncertainty, which may cause our customers to closely monitor their costs and reduce their spending budget on our products and services.</w:t>
      </w:r>
    </w:p>
    <w:p>
      <w:pPr>
        <w:spacing w:after="0" w:line="18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Whether or not recent or new legislative or regulatory initiatives or other efforts successfully stabilize and add liquidity to the financial markets,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 operations outside the U.S., we are subject to unique risks that may harm our business, financial condition or results of operations.</w:t>
      </w:r>
    </w:p>
    <w:p>
      <w:pPr>
        <w:spacing w:after="0" w:line="23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 growing portion of our revenues is derived from international sales. During fiscal 2016, 36%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15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tariffs and other trade barriers;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211"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18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70"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 party to acquire, or discouraging a third 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16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70"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properties consist primarily of leased office facilities for sales, data processing, research and development, consulting and administrative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locations include:</w:t>
      </w:r>
    </w:p>
    <w:p>
      <w:pPr>
        <w:spacing w:after="0" w:line="103"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55,000 square feet of office space in San Jose, California in one building under a lease expiring in fiscal 2024; this is used for our corporate headquarters and all of our segments;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124,000 square feet of office space in San Rafael, California in one building under a lease expiring in fiscal 2020; this is used for all of our segments;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101,000 square feet of office, data center, and data processing space in Roseville, Brooklyn Park and Minneapolis, Minnesota, in three buildings under leases expiring in fiscal 2017 or later; 16,000 square feet of this space is subleased to a third party; this is used for all of our segments;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80,000 square feet of office space in San Diego, California in one building under a lease expiring in fiscal 2020; this is used for Applications and Decision Management Software segments.</w:t>
      </w:r>
    </w:p>
    <w:p>
      <w:pPr>
        <w:spacing w:after="0" w:line="62" w:lineRule="exact"/>
        <w:rPr>
          <w:sz w:val="20"/>
          <w:szCs w:val="20"/>
          <w:color w:val="auto"/>
        </w:rPr>
      </w:pPr>
    </w:p>
    <w:p>
      <w:pPr>
        <w:jc w:val="both"/>
        <w:ind w:left="60" w:firstLine="486"/>
        <w:spacing w:after="0" w:line="312" w:lineRule="auto"/>
        <w:rPr>
          <w:sz w:val="20"/>
          <w:szCs w:val="20"/>
          <w:color w:val="auto"/>
        </w:rPr>
      </w:pPr>
      <w:r>
        <w:rPr>
          <w:rFonts w:ascii="Arial" w:cs="Arial" w:eastAsia="Arial" w:hAnsi="Arial"/>
          <w:sz w:val="16"/>
          <w:szCs w:val="16"/>
          <w:color w:val="auto"/>
        </w:rPr>
        <w:t>In addition, we lease an aggregate of approximately 280,000 square feet of office and data center space in a number of smaller domestic locations and internationally in India, the United Kingdom, China, Singapore, and several other locations. We believe that suitable additional space will be available to accommodate future needs. See Note 18 to the accompanying consolidated financial statements for information regarding our obligations under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common stock trades on the New York Stock Exchange under the symbol: FICO. According to records of our transfer agent, at October 28, 2016, we had 380 shareholders of record of our common stock.</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shows the high and low sales prices for our stock, as listed on the New York Stock Exchange for each quarter in the last two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2015</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October 1 — December 31, 2014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March 31, 2015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April 1 — June 30, 2015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96.53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September 30, 2015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Fiscal 2016</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December 31, 2015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January 1 — March 31, 2016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June 30, 2016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July 1 — September 30, 2016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132.95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111.73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paid dividends of $0.02 per share on a quarterly basis during each of fiscal 2016, 2015 and 2014. Our dividend rate is set by the Board of Directors on a quarterly basis taking into account a variety of factors, including among others, our operating results and cash flows, general economic and industry conditions, our obligations, changes in applicable tax laws and other factors deemed relevant by the Board. Although we expect to continue to pay dividends at the current rate, our dividend rate is subject to change from time to time based on the Board’s business judgment with respect to these and other relevant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 Part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per Share</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Programs (2)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center"/>
              <w:ind w:right="181"/>
              <w:spacing w:after="0" w:line="158" w:lineRule="exact"/>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July 1, 2016 through July 31, 2016</w:t>
            </w:r>
          </w:p>
        </w:tc>
        <w:tc>
          <w:tcPr>
            <w:tcW w:w="1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160,537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116.63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154,068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August 1, 2016 through August 31, 2016</w:t>
            </w:r>
          </w:p>
        </w:tc>
        <w:tc>
          <w:tcPr>
            <w:tcW w:w="1740" w:type="dxa"/>
            <w:vAlign w:val="bottom"/>
          </w:tcPr>
          <w:p>
            <w:pPr>
              <w:jc w:val="right"/>
              <w:ind w:right="38"/>
              <w:spacing w:after="0"/>
              <w:rPr>
                <w:sz w:val="20"/>
                <w:szCs w:val="20"/>
                <w:color w:val="auto"/>
              </w:rPr>
            </w:pPr>
            <w:r>
              <w:rPr>
                <w:rFonts w:ascii="Arial" w:cs="Arial" w:eastAsia="Arial" w:hAnsi="Arial"/>
                <w:sz w:val="18"/>
                <w:szCs w:val="18"/>
                <w:color w:val="auto"/>
              </w:rPr>
              <w:t>32,050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127.91</w:t>
            </w:r>
          </w:p>
        </w:tc>
        <w:tc>
          <w:tcPr>
            <w:tcW w:w="100" w:type="dxa"/>
            <w:vAlign w:val="bottom"/>
          </w:tcPr>
          <w:p>
            <w:pPr>
              <w:spacing w:after="0"/>
              <w:rPr>
                <w:sz w:val="21"/>
                <w:szCs w:val="21"/>
                <w:color w:val="auto"/>
              </w:rPr>
            </w:pPr>
          </w:p>
        </w:tc>
        <w:tc>
          <w:tcPr>
            <w:tcW w:w="1700" w:type="dxa"/>
            <w:vAlign w:val="bottom"/>
          </w:tcPr>
          <w:p>
            <w:pPr>
              <w:jc w:val="right"/>
              <w:ind w:right="22"/>
              <w:spacing w:after="0"/>
              <w:rPr>
                <w:sz w:val="20"/>
                <w:szCs w:val="20"/>
                <w:color w:val="auto"/>
              </w:rPr>
            </w:pPr>
            <w:r>
              <w:rPr>
                <w:rFonts w:ascii="Arial" w:cs="Arial" w:eastAsia="Arial" w:hAnsi="Arial"/>
                <w:sz w:val="18"/>
                <w:szCs w:val="18"/>
                <w:color w:val="auto"/>
              </w:rPr>
              <w:t>30,000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
              <w:spacing w:after="0"/>
              <w:rPr>
                <w:sz w:val="20"/>
                <w:szCs w:val="20"/>
                <w:color w:val="auto"/>
              </w:rPr>
            </w:pPr>
            <w:r>
              <w:rPr>
                <w:rFonts w:ascii="Arial" w:cs="Arial" w:eastAsia="Arial" w:hAnsi="Arial"/>
                <w:sz w:val="18"/>
                <w:szCs w:val="18"/>
                <w:color w:val="auto"/>
              </w:rPr>
              <w:t>246,165,162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 2016 through September 30, 2016</w:t>
            </w:r>
          </w:p>
        </w:tc>
        <w:tc>
          <w:tcPr>
            <w:tcW w:w="1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126,440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130.60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123,806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230,001,105</w:t>
            </w:r>
          </w:p>
        </w:tc>
        <w:tc>
          <w:tcPr>
            <w:tcW w:w="0" w:type="dxa"/>
            <w:vAlign w:val="bottom"/>
          </w:tcPr>
          <w:p>
            <w:pPr>
              <w:spacing w:after="0"/>
              <w:rPr>
                <w:sz w:val="1"/>
                <w:szCs w:val="1"/>
                <w:color w:val="auto"/>
              </w:rPr>
            </w:pPr>
          </w:p>
        </w:tc>
      </w:tr>
      <w:tr>
        <w:trPr>
          <w:trHeight w:val="257"/>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319,027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123.30</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307,874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
              <w:spacing w:after="0"/>
              <w:rPr>
                <w:sz w:val="20"/>
                <w:szCs w:val="20"/>
                <w:color w:val="auto"/>
              </w:rPr>
            </w:pPr>
            <w:r>
              <w:rPr>
                <w:rFonts w:ascii="Arial" w:cs="Arial" w:eastAsia="Arial" w:hAnsi="Arial"/>
                <w:sz w:val="18"/>
                <w:szCs w:val="18"/>
                <w:color w:val="auto"/>
              </w:rPr>
              <w:t>230,001,105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hanging="332"/>
        <w:spacing w:after="0" w:line="25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11,153 shares delivered in satisfaction of the tax withholding obligations resulting from the vesting of restricted stock units held by employees during the quarter ended September 30, 2016.</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August 18, 2014,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 On July 27, 2016, following the termination of the August 2014 program, our Board of Directors approved a new stock repurchase program. The new program is open-ended and authorizes repurchases of shares of our common stock up to an aggregate cost of $250.0 million in the open market or in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-975360</wp:posOffset>
            </wp:positionV>
            <wp:extent cx="565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graph shows the total stockholder return of an investment of $100 in cash on September 30, 2011, in (a) the Company’s Common Stock,</w:t>
      </w:r>
    </w:p>
    <w:p>
      <w:pPr>
        <w:spacing w:after="0" w:line="46" w:lineRule="exact"/>
        <w:rPr>
          <w:sz w:val="20"/>
          <w:szCs w:val="20"/>
          <w:color w:val="auto"/>
        </w:rPr>
      </w:pPr>
    </w:p>
    <w:p>
      <w:pPr>
        <w:ind w:firstLine="8"/>
        <w:spacing w:after="0" w:line="290" w:lineRule="auto"/>
        <w:tabs>
          <w:tab w:leader="none" w:pos="26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Standard &amp; Poor’s 500 Stock Index and (c) the Standard &amp; Poor’s 500 Application Software Index, in each case with reinvestment of dividends. We do not believe there are any publicly traded companies that compete with us across the full spectrum of our product and service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848985" cy="4853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acquired Entiera, Inc. (“Entiera”) in May 2012, Adeptra Ltd. (“Adeptra”) in September 2012, CR Software, LLC. (“CR Software”) in November 2012, Infoglide Software, Inc. (“Infoglide”) in April 2013, InfoCentricity, Inc. (“InfoCentricity”) in April 2014, TONBELLER in January 2015, and QuadMetrics in May 2016. Results of operations from the acquisitions are included prospectively from their respective acquisition dates and did not materially impact comparability of the data presented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 (1)</w:t>
            </w:r>
          </w:p>
        </w:tc>
        <w:tc>
          <w:tcPr>
            <w:tcW w:w="3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 (1)</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 (1)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 (1)</w:t>
            </w:r>
          </w:p>
        </w:tc>
      </w:tr>
      <w:tr>
        <w:trPr>
          <w:trHeight w:val="196"/>
        </w:trPr>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40" w:type="dxa"/>
            <w:vAlign w:val="bottom"/>
            <w:gridSpan w:val="4"/>
          </w:tcPr>
          <w:p>
            <w:pPr>
              <w:jc w:val="center"/>
              <w:ind w:left="674"/>
              <w:spacing w:after="0"/>
              <w:rPr>
                <w:sz w:val="20"/>
                <w:szCs w:val="20"/>
                <w:color w:val="auto"/>
              </w:rPr>
            </w:pPr>
            <w:r>
              <w:rPr>
                <w:rFonts w:ascii="Arial" w:cs="Arial" w:eastAsia="Arial" w:hAnsi="Arial"/>
                <w:sz w:val="14"/>
                <w:szCs w:val="14"/>
                <w:b w:val="1"/>
                <w:bCs w:val="1"/>
                <w:color w:val="auto"/>
                <w:w w:val="91"/>
              </w:rPr>
              <w:t>(In thousands, except per share data)</w:t>
            </w: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881,356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838,781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788,985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743,444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676,423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169,592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137,505</w:t>
            </w:r>
          </w:p>
        </w:tc>
        <w:tc>
          <w:tcPr>
            <w:tcW w:w="360" w:type="dxa"/>
            <w:vAlign w:val="bottom"/>
          </w:tcPr>
          <w:p>
            <w:pPr>
              <w:spacing w:after="0"/>
              <w:rPr>
                <w:sz w:val="21"/>
                <w:szCs w:val="21"/>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161,868</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161,593</w:t>
            </w:r>
          </w:p>
        </w:tc>
        <w:tc>
          <w:tcPr>
            <w:tcW w:w="4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168,358</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109,448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86,502</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94,879</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90,095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92,004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3.52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21"/>
                <w:szCs w:val="21"/>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2.80</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2.64</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2.72</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0.08</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360" w:type="dxa"/>
            <w:vAlign w:val="bottom"/>
          </w:tcPr>
          <w:p>
            <w:pPr>
              <w:spacing w:after="0"/>
              <w:rPr>
                <w:sz w:val="21"/>
                <w:szCs w:val="21"/>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0.08</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0.08</w:t>
            </w:r>
          </w:p>
        </w:tc>
        <w:tc>
          <w:tcPr>
            <w:tcW w:w="4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0.08</w:t>
            </w:r>
          </w:p>
        </w:tc>
      </w:tr>
      <w:tr>
        <w:trPr>
          <w:trHeight w:val="548"/>
        </w:trPr>
        <w:tc>
          <w:tcPr>
            <w:tcW w:w="3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center"/>
              <w:ind w:right="255"/>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21,561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(52,877)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83,308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49,720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1,221,052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1,230,163</w:t>
            </w:r>
          </w:p>
        </w:tc>
        <w:tc>
          <w:tcPr>
            <w:tcW w:w="360" w:type="dxa"/>
            <w:vAlign w:val="bottom"/>
          </w:tcPr>
          <w:p>
            <w:pPr>
              <w:spacing w:after="0"/>
              <w:rPr>
                <w:sz w:val="21"/>
                <w:szCs w:val="21"/>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1,192,298</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1,161,547</w:t>
            </w:r>
          </w:p>
        </w:tc>
        <w:tc>
          <w:tcPr>
            <w:tcW w:w="4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1,158,611</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316,000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376,000</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447,000</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455,000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504,000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line of credit</w:t>
            </w:r>
          </w:p>
        </w:tc>
        <w:tc>
          <w:tcPr>
            <w:tcW w:w="3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255,000</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232,000</w:t>
            </w:r>
          </w:p>
        </w:tc>
        <w:tc>
          <w:tcPr>
            <w:tcW w:w="360" w:type="dxa"/>
            <w:vAlign w:val="bottom"/>
          </w:tcPr>
          <w:p>
            <w:pPr>
              <w:spacing w:after="0"/>
              <w:rPr>
                <w:sz w:val="21"/>
                <w:szCs w:val="21"/>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99,000</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15,000</w:t>
            </w:r>
          </w:p>
        </w:tc>
        <w:tc>
          <w:tcPr>
            <w:tcW w:w="4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446,828</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436,998</w:t>
            </w: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454,614</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530,677</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474,406</w:t>
            </w:r>
          </w:p>
        </w:tc>
      </w:tr>
      <w:tr>
        <w:trPr>
          <w:trHeight w:val="27"/>
        </w:trPr>
        <w:tc>
          <w:tcPr>
            <w:tcW w:w="3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8"/>
        <w:spacing w:after="0" w:line="277"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for fiscal years 2015, 2014, 2013 and 2012 include pre-tax charges of $18.2 million, $4.3 million, $3.5 million and $5.1 million, respectively, in restructuring and acquisition-related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Our Management’s Discussion and Analysis of Financial Condition and Results of Operations (“MD&amp;A”) includes the following: a business overview that provides a high level summary of our strategies and initiatives, financial results and bookings trends that affect our business; a more detailed analysis of our results of operations; our liquidity and capital resources, which discusses key aspects of our statements of cash flows, changes in our balance sheets and our financial commitments; and a summary of our critical accounting policies and estimates we believe are important to understanding the assumptions and judgments incorporated in our reported financial results. Our MD&amp;A should be read in conjunction with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 of this Annual Report on Form 10-K. The following discussion contains forward-looking statements that are subject to risks and uncertainties. Actual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may differ from those referred to herein due to a number of factors, including but not limited to risks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this Annual Report on Form 10-K.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 and Initiatives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2016, our growth initiatives continued to generate significant free cash flow. We utilized our cash to enhance shareholder value through investments in long-term growth initiatives; acquisitions of relevant technologies and products that strengthen our portfolio and competitive position; and our share repurchase programs.</w:t>
      </w:r>
    </w:p>
    <w:p>
      <w:pPr>
        <w:spacing w:after="0" w:line="181"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7"/>
          <w:szCs w:val="17"/>
          <w:color w:val="auto"/>
        </w:rPr>
        <w:t>We continued to invest in our growth initiatives that expand our addressable markets. We expanded our traditional on-premises software into cloud-based solutions in our Applications and Decision Management Software (formerly “Tools”) segments to provide growth opportunities with customers that can benefit from the affordability and simplicity of these solutions. Our software solutions are available through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Analytic Cloud, and we are adding delivery via third-party cloud environments, which are offered through large vendors in other geographic locations across the world. We continue to offer our solutions on-premises for many customers who prefer to install and run our software in-house. In addition, we introduced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Management Suite 2.0 (“DMS”), which provides an easy way for customers to evaluate, customize, deploy and scale state-of-the-art analytics. The DMS allows customers to quickly integrate our tools and components with their data, helping organizations of all sizes realize the promise of advanced analytics and decision management in a cost-effective, scalable cloud or on-premise solution.</w:t>
      </w:r>
    </w:p>
    <w:p>
      <w:pPr>
        <w:spacing w:after="0" w:line="206" w:lineRule="exact"/>
        <w:rPr>
          <w:sz w:val="20"/>
          <w:szCs w:val="20"/>
          <w:color w:val="auto"/>
        </w:rPr>
      </w:pPr>
    </w:p>
    <w:p>
      <w:pPr>
        <w:jc w:val="both"/>
        <w:ind w:firstLine="405"/>
        <w:spacing w:after="0" w:line="202" w:lineRule="auto"/>
        <w:rPr>
          <w:sz w:val="20"/>
          <w:szCs w:val="20"/>
          <w:color w:val="auto"/>
        </w:rPr>
      </w:pPr>
      <w:r>
        <w:rPr>
          <w:rFonts w:ascii="Arial" w:cs="Arial" w:eastAsia="Arial" w:hAnsi="Arial"/>
          <w:sz w:val="17"/>
          <w:szCs w:val="17"/>
          <w:color w:val="auto"/>
        </w:rPr>
        <w:t>For our Scores segment, our industry leading business-to-business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Scores expanded further into the larger, faster growing U.S. consumer market.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Open Access program, which allows our participating clients to provide their customers with a free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along with content to help them understand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their lender uses, continued its expansion during the current year. Through this program, we now have more than 180 million consumers with access to their free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The partnership agreement we launched in fiscal 2015 with Experian, a leading global information services provider, continued to accelerate during the current year. This partnership provides consumers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that lenders most commonly use in evaluating credit when determining applicant eligibility for new credit cards, car loans, mortgages or other lines of credit and can be accessed through Experian.com. We have partnered and continue to pursue additional partners, to distribute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Scores with their product offerings sold directly to consumers. In addition, we are pursuing opportunities to make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Scores available to third-parties for affinity, white-labeled programs to further penetrate and expand the markets where our scores are available.</w:t>
      </w:r>
    </w:p>
    <w:p>
      <w:pPr>
        <w:spacing w:after="0" w:line="2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continued to make acquisitions that deliver solutions to the financial services industry and adjacent vertical industries. Our acquisition of Quadmetrics, a provider of enterprise security assessment analytics, accelerates our efforts to provide a suite of complementary cyber-related analytics solutions to market.</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With our strong portfolio of products now in place and the accelerating growth we are experiencing in our cloud-based offerings, we shifted some of our resources to distribution in our expanded market. During fiscal 2016, we expanded our distribution and go-to-market for both the Applications and Decision Management Software segments, which include significant sales training and increasing sales resources to reach new market segments. In fiscal 2017, we expect to broaden our investment into product delivery, support and infrastructure operations.</w:t>
      </w:r>
    </w:p>
    <w:p>
      <w:pPr>
        <w:spacing w:after="0" w:line="18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also returned significant cash to shareholders through our stock repurchase program. During fiscal 2016, we repurchased approximately 1.3 million shares at a total repurchase price of $138.4 million. As of September 30, 2016, we had $230.0 million remaining under our current stock repurchase program.</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Financial Results</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Total revenues for fiscal 2016 were $881.4 million, an increase of 5% from $838.8 million in fiscal 2015. Revenue in each of our segments increased, with our Scores segment the primary driver increasing by 16% in fiscal 2016 compared to fiscal 2015. Our Applications and Decision Management Software segments increased by 1% and 2% in fiscal 2016 compared to fiscal 2015, respectively. We derive a significant portion of revenue internationally, and 36% and 40% of total consolidated revenues were derived from clients outside the U.S. during fiscal 2016 and 2015, respectively. A significant portion of our revenues are derived from the sale of products and services within the banking (including consumer credit) industry, and 72% and 69% of our revenues were derived from within this industry during fiscal 2016 and 2015, respectively. In addition, we derive a significant share of revenue from transactional or unit-based software license fees, transactional fees derived under scoring, network service or internal hosted software arrangements, annual software maintenance fees and annual license fees under long-term software license arrangements. Arrangements with transactional or unit-based pricing accounted for 69% and 67% of our revenues during fiscal 2016 and 2015, respectively. Revenue fluctuations in our business are primarily driven by changes in the transactional volume and license fees.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Operating income for fiscal 2016 was $169.6 million, an increase of 23% from $137.5 million in fiscal 2015. Operating margin increased to 19% from 16%. The margin increase was primarily attributable to a higher percentage of revenues derived from our higher-margin products including revenues generated from our Experian agreement, no restructuring cost in the current year following the write-down of facilities in the prior year and a decrease in our professional services delivery cost. Net income increased 27% to $109.4 million in fiscal 2016 from $86.5 million in fiscal 2015 primarily due to the increase in operating margin, partially offset by lower income tax expense in fiscal 2015, largely driven by a favorable tax adjustment. Diluted earnings per share for fiscal 2016 was $3.39, an increase of 28% from $2.65 in fiscal 2015.</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Management regards the volume of bookings achieved as an important indicator of future revenues, but they are not comparable to nor a substitute for an analysis of our revenues. Bookings represent contracts signed in the current reporting period that generate current and future revenue streams. We estimate bookings as of the end of the period in which a contract is signed and initial booking estimates are not updated in future periods for changes between estimated and actual results. Our calculations have varying degrees of certainty depending on the revenue type and individual contract terms. They are subject to a number of risks and uncertainties concerning timing and contingencies affecting product delivery and performance, and estimates consider contract terms, knowledge of the marketplace and experience with our customers, among other factors. Actual revenue and the timing thereof could differ materially from our initial estimates.</w:t>
      </w:r>
    </w:p>
    <w:p>
      <w:pPr>
        <w:spacing w:after="0" w:line="8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Although many of our contracts contain non-cancelable terms, most of our bookings are transactional or service related that depend upon estimates such as volume of transactions, number of active accounts, or number of hours incurred. Since these estimates cannot be considered fixed or firm, we do not believe it is appropriate to characterize bookings as backlog. The following paragraphs discuss the key assumptions used to calculate bookings and the susceptibility of these assumptions to variability for each revenue type.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Transactional and Maintenance Bookings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calculate transactional bookings as the total estimated volume of transactions or number of accounts under contract, multiplied by the contractual rate. Transactional contracts generally span multiple years and require estimates of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economic trends in our customers’ industries; individual performance of our customers relative to their competitors; and regulatory and other factors that affect the business environment in which our customers operate.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calculate maintenance bookings directly from the terms stated in the contract.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Professional Services Bookings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Bookings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Licenses are sold on a perpetual or term basis and bookings generally equal the fixed amount stated in the contract.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Bookings Trend Analysis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Bookings</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Bookings</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7"/>
              </w:rPr>
              <w:t>Bookings</w:t>
            </w:r>
          </w:p>
        </w:tc>
        <w:tc>
          <w:tcPr>
            <w:tcW w:w="100" w:type="dxa"/>
            <w:vAlign w:val="bottom"/>
            <w:vMerge w:val="restart"/>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over $1</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Yield (1)</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Million</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Term (2)</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Quarter ended September 30,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580" w:type="dxa"/>
            <w:vAlign w:val="bottom"/>
          </w:tcPr>
          <w:p>
            <w:pPr>
              <w:jc w:val="right"/>
              <w:ind w:right="2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September 30, 2016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6"/>
              <w:spacing w:after="0" w:line="269" w:lineRule="exact"/>
              <w:rPr>
                <w:sz w:val="20"/>
                <w:szCs w:val="20"/>
                <w:color w:val="auto"/>
              </w:rPr>
            </w:pPr>
            <w:r>
              <w:rPr>
                <w:rFonts w:ascii="Arial" w:cs="Arial" w:eastAsia="Arial" w:hAnsi="Arial"/>
                <w:sz w:val="31"/>
                <w:szCs w:val="31"/>
                <w:color w:val="auto"/>
                <w:vertAlign w:val="subscript"/>
              </w:rPr>
              <w:t>NM</w:t>
            </w: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471"/>
        </w:trPr>
        <w:tc>
          <w:tcPr>
            <w:tcW w:w="5020" w:type="dxa"/>
            <w:vAlign w:val="bottom"/>
          </w:tcPr>
          <w:p>
            <w:pPr>
              <w:ind w:left="40"/>
              <w:spacing w:after="0"/>
              <w:rPr>
                <w:sz w:val="20"/>
                <w:szCs w:val="20"/>
                <w:color w:val="auto"/>
              </w:rPr>
            </w:pPr>
            <w:r>
              <w:rPr>
                <w:rFonts w:ascii="Arial" w:cs="Arial" w:eastAsia="Arial" w:hAnsi="Arial"/>
                <w:sz w:val="18"/>
                <w:szCs w:val="18"/>
                <w:color w:val="auto"/>
              </w:rPr>
              <w:t>Year ended September 30,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580" w:type="dxa"/>
            <w:vAlign w:val="bottom"/>
          </w:tcPr>
          <w:p>
            <w:pPr>
              <w:jc w:val="right"/>
              <w:ind w:right="26"/>
              <w:spacing w:after="0"/>
              <w:rPr>
                <w:sz w:val="20"/>
                <w:szCs w:val="20"/>
                <w:color w:val="auto"/>
              </w:rPr>
            </w:pPr>
            <w:r>
              <w:rPr>
                <w:rFonts w:ascii="Arial" w:cs="Arial" w:eastAsia="Arial" w:hAnsi="Arial"/>
                <w:sz w:val="36"/>
                <w:szCs w:val="36"/>
                <w:color w:val="auto"/>
                <w:vertAlign w:val="subscript"/>
              </w:rPr>
              <w:t>NM</w:t>
            </w:r>
            <w:r>
              <w:rPr>
                <w:rFonts w:ascii="Arial" w:cs="Arial" w:eastAsia="Arial" w:hAnsi="Arial"/>
                <w:sz w:val="13"/>
                <w:szCs w:val="13"/>
                <w:color w:val="auto"/>
              </w:rPr>
              <w:t>(a)</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Bookings yield represents the percentage of revenue recognized from bookings for the periods indicated.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Weighted-average term of bookings measures the average term over which bookings are expected to be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977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ind w:left="340" w:hanging="332"/>
        <w:spacing w:after="0" w:line="26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NM - Measure is not meaningful as our estimate of bookings is as of the end of the period in which a contract is signed, and we do not update our initial booking estimates in future periods for changes between estimated and actual results.</w:t>
      </w:r>
    </w:p>
    <w:p>
      <w:pPr>
        <w:spacing w:after="0" w:line="1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Transactional and maintenance bookings were 35% and 31% of total bookings for the years ended September 30, 2016 and 2015, respectively. Professional services bookings were 45% and 47% of total bookings for the years ended September 30, 2016 and 2015, respectively. License bookings were 20% and 22% of total bookings for the years ended September 30, 2016 and 2015, respectively.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organized into the following three reportable segments: Applications, Scores and Decision Management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Comparative segment revenues, operating income, and related financial information for the years ended September 30, 2016, 2015 and 2014 are set forth in Note 17 to the accompanying consolidated financial statements.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certain summary information on a segment basis related to our revenues for fiscal 2016, 2015 and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Period-to-Period Change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29"/>
        </w:trPr>
        <w:tc>
          <w:tcPr>
            <w:tcW w:w="280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9"/>
                <w:szCs w:val="19"/>
                <w:color w:val="auto"/>
              </w:rPr>
            </w:pPr>
          </w:p>
        </w:tc>
        <w:tc>
          <w:tcPr>
            <w:tcW w:w="860" w:type="dxa"/>
            <w:vAlign w:val="bottom"/>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2016 to 2015</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2015 to 2014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2016 to 2015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6"/>
              </w:rPr>
              <w:t>2015 to 2014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532,642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526,274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504,256</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22,018</w:t>
            </w:r>
          </w:p>
        </w:tc>
        <w:tc>
          <w:tcPr>
            <w:tcW w:w="10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241,059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207,007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186,469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34,052</w:t>
            </w: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20,538</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107,655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105,500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98,260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2,155</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7,240</w:t>
            </w:r>
          </w:p>
        </w:tc>
        <w:tc>
          <w:tcPr>
            <w:tcW w:w="10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40" w:type="dxa"/>
            <w:vAlign w:val="bottom"/>
          </w:tcPr>
          <w:p>
            <w:pPr>
              <w:ind w:left="6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881,356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838,781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788,985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42,575</w:t>
            </w:r>
          </w:p>
        </w:tc>
        <w:tc>
          <w:tcPr>
            <w:tcW w:w="24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49,796</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8"/>
            <w:vMerge w:val="restart"/>
          </w:tcPr>
          <w:p>
            <w:pPr>
              <w:jc w:val="center"/>
              <w:ind w:right="520"/>
              <w:spacing w:after="0"/>
              <w:rPr>
                <w:sz w:val="20"/>
                <w:szCs w:val="20"/>
                <w:color w:val="auto"/>
              </w:rPr>
            </w:pPr>
            <w:r>
              <w:rPr>
                <w:rFonts w:ascii="Arial" w:cs="Arial" w:eastAsia="Arial" w:hAnsi="Arial"/>
                <w:sz w:val="14"/>
                <w:szCs w:val="14"/>
                <w:b w:val="1"/>
                <w:bCs w:val="1"/>
                <w:color w:val="auto"/>
                <w:w w:val="90"/>
              </w:rPr>
              <w:t>Percentage of Revenues</w:t>
            </w: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gridSpan w:val="8"/>
            <w:vMerge w:val="continue"/>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4"/>
                <w:szCs w:val="14"/>
                <w:b w:val="1"/>
                <w:bCs w:val="1"/>
                <w:color w:val="auto"/>
                <w:w w:val="92"/>
              </w:rPr>
              <w:t>Year Ended 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0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9"/>
                <w:szCs w:val="19"/>
                <w:color w:val="auto"/>
              </w:rPr>
            </w:pPr>
          </w:p>
        </w:tc>
        <w:tc>
          <w:tcPr>
            <w:tcW w:w="104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7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restart"/>
          </w:tcPr>
          <w:p>
            <w:pPr>
              <w:jc w:val="right"/>
              <w:ind w:right="873"/>
              <w:spacing w:after="0"/>
              <w:rPr>
                <w:sz w:val="20"/>
                <w:szCs w:val="20"/>
                <w:color w:val="auto"/>
              </w:rPr>
            </w:pPr>
            <w:r>
              <w:rPr>
                <w:rFonts w:ascii="Arial" w:cs="Arial" w:eastAsia="Arial" w:hAnsi="Arial"/>
                <w:sz w:val="18"/>
                <w:szCs w:val="18"/>
                <w:color w:val="auto"/>
                <w:w w:val="79"/>
              </w:rPr>
              <w:t>29</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gridSpan w:val="6"/>
            <w:vMerge w:val="restart"/>
          </w:tcPr>
          <w:p>
            <w:pPr>
              <w:jc w:val="center"/>
              <w:ind w:right="150"/>
              <w:spacing w:after="0"/>
              <w:rPr>
                <w:sz w:val="20"/>
                <w:szCs w:val="20"/>
                <w:color w:val="auto"/>
              </w:rPr>
            </w:pPr>
            <w:r>
              <w:rPr>
                <w:rFonts w:ascii="Arial" w:cs="Arial" w:eastAsia="Arial" w:hAnsi="Arial"/>
                <w:sz w:val="14"/>
                <w:szCs w:val="14"/>
                <w:b w:val="1"/>
                <w:bCs w:val="1"/>
                <w:color w:val="auto"/>
                <w:w w:val="92"/>
              </w:rPr>
              <w:t>Year Ended September 30,</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3"/>
            <w:vMerge w:val="restart"/>
          </w:tcPr>
          <w:p>
            <w:pPr>
              <w:jc w:val="center"/>
              <w:ind w:right="74"/>
              <w:spacing w:after="0"/>
              <w:rPr>
                <w:sz w:val="20"/>
                <w:szCs w:val="20"/>
                <w:color w:val="auto"/>
              </w:rPr>
            </w:pPr>
            <w:r>
              <w:rPr>
                <w:rFonts w:ascii="Arial" w:cs="Arial" w:eastAsia="Arial" w:hAnsi="Arial"/>
                <w:sz w:val="14"/>
                <w:szCs w:val="14"/>
                <w:b w:val="1"/>
                <w:bCs w:val="1"/>
                <w:color w:val="auto"/>
                <w:w w:val="95"/>
              </w:rPr>
              <w:t>Period-to-Period Change</w:t>
            </w:r>
          </w:p>
        </w:tc>
        <w:tc>
          <w:tcPr>
            <w:tcW w:w="100" w:type="dxa"/>
            <w:vAlign w:val="bottom"/>
            <w:vMerge w:val="restart"/>
          </w:tcPr>
          <w:p>
            <w:pPr>
              <w:spacing w:after="0"/>
              <w:rPr>
                <w:sz w:val="14"/>
                <w:szCs w:val="14"/>
                <w:color w:val="auto"/>
              </w:rPr>
            </w:pPr>
          </w:p>
        </w:tc>
        <w:tc>
          <w:tcPr>
            <w:tcW w:w="3000" w:type="dxa"/>
            <w:vAlign w:val="bottom"/>
            <w:gridSpan w:val="3"/>
          </w:tcPr>
          <w:p>
            <w:pPr>
              <w:jc w:val="right"/>
              <w:ind w:right="894"/>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2016 to 2015</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 to 2014</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 to 2015</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 to 2014</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Transactional</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328,472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320,596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313,316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7,876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7,280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1120" w:type="dxa"/>
            <w:vAlign w:val="bottom"/>
          </w:tcPr>
          <w:p>
            <w:pPr>
              <w:ind w:left="40"/>
              <w:spacing w:after="0"/>
              <w:rPr>
                <w:sz w:val="20"/>
                <w:szCs w:val="20"/>
                <w:color w:val="auto"/>
              </w:rPr>
            </w:pPr>
            <w:r>
              <w:rPr>
                <w:rFonts w:ascii="Arial" w:cs="Arial" w:eastAsia="Arial" w:hAnsi="Arial"/>
                <w:sz w:val="18"/>
                <w:szCs w:val="18"/>
                <w:color w:val="auto"/>
              </w:rPr>
              <w:t>Professional</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4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138,775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124,562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121,100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78"/>
              <w:spacing w:after="0"/>
              <w:rPr>
                <w:sz w:val="20"/>
                <w:szCs w:val="20"/>
                <w:color w:val="auto"/>
              </w:rPr>
            </w:pPr>
            <w:r>
              <w:rPr>
                <w:rFonts w:ascii="Arial" w:cs="Arial" w:eastAsia="Arial" w:hAnsi="Arial"/>
                <w:sz w:val="18"/>
                <w:szCs w:val="18"/>
                <w:color w:val="auto"/>
              </w:rPr>
              <w:t>14,213</w:t>
            </w:r>
          </w:p>
        </w:tc>
        <w:tc>
          <w:tcPr>
            <w:tcW w:w="26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65,395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(15,721)</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11,276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112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532,642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526,274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504,256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78"/>
              <w:spacing w:after="0"/>
              <w:rPr>
                <w:sz w:val="20"/>
                <w:szCs w:val="20"/>
                <w:color w:val="auto"/>
              </w:rPr>
            </w:pPr>
            <w:r>
              <w:rPr>
                <w:rFonts w:ascii="Arial" w:cs="Arial" w:eastAsia="Arial" w:hAnsi="Arial"/>
                <w:sz w:val="18"/>
                <w:szCs w:val="18"/>
                <w:color w:val="auto"/>
              </w:rPr>
              <w:t>6,368</w:t>
            </w:r>
          </w:p>
        </w:tc>
        <w:tc>
          <w:tcPr>
            <w:tcW w:w="26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 xml:space="preserve">Applications </w:t>
      </w:r>
      <w:r>
        <w:rPr>
          <w:rFonts w:ascii="Arial" w:cs="Arial" w:eastAsia="Arial" w:hAnsi="Arial"/>
          <w:sz w:val="18"/>
          <w:szCs w:val="18"/>
          <w:color w:val="auto"/>
        </w:rPr>
        <w:t>segment revenues increased $6.4 million in fiscal 2016 from 2015 primarily due to an $11.3 million increase in 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originations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$10.9 million increase in our </w:t>
      </w:r>
      <w:r>
        <w:rPr>
          <w:rFonts w:ascii="Arial" w:cs="Arial" w:eastAsia="Arial" w:hAnsi="Arial"/>
          <w:sz w:val="18"/>
          <w:szCs w:val="18"/>
          <w:i w:val="1"/>
          <w:iCs w:val="1"/>
          <w:color w:val="auto"/>
        </w:rPr>
        <w:t>customer communication</w:t>
      </w:r>
      <w:r>
        <w:rPr>
          <w:rFonts w:ascii="Arial" w:cs="Arial" w:eastAsia="Arial" w:hAnsi="Arial"/>
          <w:sz w:val="18"/>
          <w:szCs w:val="18"/>
          <w:color w:val="auto"/>
        </w:rPr>
        <w:t xml:space="preserve"> services, and a $5.1 million increase in our </w:t>
      </w:r>
      <w:r>
        <w:rPr>
          <w:rFonts w:ascii="Arial" w:cs="Arial" w:eastAsia="Arial" w:hAnsi="Arial"/>
          <w:sz w:val="18"/>
          <w:szCs w:val="18"/>
          <w:i w:val="1"/>
          <w:iCs w:val="1"/>
          <w:color w:val="auto"/>
        </w:rPr>
        <w:t>compliance</w:t>
      </w:r>
      <w:r>
        <w:rPr>
          <w:rFonts w:ascii="Arial" w:cs="Arial" w:eastAsia="Arial" w:hAnsi="Arial"/>
          <w:sz w:val="18"/>
          <w:szCs w:val="18"/>
          <w:color w:val="auto"/>
        </w:rPr>
        <w:t xml:space="preserve"> solutions, partially offset by a $19.2 million decrease in our </w:t>
      </w:r>
      <w:r>
        <w:rPr>
          <w:rFonts w:ascii="Arial" w:cs="Arial" w:eastAsia="Arial" w:hAnsi="Arial"/>
          <w:sz w:val="18"/>
          <w:szCs w:val="18"/>
          <w:i w:val="1"/>
          <w:iCs w:val="1"/>
          <w:color w:val="auto"/>
        </w:rPr>
        <w:t>fraud</w:t>
      </w:r>
      <w:r>
        <w:rPr>
          <w:rFonts w:ascii="Arial" w:cs="Arial" w:eastAsia="Arial" w:hAnsi="Arial"/>
          <w:sz w:val="18"/>
          <w:szCs w:val="18"/>
          <w:color w:val="auto"/>
        </w:rPr>
        <w:t xml:space="preserve"> solutions. The increase in </w:t>
      </w:r>
      <w:r>
        <w:rPr>
          <w:rFonts w:ascii="Arial" w:cs="Arial" w:eastAsia="Arial" w:hAnsi="Arial"/>
          <w:sz w:val="18"/>
          <w:szCs w:val="18"/>
          <w:i w:val="1"/>
          <w:iCs w:val="1"/>
          <w:color w:val="auto"/>
        </w:rPr>
        <w:t>originations</w:t>
      </w:r>
      <w:r>
        <w:rPr>
          <w:rFonts w:ascii="Arial" w:cs="Arial" w:eastAsia="Arial" w:hAnsi="Arial"/>
          <w:sz w:val="18"/>
          <w:szCs w:val="18"/>
          <w:color w:val="auto"/>
        </w:rPr>
        <w:t xml:space="preserve"> solutions was primarily attributable to an increase in services revenue. The increase in </w:t>
      </w:r>
      <w:r>
        <w:rPr>
          <w:rFonts w:ascii="Arial" w:cs="Arial" w:eastAsia="Arial" w:hAnsi="Arial"/>
          <w:sz w:val="18"/>
          <w:szCs w:val="18"/>
          <w:i w:val="1"/>
          <w:iCs w:val="1"/>
          <w:color w:val="auto"/>
        </w:rPr>
        <w:t>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communication </w:t>
      </w:r>
      <w:r>
        <w:rPr>
          <w:rFonts w:ascii="Arial" w:cs="Arial" w:eastAsia="Arial" w:hAnsi="Arial"/>
          <w:sz w:val="18"/>
          <w:szCs w:val="18"/>
          <w:color w:val="auto"/>
        </w:rPr>
        <w:t>services was primarily attributable to an increase in transactional revenues as a result of our growth in the mobile communication market.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in </w:t>
      </w:r>
      <w:r>
        <w:rPr>
          <w:rFonts w:ascii="Arial" w:cs="Arial" w:eastAsia="Arial" w:hAnsi="Arial"/>
          <w:sz w:val="18"/>
          <w:szCs w:val="18"/>
          <w:i w:val="1"/>
          <w:iCs w:val="1"/>
          <w:color w:val="auto"/>
        </w:rPr>
        <w:t>compliance</w:t>
      </w:r>
      <w:r>
        <w:rPr>
          <w:rFonts w:ascii="Arial" w:cs="Arial" w:eastAsia="Arial" w:hAnsi="Arial"/>
          <w:sz w:val="18"/>
          <w:szCs w:val="18"/>
          <w:color w:val="auto"/>
        </w:rPr>
        <w:t xml:space="preserve"> solutions was primarily attributable to our acquisition of TONBELLER in January 2015. The decrease in </w:t>
      </w:r>
      <w:r>
        <w:rPr>
          <w:rFonts w:ascii="Arial" w:cs="Arial" w:eastAsia="Arial" w:hAnsi="Arial"/>
          <w:sz w:val="18"/>
          <w:szCs w:val="18"/>
          <w:i w:val="1"/>
          <w:iCs w:val="1"/>
          <w:color w:val="auto"/>
        </w:rPr>
        <w:t>fraud</w:t>
      </w:r>
      <w:r>
        <w:rPr>
          <w:rFonts w:ascii="Arial" w:cs="Arial" w:eastAsia="Arial" w:hAnsi="Arial"/>
          <w:sz w:val="18"/>
          <w:szCs w:val="18"/>
          <w:color w:val="auto"/>
        </w:rPr>
        <w:t xml:space="preserve"> solutions was primarily attributable to a decrease in software revenues mainly driven by decreased number of large multi-year license deals occurring during our fiscal 2016.</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 xml:space="preserve">Applications </w:t>
      </w:r>
      <w:r>
        <w:rPr>
          <w:rFonts w:ascii="Arial" w:cs="Arial" w:eastAsia="Arial" w:hAnsi="Arial"/>
          <w:sz w:val="18"/>
          <w:szCs w:val="18"/>
          <w:color w:val="auto"/>
        </w:rPr>
        <w:t>segment revenues increased $22.0 million in fiscal 2015 from 2014 primarily due to an $11.1 million increase in 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solutions, a $10.0 million increase in our </w:t>
      </w:r>
      <w:r>
        <w:rPr>
          <w:rFonts w:ascii="Arial" w:cs="Arial" w:eastAsia="Arial" w:hAnsi="Arial"/>
          <w:sz w:val="18"/>
          <w:szCs w:val="18"/>
          <w:i w:val="1"/>
          <w:iCs w:val="1"/>
          <w:color w:val="auto"/>
        </w:rPr>
        <w:t>fraud</w:t>
      </w:r>
      <w:r>
        <w:rPr>
          <w:rFonts w:ascii="Arial" w:cs="Arial" w:eastAsia="Arial" w:hAnsi="Arial"/>
          <w:sz w:val="18"/>
          <w:szCs w:val="18"/>
          <w:color w:val="auto"/>
        </w:rPr>
        <w:t xml:space="preserve"> solutions, and a $4.1 million increase in our </w:t>
      </w:r>
      <w:r>
        <w:rPr>
          <w:rFonts w:ascii="Arial" w:cs="Arial" w:eastAsia="Arial" w:hAnsi="Arial"/>
          <w:sz w:val="18"/>
          <w:szCs w:val="18"/>
          <w:i w:val="1"/>
          <w:iCs w:val="1"/>
          <w:color w:val="auto"/>
        </w:rPr>
        <w:t>customer communication</w:t>
      </w:r>
      <w:r>
        <w:rPr>
          <w:rFonts w:ascii="Arial" w:cs="Arial" w:eastAsia="Arial" w:hAnsi="Arial"/>
          <w:sz w:val="18"/>
          <w:szCs w:val="18"/>
          <w:color w:val="auto"/>
        </w:rPr>
        <w:t xml:space="preserve"> services, partially offset by a $3.3 million decrease in our </w:t>
      </w:r>
      <w:r>
        <w:rPr>
          <w:rFonts w:ascii="Arial" w:cs="Arial" w:eastAsia="Arial" w:hAnsi="Arial"/>
          <w:sz w:val="18"/>
          <w:szCs w:val="18"/>
          <w:i w:val="1"/>
          <w:iCs w:val="1"/>
          <w:color w:val="auto"/>
        </w:rPr>
        <w:t>marketing</w:t>
      </w:r>
      <w:r>
        <w:rPr>
          <w:rFonts w:ascii="Arial" w:cs="Arial" w:eastAsia="Arial" w:hAnsi="Arial"/>
          <w:sz w:val="18"/>
          <w:szCs w:val="18"/>
          <w:color w:val="auto"/>
        </w:rPr>
        <w:t xml:space="preserve"> solutions. The increase in </w:t>
      </w:r>
      <w:r>
        <w:rPr>
          <w:rFonts w:ascii="Arial" w:cs="Arial" w:eastAsia="Arial" w:hAnsi="Arial"/>
          <w:sz w:val="18"/>
          <w:szCs w:val="18"/>
          <w:i w:val="1"/>
          <w:iCs w:val="1"/>
          <w:color w:val="auto"/>
        </w:rPr>
        <w:t>compliance</w:t>
      </w:r>
      <w:r>
        <w:rPr>
          <w:rFonts w:ascii="Arial" w:cs="Arial" w:eastAsia="Arial" w:hAnsi="Arial"/>
          <w:sz w:val="18"/>
          <w:szCs w:val="18"/>
          <w:color w:val="auto"/>
        </w:rPr>
        <w:t xml:space="preserve"> solutions was attributable to our acquisition of TONBELLER in January 2015. The increase in </w:t>
      </w:r>
      <w:r>
        <w:rPr>
          <w:rFonts w:ascii="Arial" w:cs="Arial" w:eastAsia="Arial" w:hAnsi="Arial"/>
          <w:sz w:val="18"/>
          <w:szCs w:val="18"/>
          <w:i w:val="1"/>
          <w:iCs w:val="1"/>
          <w:color w:val="auto"/>
        </w:rPr>
        <w:t>fraud</w:t>
      </w:r>
      <w:r>
        <w:rPr>
          <w:rFonts w:ascii="Arial" w:cs="Arial" w:eastAsia="Arial" w:hAnsi="Arial"/>
          <w:sz w:val="18"/>
          <w:szCs w:val="18"/>
          <w:color w:val="auto"/>
        </w:rPr>
        <w:t xml:space="preserve"> solutions was primarily attributable to increased number of large multi-year license transactions during fiscal 2015, as well as an increase in transactional revenues driven by increased volumes. The increase in </w:t>
      </w:r>
      <w:r>
        <w:rPr>
          <w:rFonts w:ascii="Arial" w:cs="Arial" w:eastAsia="Arial" w:hAnsi="Arial"/>
          <w:sz w:val="18"/>
          <w:szCs w:val="18"/>
          <w:i w:val="1"/>
          <w:iCs w:val="1"/>
          <w:color w:val="auto"/>
        </w:rPr>
        <w:t>customer communication</w:t>
      </w:r>
      <w:r>
        <w:rPr>
          <w:rFonts w:ascii="Arial" w:cs="Arial" w:eastAsia="Arial" w:hAnsi="Arial"/>
          <w:sz w:val="18"/>
          <w:szCs w:val="18"/>
          <w:color w:val="auto"/>
        </w:rPr>
        <w:t xml:space="preserve"> services was primarily attributable to an increase in transactional revenues as a result of our growth in the mobile communication market. The decrease in </w:t>
      </w:r>
      <w:r>
        <w:rPr>
          <w:rFonts w:ascii="Arial" w:cs="Arial" w:eastAsia="Arial" w:hAnsi="Arial"/>
          <w:sz w:val="18"/>
          <w:szCs w:val="18"/>
          <w:i w:val="1"/>
          <w:iCs w:val="1"/>
          <w:color w:val="auto"/>
        </w:rPr>
        <w:t>marketing</w:t>
      </w:r>
      <w:r>
        <w:rPr>
          <w:rFonts w:ascii="Arial" w:cs="Arial" w:eastAsia="Arial" w:hAnsi="Arial"/>
          <w:sz w:val="18"/>
          <w:szCs w:val="18"/>
          <w:color w:val="auto"/>
        </w:rPr>
        <w:t xml:space="preserve"> solutions was primarily attributable to terminations of several customers in fiscal 2015.</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Scores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6"/>
            <w:vMerge w:val="restart"/>
          </w:tcPr>
          <w:p>
            <w:pPr>
              <w:jc w:val="center"/>
              <w:ind w:right="110"/>
              <w:spacing w:after="0"/>
              <w:rPr>
                <w:sz w:val="20"/>
                <w:szCs w:val="20"/>
                <w:color w:val="auto"/>
              </w:rPr>
            </w:pPr>
            <w:r>
              <w:rPr>
                <w:rFonts w:ascii="Arial" w:cs="Arial" w:eastAsia="Arial" w:hAnsi="Arial"/>
                <w:sz w:val="14"/>
                <w:szCs w:val="14"/>
                <w:b w:val="1"/>
                <w:bCs w:val="1"/>
                <w:color w:val="auto"/>
                <w:w w:val="92"/>
              </w:rPr>
              <w:t>Year Ended September 30,</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3"/>
            <w:vMerge w:val="restart"/>
          </w:tcPr>
          <w:p>
            <w:pPr>
              <w:jc w:val="center"/>
              <w:ind w:right="94"/>
              <w:spacing w:after="0"/>
              <w:rPr>
                <w:sz w:val="20"/>
                <w:szCs w:val="20"/>
                <w:color w:val="auto"/>
              </w:rPr>
            </w:pPr>
            <w:r>
              <w:rPr>
                <w:rFonts w:ascii="Arial" w:cs="Arial" w:eastAsia="Arial" w:hAnsi="Arial"/>
                <w:sz w:val="14"/>
                <w:szCs w:val="14"/>
                <w:b w:val="1"/>
                <w:bCs w:val="1"/>
                <w:color w:val="auto"/>
                <w:w w:val="95"/>
              </w:rPr>
              <w:t>Period-to-Period Change</w:t>
            </w:r>
          </w:p>
        </w:tc>
        <w:tc>
          <w:tcPr>
            <w:tcW w:w="100" w:type="dxa"/>
            <w:vAlign w:val="bottom"/>
            <w:vMerge w:val="restart"/>
          </w:tcPr>
          <w:p>
            <w:pPr>
              <w:spacing w:after="0"/>
              <w:rPr>
                <w:sz w:val="14"/>
                <w:szCs w:val="14"/>
                <w:color w:val="auto"/>
              </w:rPr>
            </w:pPr>
          </w:p>
        </w:tc>
        <w:tc>
          <w:tcPr>
            <w:tcW w:w="3060" w:type="dxa"/>
            <w:vAlign w:val="bottom"/>
            <w:gridSpan w:val="3"/>
          </w:tcPr>
          <w:p>
            <w:pPr>
              <w:jc w:val="right"/>
              <w:ind w:right="914"/>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6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2016 to 2015</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2015 to 2014</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 to 2015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 to 2014</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Transactional</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233,655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200,426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178,023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33,229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22,403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1120" w:type="dxa"/>
            <w:vAlign w:val="bottom"/>
          </w:tcPr>
          <w:p>
            <w:pPr>
              <w:ind w:left="40"/>
              <w:spacing w:after="0"/>
              <w:rPr>
                <w:sz w:val="20"/>
                <w:szCs w:val="20"/>
                <w:color w:val="auto"/>
              </w:rPr>
            </w:pPr>
            <w:r>
              <w:rPr>
                <w:rFonts w:ascii="Arial" w:cs="Arial" w:eastAsia="Arial" w:hAnsi="Arial"/>
                <w:sz w:val="18"/>
                <w:szCs w:val="18"/>
                <w:color w:val="auto"/>
              </w:rPr>
              <w:t>Professional</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40"/>
              <w:spacing w:after="0"/>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1,284</w:t>
            </w:r>
          </w:p>
        </w:tc>
        <w:tc>
          <w:tcPr>
            <w:tcW w:w="28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112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241,059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207,007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186,469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34,052</w:t>
            </w:r>
          </w:p>
        </w:tc>
        <w:tc>
          <w:tcPr>
            <w:tcW w:w="28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20,538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8"/>
          <w:szCs w:val="18"/>
          <w:b w:val="1"/>
          <w:bCs w:val="1"/>
          <w:color w:val="auto"/>
        </w:rPr>
        <w:t xml:space="preserve">Scores </w:t>
      </w:r>
      <w:r>
        <w:rPr>
          <w:rFonts w:ascii="Arial" w:cs="Arial" w:eastAsia="Arial" w:hAnsi="Arial"/>
          <w:sz w:val="18"/>
          <w:szCs w:val="18"/>
          <w:color w:val="auto"/>
        </w:rPr>
        <w:t>segment revenues increased $34.1 million in fiscal 2016 from 2015 due to a $17.8 million increase in our business-to-consumer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and a $16.3 million increase in our business-to-business scores revenue. The increase in business-to-consumer services was primarily attributable to revenue generated from the agreement with Experian that launched in December 2014 and made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Scores available to consumers on Experian.com. The increase in business-to-business scores was primarily attributable to an increase in our transactional scores driven by new originations, account management and prescreen.</w:t>
      </w:r>
    </w:p>
    <w:p>
      <w:pPr>
        <w:spacing w:after="0" w:line="146"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6"/>
          <w:szCs w:val="16"/>
          <w:b w:val="1"/>
          <w:bCs w:val="1"/>
          <w:color w:val="auto"/>
        </w:rPr>
        <w:t xml:space="preserve">Scores </w:t>
      </w:r>
      <w:r>
        <w:rPr>
          <w:rFonts w:ascii="Arial" w:cs="Arial" w:eastAsia="Arial" w:hAnsi="Arial"/>
          <w:sz w:val="16"/>
          <w:szCs w:val="16"/>
          <w:color w:val="auto"/>
        </w:rPr>
        <w:t>segment revenues increased $20.5 million in fiscal 2015 from 2014 due to a $20.6 million increase in our business-to-consumer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partially offset by a decrease of $0.1 million in our business-to-business scores revenue. The increase in business-to-consumer services was primarily attributable to revenue generated from the agreement with Experian that launched in December 2014 and made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available to consumers on Experian.com. The decrease in our business-to-business scores was primarily attributable to decreased software revenue related to our Global FICO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Score, and a royalty true-up during fiscal 2014, partially offset by an increase in our transactional scores driven by new originations and prescreen.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fiscal 2016, 2015 and 2014, revenues generated from our agreements with Equifax, TransUnion and Experian, collectively accounted for approximately 19%, 16% and 15%, respectively, of our total revenues, including revenues from these customers recorded in our other segments.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6"/>
            <w:vMerge w:val="restart"/>
          </w:tcPr>
          <w:p>
            <w:pPr>
              <w:jc w:val="center"/>
              <w:ind w:right="130"/>
              <w:spacing w:after="0"/>
              <w:rPr>
                <w:sz w:val="20"/>
                <w:szCs w:val="20"/>
                <w:color w:val="auto"/>
              </w:rPr>
            </w:pPr>
            <w:r>
              <w:rPr>
                <w:rFonts w:ascii="Arial" w:cs="Arial" w:eastAsia="Arial" w:hAnsi="Arial"/>
                <w:sz w:val="14"/>
                <w:szCs w:val="14"/>
                <w:b w:val="1"/>
                <w:bCs w:val="1"/>
                <w:color w:val="auto"/>
                <w:w w:val="92"/>
              </w:rPr>
              <w:t>Year Ended September 30,</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3"/>
            <w:vMerge w:val="restart"/>
          </w:tcPr>
          <w:p>
            <w:pPr>
              <w:jc w:val="center"/>
              <w:ind w:right="94"/>
              <w:spacing w:after="0"/>
              <w:rPr>
                <w:sz w:val="20"/>
                <w:szCs w:val="20"/>
                <w:color w:val="auto"/>
              </w:rPr>
            </w:pPr>
            <w:r>
              <w:rPr>
                <w:rFonts w:ascii="Arial" w:cs="Arial" w:eastAsia="Arial" w:hAnsi="Arial"/>
                <w:sz w:val="14"/>
                <w:szCs w:val="14"/>
                <w:b w:val="1"/>
                <w:bCs w:val="1"/>
                <w:color w:val="auto"/>
                <w:w w:val="94"/>
              </w:rPr>
              <w:t>Period-to-Period Change</w:t>
            </w:r>
          </w:p>
        </w:tc>
        <w:tc>
          <w:tcPr>
            <w:tcW w:w="100" w:type="dxa"/>
            <w:vAlign w:val="bottom"/>
            <w:vMerge w:val="restart"/>
          </w:tcPr>
          <w:p>
            <w:pPr>
              <w:spacing w:after="0"/>
              <w:rPr>
                <w:sz w:val="14"/>
                <w:szCs w:val="14"/>
                <w:color w:val="auto"/>
              </w:rPr>
            </w:pPr>
          </w:p>
        </w:tc>
        <w:tc>
          <w:tcPr>
            <w:tcW w:w="3060" w:type="dxa"/>
            <w:vAlign w:val="bottom"/>
            <w:gridSpan w:val="3"/>
          </w:tcPr>
          <w:p>
            <w:pPr>
              <w:jc w:val="right"/>
              <w:ind w:right="914"/>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6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w w:val="98"/>
              </w:rPr>
              <w:t>2016 to 2015</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 to 2014</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 to 2015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 to 2014</w:t>
            </w: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Transactional</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43,792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43,210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36,224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1120" w:type="dxa"/>
            <w:vAlign w:val="bottom"/>
          </w:tcPr>
          <w:p>
            <w:pPr>
              <w:ind w:left="40"/>
              <w:spacing w:after="0"/>
              <w:rPr>
                <w:sz w:val="20"/>
                <w:szCs w:val="20"/>
                <w:color w:val="auto"/>
              </w:rPr>
            </w:pPr>
            <w:r>
              <w:rPr>
                <w:rFonts w:ascii="Arial" w:cs="Arial" w:eastAsia="Arial" w:hAnsi="Arial"/>
                <w:sz w:val="18"/>
                <w:szCs w:val="18"/>
                <w:color w:val="auto"/>
              </w:rPr>
              <w:t>Professional</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40"/>
              <w:spacing w:after="0"/>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24,310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25,950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2,468</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37,980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(895)</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7"/>
        </w:trPr>
        <w:tc>
          <w:tcPr>
            <w:tcW w:w="112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107,655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105,500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98,260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2,155</w:t>
            </w:r>
          </w:p>
        </w:tc>
        <w:tc>
          <w:tcPr>
            <w:tcW w:w="26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6"/>
          <w:szCs w:val="16"/>
          <w:b w:val="1"/>
          <w:bCs w:val="1"/>
          <w:color w:val="auto"/>
        </w:rPr>
        <w:t xml:space="preserve">Decision Management Software </w:t>
      </w:r>
      <w:r>
        <w:rPr>
          <w:rFonts w:ascii="Arial" w:cs="Arial" w:eastAsia="Arial" w:hAnsi="Arial"/>
          <w:sz w:val="16"/>
          <w:szCs w:val="16"/>
          <w:color w:val="auto"/>
        </w:rPr>
        <w:t>segment revenues increased $2.2 million in fiscal 2016 from 2015 primarily attributable to an increase in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largely due to an increase in our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Decision Management Platform product partially offset by a decrease in our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Blaze Advisor product.</w:t>
      </w:r>
    </w:p>
    <w:p>
      <w:pPr>
        <w:spacing w:after="0" w:line="1" w:lineRule="exact"/>
        <w:rPr>
          <w:sz w:val="20"/>
          <w:szCs w:val="20"/>
          <w:color w:val="auto"/>
        </w:rPr>
      </w:pPr>
    </w:p>
    <w:p>
      <w:pPr>
        <w:jc w:val="both"/>
        <w:ind w:firstLine="432"/>
        <w:spacing w:after="0" w:line="220" w:lineRule="auto"/>
        <w:rPr>
          <w:sz w:val="20"/>
          <w:szCs w:val="20"/>
          <w:color w:val="auto"/>
        </w:rPr>
      </w:pPr>
      <w:r>
        <w:rPr>
          <w:rFonts w:ascii="Arial" w:cs="Arial" w:eastAsia="Arial" w:hAnsi="Arial"/>
          <w:sz w:val="18"/>
          <w:szCs w:val="18"/>
          <w:b w:val="1"/>
          <w:bCs w:val="1"/>
          <w:color w:val="auto"/>
        </w:rPr>
        <w:t xml:space="preserve">Decision Management Software </w:t>
      </w:r>
      <w:r>
        <w:rPr>
          <w:rFonts w:ascii="Arial" w:cs="Arial" w:eastAsia="Arial" w:hAnsi="Arial"/>
          <w:sz w:val="18"/>
          <w:szCs w:val="18"/>
          <w:color w:val="auto"/>
        </w:rPr>
        <w:t>segment revenues increased $7.2 million in fiscal 2015 from 2014 primarily due to an increase in our FICO</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Decision Management Platform license sales as well as related services and transactional revenues, a one-time settlement with a customer related to under-reported royalties from a multi-year period, as well as increased transactional revenues from our InfoCentricity acquisition in April 2014. The increase was partially offset by a decrease in </w:t>
      </w:r>
      <w:r>
        <w:rPr>
          <w:rFonts w:ascii="Arial" w:cs="Arial" w:eastAsia="Arial" w:hAnsi="Arial"/>
          <w:sz w:val="18"/>
          <w:szCs w:val="18"/>
          <w:i w:val="1"/>
          <w:iCs w:val="1"/>
          <w:color w:val="auto"/>
        </w:rPr>
        <w:t>optimization</w:t>
      </w:r>
      <w:r>
        <w:rPr>
          <w:rFonts w:ascii="Arial" w:cs="Arial" w:eastAsia="Arial" w:hAnsi="Arial"/>
          <w:sz w:val="18"/>
          <w:szCs w:val="18"/>
          <w:color w:val="auto"/>
        </w:rPr>
        <w:t xml:space="preserve"> tools primarily attributable to decreased license sales on our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Optimizer and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Xpress Optimization products.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(Expense), Net</w:t>
      </w:r>
    </w:p>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consolidated statements of income and comprehensive income for the fiscal 2016, 2015 and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3"/>
            <w:vMerge w:val="restart"/>
          </w:tcPr>
          <w:p>
            <w:pPr>
              <w:jc w:val="center"/>
              <w:ind w:right="51"/>
              <w:spacing w:after="0"/>
              <w:rPr>
                <w:sz w:val="20"/>
                <w:szCs w:val="20"/>
                <w:color w:val="auto"/>
              </w:rPr>
            </w:pPr>
            <w:r>
              <w:rPr>
                <w:rFonts w:ascii="Arial" w:cs="Arial" w:eastAsia="Arial" w:hAnsi="Arial"/>
                <w:sz w:val="14"/>
                <w:szCs w:val="14"/>
                <w:b w:val="1"/>
                <w:bCs w:val="1"/>
                <w:color w:val="auto"/>
                <w:w w:val="95"/>
              </w:rPr>
              <w:t>Period-to-Period Change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1"/>
        </w:trPr>
        <w:tc>
          <w:tcPr>
            <w:tcW w:w="19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w w:val="92"/>
              </w:rPr>
              <w:t>Year Ended September 30,</w:t>
            </w: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2016 to 2015</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2015 to 2014</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2016 to 2015</w:t>
            </w: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 to 2014</w:t>
            </w: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40" w:type="dxa"/>
            <w:vAlign w:val="bottom"/>
            <w:gridSpan w:val="7"/>
            <w:vMerge w:val="restart"/>
          </w:tcPr>
          <w:p>
            <w:pPr>
              <w:jc w:val="center"/>
              <w:ind w:left="332"/>
              <w:spacing w:after="0"/>
              <w:rPr>
                <w:sz w:val="20"/>
                <w:szCs w:val="20"/>
                <w:color w:val="auto"/>
              </w:rPr>
            </w:pPr>
            <w:r>
              <w:rPr>
                <w:rFonts w:ascii="Arial" w:cs="Arial" w:eastAsia="Arial" w:hAnsi="Arial"/>
                <w:sz w:val="14"/>
                <w:szCs w:val="14"/>
                <w:b w:val="1"/>
                <w:bCs w:val="1"/>
                <w:color w:val="auto"/>
                <w:w w:val="89"/>
              </w:rPr>
              <w:t>(In thousands, except employees)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3"/>
          </w:tcPr>
          <w:p>
            <w:pPr>
              <w:jc w:val="center"/>
              <w:ind w:right="51"/>
              <w:spacing w:after="0" w:line="153" w:lineRule="exact"/>
              <w:rPr>
                <w:sz w:val="20"/>
                <w:szCs w:val="20"/>
                <w:color w:val="auto"/>
              </w:rPr>
            </w:pPr>
            <w:r>
              <w:rPr>
                <w:rFonts w:ascii="Arial" w:cs="Arial" w:eastAsia="Arial" w:hAnsi="Arial"/>
                <w:sz w:val="14"/>
                <w:szCs w:val="14"/>
                <w:b w:val="1"/>
                <w:bCs w:val="1"/>
                <w:color w:val="auto"/>
                <w:w w:val="90"/>
              </w:rPr>
              <w:t>(In thousands, except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40" w:type="dxa"/>
            <w:vAlign w:val="bottom"/>
            <w:gridSpan w:val="7"/>
            <w:vMerge w:val="continue"/>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3"/>
          </w:tcPr>
          <w:p>
            <w:pPr>
              <w:jc w:val="center"/>
              <w:ind w:right="31"/>
              <w:spacing w:after="0"/>
              <w:rPr>
                <w:sz w:val="20"/>
                <w:szCs w:val="20"/>
                <w:color w:val="auto"/>
              </w:rPr>
            </w:pPr>
            <w:r>
              <w:rPr>
                <w:rFonts w:ascii="Arial" w:cs="Arial" w:eastAsia="Arial" w:hAnsi="Arial"/>
                <w:sz w:val="14"/>
                <w:szCs w:val="14"/>
                <w:b w:val="1"/>
                <w:bCs w:val="1"/>
                <w:color w:val="auto"/>
                <w:w w:val="88"/>
              </w:rPr>
              <w:t>employees)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881,356</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838,781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788,985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19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21,254</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1900" w:type="dxa"/>
            <w:vAlign w:val="bottom"/>
          </w:tcPr>
          <w:p>
            <w:pPr>
              <w:ind w:left="380"/>
              <w:spacing w:after="0"/>
              <w:rPr>
                <w:sz w:val="20"/>
                <w:szCs w:val="20"/>
                <w:color w:val="auto"/>
              </w:rPr>
            </w:pPr>
            <w:r>
              <w:rPr>
                <w:rFonts w:ascii="Arial" w:cs="Arial" w:eastAsia="Arial" w:hAnsi="Arial"/>
                <w:sz w:val="18"/>
                <w:szCs w:val="18"/>
                <w:color w:val="auto"/>
              </w:rPr>
              <w:t>Research and</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380"/>
              <w:spacing w:after="0"/>
              <w:rPr>
                <w:sz w:val="20"/>
                <w:szCs w:val="20"/>
                <w:color w:val="auto"/>
              </w:rPr>
            </w:pPr>
            <w:r>
              <w:rPr>
                <w:rFonts w:ascii="Arial" w:cs="Arial" w:eastAsia="Arial" w:hAnsi="Arial"/>
                <w:sz w:val="18"/>
                <w:szCs w:val="18"/>
                <w:color w:val="auto"/>
              </w:rPr>
              <w:t>development</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103,669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98,824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83,435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4,845</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15,389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Selling, general and</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328,940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28,938</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1900" w:type="dxa"/>
            <w:vAlign w:val="bottom"/>
          </w:tcPr>
          <w:p>
            <w:pPr>
              <w:ind w:left="380"/>
              <w:spacing w:after="0"/>
              <w:rPr>
                <w:sz w:val="20"/>
                <w:szCs w:val="20"/>
                <w:color w:val="auto"/>
              </w:rPr>
            </w:pPr>
            <w:r>
              <w:rPr>
                <w:rFonts w:ascii="Arial" w:cs="Arial" w:eastAsia="Arial" w:hAnsi="Arial"/>
                <w:sz w:val="18"/>
                <w:szCs w:val="18"/>
                <w:color w:val="auto"/>
              </w:rPr>
              <w:t>Amortization of</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13,673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11,917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Restructuring and</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acquisition-related</w:t>
            </w: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8"/>
                <w:szCs w:val="18"/>
                <w:color w:val="auto"/>
                <w:w w:val="91"/>
              </w:rPr>
              <w:t>Total operating expenses</w:t>
            </w: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711,764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701,276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10,488</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74,159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169,592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32,087</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(24,363)</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19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(26,633)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2,517</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Other income (expense),</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9"/>
        </w:trPr>
        <w:tc>
          <w:tcPr>
            <w:tcW w:w="1900" w:type="dxa"/>
            <w:vAlign w:val="bottom"/>
          </w:tcPr>
          <w:p>
            <w:pPr>
              <w:ind w:left="40"/>
              <w:spacing w:after="0"/>
              <w:rPr>
                <w:sz w:val="20"/>
                <w:szCs w:val="20"/>
                <w:color w:val="auto"/>
              </w:rPr>
            </w:pPr>
            <w:r>
              <w:rPr>
                <w:rFonts w:ascii="Arial" w:cs="Arial" w:eastAsia="Arial" w:hAnsi="Arial"/>
                <w:sz w:val="18"/>
                <w:szCs w:val="18"/>
                <w:color w:val="auto"/>
              </w:rPr>
              <w:t>Income before income</w:t>
            </w: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40"/>
              <w:spacing w:after="0"/>
              <w:rPr>
                <w:sz w:val="20"/>
                <w:szCs w:val="20"/>
                <w:color w:val="auto"/>
              </w:rPr>
            </w:pPr>
            <w:r>
              <w:rPr>
                <w:rFonts w:ascii="Arial" w:cs="Arial" w:eastAsia="Arial" w:hAnsi="Arial"/>
                <w:sz w:val="18"/>
                <w:szCs w:val="18"/>
                <w:color w:val="auto"/>
              </w:rPr>
              <w:t>taxes</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144,569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109,238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133,131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35,331</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(23,893)</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12,385</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97"/>
        </w:trPr>
        <w:tc>
          <w:tcPr>
            <w:tcW w:w="1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109,448</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86,502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94,879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22,946</w:t>
            </w:r>
          </w:p>
        </w:tc>
        <w:tc>
          <w:tcPr>
            <w:tcW w:w="2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(8,377)</w:t>
            </w:r>
          </w:p>
        </w:tc>
        <w:tc>
          <w:tcPr>
            <w:tcW w:w="14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Number of employees at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year-end</w:t>
            </w: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477"/>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Percentage of Revenues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19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8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2340" w:type="dxa"/>
            <w:vAlign w:val="bottom"/>
            <w:gridSpan w:val="2"/>
          </w:tcPr>
          <w:p>
            <w:pPr>
              <w:ind w:left="380"/>
              <w:spacing w:after="0"/>
              <w:rPr>
                <w:sz w:val="20"/>
                <w:szCs w:val="20"/>
                <w:color w:val="auto"/>
              </w:rPr>
            </w:pPr>
            <w:r>
              <w:rPr>
                <w:rFonts w:ascii="Arial" w:cs="Arial" w:eastAsia="Arial" w:hAnsi="Arial"/>
                <w:sz w:val="18"/>
                <w:szCs w:val="18"/>
                <w:color w:val="auto"/>
                <w:w w:val="88"/>
              </w:rPr>
              <w:t>Research and development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30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w w:val="96"/>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3060" w:type="dxa"/>
            <w:vAlign w:val="bottom"/>
            <w:gridSpan w:val="3"/>
          </w:tcPr>
          <w:p>
            <w:pPr>
              <w:ind w:left="380"/>
              <w:spacing w:after="0"/>
              <w:rPr>
                <w:sz w:val="20"/>
                <w:szCs w:val="20"/>
                <w:color w:val="auto"/>
              </w:rPr>
            </w:pPr>
            <w:r>
              <w:rPr>
                <w:rFonts w:ascii="Arial" w:cs="Arial" w:eastAsia="Arial" w:hAnsi="Arial"/>
                <w:sz w:val="18"/>
                <w:szCs w:val="18"/>
                <w:color w:val="auto"/>
              </w:rPr>
              <w:t>Amortization of intangible assets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0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w w:val="90"/>
              </w:rPr>
              <w:t>Restructuring and acquisition-related</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8"/>
                <w:szCs w:val="18"/>
                <w:color w:val="auto"/>
                <w:w w:val="91"/>
              </w:rPr>
              <w:t>Total operating expenses</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19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3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Cost of revenues consists primarily of employee salaries and benefits for personnel directly involved in developing, installing and supporting revenue products; travel costs; overhead costs; outside services; internal network hosting costs; software royalty fees; and credit bureau data and processing services.</w:t>
      </w:r>
    </w:p>
    <w:p>
      <w:pPr>
        <w:spacing w:after="0" w:line="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Cost of revenues as a percentage of revenues decreased to 30% during fiscal year 2016 from 32% during fiscal 2015. The $5.4 million decrease was primarily attributable to a $12.9 million decrease in outside services, partially offset by a $4.6 million increase in personnel and labor costs and a $2.4 million increase in direct materials cost. The decrease in outside services was primarily attributable to a decrease in our billable consulting projects utilizing temporary resources. The increase in personnel and labor costs was primarily attributable to an increase in incentive cost and share based compensation cost, partially offset by a decrease in professional services delivery cost. The increase in direct materials was primarily attributable to an increase in telecommunications cost associated with the increase in our </w:t>
      </w:r>
      <w:r>
        <w:rPr>
          <w:rFonts w:ascii="Arial" w:cs="Arial" w:eastAsia="Arial" w:hAnsi="Arial"/>
          <w:sz w:val="17"/>
          <w:szCs w:val="17"/>
          <w:i w:val="1"/>
          <w:iCs w:val="1"/>
          <w:color w:val="auto"/>
        </w:rPr>
        <w:t>customer communications services</w:t>
      </w:r>
      <w:r>
        <w:rPr>
          <w:rFonts w:ascii="Arial" w:cs="Arial" w:eastAsia="Arial" w:hAnsi="Arial"/>
          <w:sz w:val="17"/>
          <w:szCs w:val="17"/>
          <w:color w:val="auto"/>
        </w:rPr>
        <w:t xml:space="preserve"> subscription based revenue.</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Cost of revenues as a percentage of revenues increased to 32% during fiscal year 2015 from 31% during fiscal 2014. The $21.3 million increase was primarily attributable to an $8.8 million increase in outside services, a $7.9 million increase in direct materials, and a $6.4 million increase in personnel and labor costs. The increase in outside services was primarily attributable to an increase in our billable consulting projects utilizing temporary resources. The increase in direct materials was primarily attributable to an increase in third-party royalties cost associated with increased software license sales, as well as an increase in third-party data cost associated with the increase in our business-to-consumer subscription based revenue. The increase in personnel and labor costs was primarily attributable to an increase in professional services delivery cost, including a nonrecurring charge related to a large implementation project; an increase in salaries and benefits cost as a result of our increased headcount; and an increase in stock based compensation cost driven by the increase in our stock price, partially offset by a decrease in incentive cost.</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fiscal 2017, we expect cost of revenues as a percentage of revenues will be consistent with or slightly higher than those incurred during fiscal 2016.</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expenses include the personnel and related overhead costs incurred in the development of new products and services, including the research of mathematical and statistical models and the development of new versions of our products.</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fiscal year 2016 over 2015 increase of $4.8 million in research development expenses was primarily attributable to a $6.7 million increase in personnel and labor costs, partially offset by a $2.1 million decrease in outside services. The increase in personnel and labor costs was primarily driven by an increase in incentive cost and our continued investment in the areas of cloud computing and software-as-a-service (“SaaS”), as well as several new products primarily in the Decision Management Software segment. The decrease in outside services was primarily attributable to fewer internal projects utilizing temporary resources. Research and development expenses as a percentage of revenues were 12% during fiscal 2016, consistent with those incurred during fiscal 2015.</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Research and development expenses as a percentage of revenues increased to 12% during fiscal 2015 from 11% during fiscal 2014. The $15.4 million increase was attributable to a $15.3 million increase in personnel and labor costs, primarily driven by our continued investment in the areas of cloud computing and SaaS, as well as several new products primarily in the Decision Management Software segment.</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fiscal 2017, we expect that research and development expenditures as a percentage of revenues will be consistent with or slightly higher than those incurred during fiscal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Selling, general and administrative expenses consist principally of employee salaries and benefits; travel costs; overhead costs; advertising and other promotional expenses; corporate facilities expenses; legal expenses; business development expenses and the cost of operating computer systems.</w:t>
      </w:r>
    </w:p>
    <w:p>
      <w:pPr>
        <w:spacing w:after="0" w:line="7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Selling, general and administrative expenses as a percentage of revenues increased to 37% during fiscal 2016 from 36% during fiscal 2015. The $28.9 million increase was primarily attributable to a $23.5 million increase in labor and personnel costs and a $1.6 million increase in marketing expenses. The increase in personnel and costs was primarily attributable to an increase in salaries and benefits as a result of our increased headcount, an increase in incentive cost, and an increase in stock-based compensation cost primarily related to the reduction in our estimated forfeiture rate as well as higher stock price. The increase in marketing expenses was primarily attributable to our investment in expanding and refining our distribution capabilities.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Selling, general and administrative expenses as a percentage of revenues increased to 36% during fiscal 2015 from 35% during fiscal 2014. The $21.8 million increase was primarily attributable to a $16.4 million increase in personnel and labor costs, a $2.0 million increase in allocated facilities and infrastructure costs, and a $1.7 million increase in marketing expenses. The increase in labor and personnel costs was primarily attributable to an increase in salaries and benefits as a result of our increased headcount, an increase in commissions cost as a result of increased revenues, as well as an increase in stock-based compensation cost driven by the increase in our stock price. The increase in allocated facilities and infrastructure costs was primarily due to increased resource requirement as a result of our recent acquisitions. The increase in marketing expenses was primarily attributable to a company-wide marketing event during fiscal 2015.</w:t>
      </w:r>
    </w:p>
    <w:p>
      <w:pPr>
        <w:spacing w:after="0" w:line="1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fiscal 2017, we expect that selling, general and administrative expenses as a percentage of revenues will be consistent with those incurred during fiscal 2016.</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of intangible assets consists of expense related to intangible assets recorded in connection with our acquisitions. Our finite-lived intangible assets consist primarily of completed technology and customer contracts and relationships, which are being amortized using the straight-line method over periods ranging from five to fifteen years.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fiscal 2016 over 2015 increase in amortization expense of $0.3 million was primarily attributable to the addition of intangible assets associated with our TONBELLER acquisition in January 2015, partially offset by certain assets associated with our Entiera acquisition becoming fully amortized in May 2016.</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fiscal 2015 over 2014 increase in amortization expense of $1.7 million was primarily attributable to the addition of intangible assets associated with our TONBELLER acquisition in January 2015.</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fiscal 2017, we expect amortization expense will be slightly lower than that incurred in 2016.</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and Acquisition-Related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restructuring or acquisition-related expenses incurred during fiscal 2016.</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fiscal 2015, we incurred net charges totaling $17.5 million consisting of $13.6 million in facilities charges associated with vacating excess leased space in Roseville, Minnesota and San Rafael, California, and $3.9 million in severance charges due to the elimination of 97 positions throughout the company. Cash payments for all the facilities charges will be paid by the end of our fiscal 2020. Cash payments for all the severance costs were paid by the end of the third quarter of our fiscal 2016. We also incurred $0.7 million in acquisition-related cost primarily associated with our TONBELLER acquisition.</w:t>
      </w:r>
    </w:p>
    <w:p>
      <w:pPr>
        <w:spacing w:after="0" w:line="1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fiscal 2014, we incurred net charges totaling $4.1 million consisting of $0.2 million in facilities charges and $3.9 million in severance charges due to the elimination of 88 positions throughout the Company. Cash payments for all the restructuring charges were paid by the end of the second quarter of our fiscal 2015. We also incurred $0.2 million in acquisition-related cost primarily associated with our InfoCentricity acquisition.</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certain summary information on restructuring expenses for the fiscal 2016, 2015 and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Year Ended September 30,</w:t>
            </w: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2014</w:t>
            </w:r>
          </w:p>
        </w:tc>
      </w:tr>
      <w:tr>
        <w:trPr>
          <w:trHeight w:val="196"/>
        </w:trPr>
        <w:tc>
          <w:tcPr>
            <w:tcW w:w="4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costs</w:t>
            </w: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3,908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Lease exit costs and other adjustments</w:t>
            </w:r>
          </w:p>
        </w:tc>
        <w:tc>
          <w:tcPr>
            <w:tcW w:w="1560" w:type="dxa"/>
            <w:vAlign w:val="bottom"/>
          </w:tcPr>
          <w:p>
            <w:pPr>
              <w:spacing w:after="0"/>
              <w:rPr>
                <w:sz w:val="21"/>
                <w:szCs w:val="21"/>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13,571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167</w:t>
            </w:r>
          </w:p>
        </w:tc>
      </w:tr>
      <w:tr>
        <w:trPr>
          <w:trHeight w:val="27"/>
        </w:trPr>
        <w:tc>
          <w:tcPr>
            <w:tcW w:w="45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expense</w:t>
            </w: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17,479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expense includes primarily interest on the senior notes issued in May 2008 and July 2010, as well as interest and credit facility fees on the revolving line of credit. On our consolidated statements of income and comprehensive income, interest expense is netted with interest income, which is derived primarily from the investment of funds in excess of our immediate operating requirements.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fiscal 2016 over 2015 decrease in net interest expense of $2.5 million was primarily attributable to the $71.0 million principal payment in May 2015 on the senior notes issued in May 2008 and the $60.0 million principal payment in July 2016 on the senior notes issued in July 2010, resulting in lower average debt balances for fiscal 2016 for both senior notes, partially offset by a higher average balance on our revolving line of credit.</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fiscal 2015 over 2014 increase in net interest expense of $0.6 million was primarily attributable to a higher average balance on our revolving line of credit, partially offset by the $71.0 million principal payment in May 2015 on the senior notes issued in May 2008 resulting in lower average debt balance for fiscal 2015.</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2017, we expect net interest expense will be lower than what we incurred during fiscal 2016 due to the $60.0 million principal payment made in July 2016 and the $72.0 million principal payment due in July 2017 on our senior notes issued in July 2010.</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income (expense), net consists primarily of realized investment gains/losses,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fiscal 2016 over 2015 change in other income (expense), net of $0.7 million was primarily attributable to an increase in foreign currency exchange gain during fiscal 2016.</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fiscal 2015 over 2014 change in other income (expense), net of $1.1 million was primarily attributable to a decrease in foreign currency exchange loss during fiscal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rates were 24.3%, 20.8% and 28.7% in fiscal 2016, 2015 and 2014, respectively.</w:t>
      </w:r>
    </w:p>
    <w:p>
      <w:pPr>
        <w:spacing w:after="0" w:line="9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increase in our effective tax rate in fiscal 2016 compared to 2015 was primarily due to a higher percentage of revenue in higher taxing jurisdictions during the current year, and the favorable settlement of the fiscal 2006-2009 state audits and the 2010 foreign transfer pricing assessment in fiscal 2015, partially offset by higher foreign tax credits, research credits and domestic production deduction credits in fiscal 2016.</w:t>
      </w:r>
    </w:p>
    <w:p>
      <w:pPr>
        <w:spacing w:after="0" w:line="3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decrease in our effective tax rate in fiscal 2015 compared to 2014 was due primarily to the favorable settlement of the fiscal 2006-2009 state audits and the favorable settlement of the 2010 foreign transfer pricing assessment, as well as the December 2014 reenactment of the calendar 2014 U.S. Federal Research and Development Credit, which resulted in a catch up adjustment for the R&amp;D credit during fiscal 2015.</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September 30, 2016, we have not made a provision for U.S. or additional foreign withholding taxes on approximately $45.3 million of the excess of the amount for financial reporting over the tax basis of investments in foreign subsidiaries. We intend to reinvest the earnings of its non-U.S. subsidiaries in those operations indefinitely, except where we are able to repatriate these earnings to the United States without material incremental tax provision. The determination and estimation of the future income tax consequences in all relevant taxing jurisdictions involves the application of highly complex tax laws in the countries involved, particularly in the United States, and is based on our tax profile in the year of earnings repatriation. Accordingly, it is not practicable to estimate the amount of deferred tax liability related to investments in these foreign subsidiaries.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certain summary information on a segment basis related to our operating income for the fiscal 2016, 2015 and 2014: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11"/>
            <w:vMerge w:val="restart"/>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4"/>
              </w:rPr>
              <w:t>Period-to-Period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5"/>
          </w:tcPr>
          <w:p>
            <w:pPr>
              <w:jc w:val="right"/>
              <w:ind w:right="799"/>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1"/>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795"/>
              <w:spacing w:after="0"/>
              <w:rPr>
                <w:sz w:val="20"/>
                <w:szCs w:val="20"/>
                <w:color w:val="auto"/>
              </w:rPr>
            </w:pPr>
            <w:r>
              <w:rPr>
                <w:rFonts w:ascii="Arial" w:cs="Arial" w:eastAsia="Arial" w:hAnsi="Arial"/>
                <w:sz w:val="14"/>
                <w:szCs w:val="14"/>
                <w:b w:val="1"/>
                <w:bCs w:val="1"/>
                <w:color w:val="auto"/>
                <w:w w:val="93"/>
              </w:rPr>
              <w:t>Change</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29"/>
        </w:trPr>
        <w:tc>
          <w:tcPr>
            <w:tcW w:w="188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19"/>
                <w:szCs w:val="19"/>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2016 to 2015</w:t>
            </w:r>
          </w:p>
        </w:tc>
        <w:tc>
          <w:tcPr>
            <w:tcW w:w="280" w:type="dxa"/>
            <w:vAlign w:val="bottom"/>
          </w:tcPr>
          <w:p>
            <w:pPr>
              <w:spacing w:after="0"/>
              <w:rPr>
                <w:sz w:val="19"/>
                <w:szCs w:val="19"/>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w w:val="91"/>
              </w:rPr>
              <w:t>2015 to 2014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ind w:left="260"/>
              <w:spacing w:after="0"/>
              <w:rPr>
                <w:sz w:val="20"/>
                <w:szCs w:val="20"/>
                <w:color w:val="auto"/>
              </w:rPr>
            </w:pPr>
            <w:r>
              <w:rPr>
                <w:rFonts w:ascii="Arial" w:cs="Arial" w:eastAsia="Arial" w:hAnsi="Arial"/>
                <w:sz w:val="14"/>
                <w:szCs w:val="14"/>
                <w:b w:val="1"/>
                <w:bCs w:val="1"/>
                <w:color w:val="auto"/>
              </w:rPr>
              <w:t>2016 to 2015</w:t>
            </w:r>
          </w:p>
        </w:tc>
        <w:tc>
          <w:tcPr>
            <w:tcW w:w="20" w:type="dxa"/>
            <w:vAlign w:val="bottom"/>
          </w:tcPr>
          <w:p>
            <w:pPr>
              <w:spacing w:after="0"/>
              <w:rPr>
                <w:sz w:val="19"/>
                <w:szCs w:val="19"/>
                <w:color w:val="auto"/>
              </w:rPr>
            </w:pPr>
          </w:p>
        </w:tc>
        <w:tc>
          <w:tcPr>
            <w:tcW w:w="1340" w:type="dxa"/>
            <w:vAlign w:val="bottom"/>
          </w:tcPr>
          <w:p>
            <w:pPr>
              <w:jc w:val="right"/>
              <w:ind w:right="219"/>
              <w:spacing w:after="0"/>
              <w:rPr>
                <w:sz w:val="20"/>
                <w:szCs w:val="20"/>
                <w:color w:val="auto"/>
              </w:rPr>
            </w:pPr>
            <w:r>
              <w:rPr>
                <w:rFonts w:ascii="Arial" w:cs="Arial" w:eastAsia="Arial" w:hAnsi="Arial"/>
                <w:sz w:val="14"/>
                <w:szCs w:val="14"/>
                <w:b w:val="1"/>
                <w:bCs w:val="1"/>
                <w:color w:val="auto"/>
              </w:rPr>
              <w:t>2015 to 2014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168,271</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159,608</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169,494</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185,084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151,214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142,282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8,932</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Decision Management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(6,350)</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(10,553)</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Unallocated corporate</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(110,612)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(89,744)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(101,551)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(20,868)</w:t>
            </w: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11,807</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segment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239,083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214,728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214,428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1880" w:type="dxa"/>
            <w:vAlign w:val="bottom"/>
            <w:gridSpan w:val="3"/>
          </w:tcPr>
          <w:p>
            <w:pPr>
              <w:ind w:left="40"/>
              <w:spacing w:after="0"/>
              <w:rPr>
                <w:sz w:val="20"/>
                <w:szCs w:val="20"/>
                <w:color w:val="auto"/>
              </w:rPr>
            </w:pPr>
            <w:r>
              <w:rPr>
                <w:rFonts w:ascii="Arial" w:cs="Arial" w:eastAsia="Arial" w:hAnsi="Arial"/>
                <w:sz w:val="18"/>
                <w:szCs w:val="18"/>
                <w:color w:val="auto"/>
                <w:w w:val="90"/>
              </w:rPr>
              <w:t>Unallocated share-based</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compensation</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(55,509)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(45,308)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(36,362)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(10,201)</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(8,946)</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Unallocated</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(13,673)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(11,917)</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Unallocated</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restructuring and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3"/>
          </w:tcPr>
          <w:p>
            <w:pPr>
              <w:ind w:left="40"/>
              <w:spacing w:after="0"/>
              <w:rPr>
                <w:sz w:val="20"/>
                <w:szCs w:val="20"/>
                <w:color w:val="auto"/>
              </w:rPr>
            </w:pPr>
            <w:r>
              <w:rPr>
                <w:rFonts w:ascii="Arial" w:cs="Arial" w:eastAsia="Arial" w:hAnsi="Arial"/>
                <w:sz w:val="18"/>
                <w:szCs w:val="18"/>
                <w:color w:val="auto"/>
              </w:rPr>
              <w:t>acquisition-related</w:t>
            </w:r>
          </w:p>
        </w:tc>
        <w:tc>
          <w:tcPr>
            <w:tcW w:w="3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(18,242)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(4,281)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(13,961)</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169,592</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(24,363)</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rPr>
              <w:t>Applications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8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3"/>
          </w:tcPr>
          <w:p>
            <w:pPr>
              <w:jc w:val="center"/>
              <w:ind w:left="736"/>
              <w:spacing w:after="0"/>
              <w:rPr>
                <w:sz w:val="20"/>
                <w:szCs w:val="20"/>
                <w:color w:val="auto"/>
              </w:rPr>
            </w:pPr>
            <w:r>
              <w:rPr>
                <w:rFonts w:ascii="Arial" w:cs="Arial" w:eastAsia="Arial" w:hAnsi="Arial"/>
                <w:sz w:val="14"/>
                <w:szCs w:val="14"/>
                <w:b w:val="1"/>
                <w:bCs w:val="1"/>
                <w:color w:val="auto"/>
                <w:w w:val="92"/>
              </w:rPr>
              <w:t>Year Ended September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Percentage of Revenues</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460" w:type="dxa"/>
            <w:vAlign w:val="bottom"/>
            <w:gridSpan w:val="4"/>
          </w:tcPr>
          <w:p>
            <w:pPr>
              <w:jc w:val="center"/>
              <w:ind w:left="73"/>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532,642</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526,274</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504,256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20" w:type="dxa"/>
            <w:vAlign w:val="bottom"/>
            <w:gridSpan w:val="4"/>
          </w:tcPr>
          <w:p>
            <w:pPr>
              <w:ind w:left="40"/>
              <w:spacing w:after="0"/>
              <w:rPr>
                <w:sz w:val="20"/>
                <w:szCs w:val="20"/>
                <w:color w:val="auto"/>
              </w:rPr>
            </w:pPr>
            <w:r>
              <w:rPr>
                <w:rFonts w:ascii="Arial" w:cs="Arial" w:eastAsia="Arial" w:hAnsi="Arial"/>
                <w:sz w:val="18"/>
                <w:szCs w:val="18"/>
                <w:color w:val="auto"/>
                <w:w w:val="92"/>
              </w:rPr>
              <w:t>Segment operating expenses</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(364,371)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(366,666)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(334,762)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168,271</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159,608</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169,494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rPr>
              <w:t>Scores</w:t>
            </w: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8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3"/>
          </w:tcPr>
          <w:p>
            <w:pPr>
              <w:jc w:val="center"/>
              <w:ind w:left="736"/>
              <w:spacing w:after="0"/>
              <w:rPr>
                <w:sz w:val="20"/>
                <w:szCs w:val="20"/>
                <w:color w:val="auto"/>
              </w:rPr>
            </w:pPr>
            <w:r>
              <w:rPr>
                <w:rFonts w:ascii="Arial" w:cs="Arial" w:eastAsia="Arial" w:hAnsi="Arial"/>
                <w:sz w:val="14"/>
                <w:szCs w:val="14"/>
                <w:b w:val="1"/>
                <w:bCs w:val="1"/>
                <w:color w:val="auto"/>
                <w:w w:val="92"/>
              </w:rPr>
              <w:t>Year Ended September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Percentage of Revenues</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460" w:type="dxa"/>
            <w:vAlign w:val="bottom"/>
            <w:gridSpan w:val="4"/>
          </w:tcPr>
          <w:p>
            <w:pPr>
              <w:jc w:val="center"/>
              <w:ind w:left="73"/>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241,059</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207,007</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186,469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20" w:type="dxa"/>
            <w:vAlign w:val="bottom"/>
            <w:gridSpan w:val="4"/>
          </w:tcPr>
          <w:p>
            <w:pPr>
              <w:ind w:left="40"/>
              <w:spacing w:after="0"/>
              <w:rPr>
                <w:sz w:val="20"/>
                <w:szCs w:val="20"/>
                <w:color w:val="auto"/>
              </w:rPr>
            </w:pPr>
            <w:r>
              <w:rPr>
                <w:rFonts w:ascii="Arial" w:cs="Arial" w:eastAsia="Arial" w:hAnsi="Arial"/>
                <w:sz w:val="18"/>
                <w:szCs w:val="18"/>
                <w:color w:val="auto"/>
                <w:w w:val="92"/>
              </w:rPr>
              <w:t>Segment operating expenses</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(55,793)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185,084</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151,214</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142,282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b w:val="1"/>
                <w:bCs w:val="1"/>
                <w:i w:val="1"/>
                <w:iCs w:val="1"/>
                <w:color w:val="auto"/>
              </w:rPr>
              <w:t>Decision Management Software</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2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3"/>
          </w:tcPr>
          <w:p>
            <w:pPr>
              <w:jc w:val="center"/>
              <w:ind w:left="736"/>
              <w:spacing w:after="0"/>
              <w:rPr>
                <w:sz w:val="20"/>
                <w:szCs w:val="20"/>
                <w:color w:val="auto"/>
              </w:rPr>
            </w:pPr>
            <w:r>
              <w:rPr>
                <w:rFonts w:ascii="Arial" w:cs="Arial" w:eastAsia="Arial" w:hAnsi="Arial"/>
                <w:sz w:val="14"/>
                <w:szCs w:val="14"/>
                <w:b w:val="1"/>
                <w:bCs w:val="1"/>
                <w:color w:val="auto"/>
                <w:w w:val="92"/>
              </w:rPr>
              <w:t>Year Ended September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Percentage of Revenues</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460" w:type="dxa"/>
            <w:vAlign w:val="bottom"/>
            <w:gridSpan w:val="4"/>
          </w:tcPr>
          <w:p>
            <w:pPr>
              <w:jc w:val="center"/>
              <w:ind w:left="73"/>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107,655</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105,500</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98,260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20" w:type="dxa"/>
            <w:vAlign w:val="bottom"/>
            <w:gridSpan w:val="4"/>
          </w:tcPr>
          <w:p>
            <w:pPr>
              <w:ind w:left="40"/>
              <w:spacing w:after="0"/>
              <w:rPr>
                <w:sz w:val="20"/>
                <w:szCs w:val="20"/>
                <w:color w:val="auto"/>
              </w:rPr>
            </w:pPr>
            <w:r>
              <w:rPr>
                <w:rFonts w:ascii="Arial" w:cs="Arial" w:eastAsia="Arial" w:hAnsi="Arial"/>
                <w:sz w:val="18"/>
                <w:szCs w:val="18"/>
                <w:color w:val="auto"/>
                <w:w w:val="92"/>
              </w:rPr>
              <w:t>Segment operating expenses</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(111,315)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(111,850)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income (loss)</w:t>
            </w: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increase in operating income between fiscal 2016 and 2015 of $32.1 million was attributable to a $42.7 million increase in segment revenues, an $18.2 million decrease in restructuring and acquisition-related expenses and a $2.6 million decrease in segment operating expenses, partially offset by a $20.9 million increase in unallocated corporate expenses, a $10.2 million increase in share-based compensation expense and a $0.3 million increase in amortization expense. The increase in corporate expenses was primarily driven by a higher incentive cost. The increase in share-based compensation cost was primarily related to the reduction in our estimated forfeiture rate as well as higher stock price.</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the segment level, the $24.4 million increase in segment operating income was the result of an $8.7 million increase in our Applications segment operating income, a $33.9 million increase in our Scores segment operating income and a $2.7 million decrease in our Decision Management Software segment operating loss, partially offset by a $20.9 million increase in unallocated corporate expenses.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$8.7 million increase in Applications segment operating income was attributable to a $6.4 million increase in segment revenues and a $2.3 million decrease in segment operating expenses. Segment operating income as a percentage of segment revenues for Applications increased to 32% from 30% primarily due to improved efficiency in our professional services operations, partially offset by a decrease in sales of our higher-margin software products.</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$33.9 million increase in Scores segment operating income was attributable to a $34.1 million increase in segment revenues, partially offset by a $0.2 million increase in segment operating expenses. Segment operating income as a percentage of segment revenues for Scores increased to 77% from 73% mainly due to an increase in sales of our higher-margin score products.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$2.7 million decrease in Decision Management Software segment operating loss was attributable to a $2.2 million increase in segment revenues and a $0.5 million decrease in segment operating expenses. Segment operating margin for Decision Management Software improved to a negative 3% from a negative 6% mainly due to improved efficiency in our professional services operations.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decrease in operating income between fiscal 2015 and 2014 of $24.4 million was attributable to a $61.3 million increase in segment operating expenses, a $14.0 million increase in restructuring and acquisition-related expenses, an $8.9 million increase in share-based compensation expense and a $1.8 million increase in amortization expense, partially offset by a $49.8 million increase in segment revenues and an $11.8 million decrease in unallocated corporate expenses.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the segment level, the $0.3 million increase in segment operating income was the result of an $11.8 million decrease in unallocated corporate expenses and an $8.9 million increase in our Scores segment, partially offset by a $10.5 million decrease in our Decision Management Software segment and a $9.9 million decrease in our Applications segment.</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$9.9 million decrease in Applications segment operating income was attributable to a $31.9 million increase in segment operating expenses, partially offset by a $22.0 million increase in segment revenues. Segment operating income as a percentage of segment revenues for Applications decreased to 30% from 34% primarily due to an increase in professional services delivery cost, as well as an increase in salaries and benefits cost as a result of our increased headcount, partially offset by an increase in sales of our higher-margin software products .</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$8.9 million increase in Scores segment operating income was attributable to a $20.5 million increase in segment revenues, partially offset by an $11.6 million increase in segment operating expenses. Segment operating income as a percentage of segment revenues for Scores decreased to 73% from 76% mainly due to a decrease in sales of our higher-margin software products, an increase in salaries and benefits cost as a result of our increased headcount, and a nonrecurring charge in third-party data cost. In addition, the margin was positively impacted by an increase in our higher-margin revenues generated from the Experian agreement.</w:t>
      </w:r>
    </w:p>
    <w:p>
      <w:pPr>
        <w:spacing w:after="0" w:line="13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The $10.5 million decrease in Decision Management Software segment operating income (loss) was attributable to a $17.8 million increase in segment operating expenses, partially offset by a $7.3 million increase in segment revenues. Segment operating income as a percentage of segment revenues for Decision Management Software was a negative 6% for fiscal 2015 compared to a positive 4% for fiscal 2014 mainly due to an increase in the research and development efforts related to our cloud-based FICO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Decision Management Platform and several new products in the Decision Management Software segment, as well as an increase in professional services delivery cost, partially offset by an increase in sales of higher-margin software products.</w:t>
      </w:r>
    </w:p>
    <w:p>
      <w:pPr>
        <w:spacing w:after="0" w:line="10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$11.8 million decrease in unallocated corporate expenses was primarily attributable to a decrease in incentive cost, as well as a decrease in certain corporate charges including bad debt.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September 30, 2016, we had $75.9 million in cash and cash equivalents which included $63.1 million held off-shore by our foreign subsidiaries. We believe these balances, as well as available borrowings from our $400 million revolving line of credit and anticipated cash flows from operating activities, will be sufficient to fund our working and other capital requirements as well as the $72.0 million principal payment due in July 2017 on our senior notes issued in July 2010. Under our current financing arrangements we have no other significant debt obligations maturing over the next twelve months. Additionally, we do not anticipate the need to repatriate any undistributed earnings from our foreign subsidiaries for the foreseeable future.</w:t>
      </w:r>
    </w:p>
    <w:p>
      <w:pPr>
        <w:spacing w:after="0" w:line="10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r>
      <w:tr>
        <w:trPr>
          <w:trHeight w:val="196"/>
        </w:trPr>
        <w:tc>
          <w:tcPr>
            <w:tcW w:w="5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0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185,231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132,977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175,034</w:t>
            </w: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8"/>
              </w:rPr>
              <w:t>(164,978)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(58,635)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(130,391)</w:t>
            </w: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21,897</w:t>
            </w:r>
          </w:p>
        </w:tc>
      </w:tr>
      <w:tr>
        <w:trPr>
          <w:trHeight w:val="27"/>
        </w:trPr>
        <w:tc>
          <w:tcPr>
            <w:tcW w:w="5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primary method for funding operations and growth has been through cash flows generated from operating activities. Net cash provided by operating activities totaled $185.2 million in fiscal 2016 compared to $133.0 million in fiscal 2015. The $52.2 million increase was mainly attributable to a $22.9 million increase in net income and a $22.9 million decrease in income tax payments.</w:t>
      </w:r>
    </w:p>
    <w:p>
      <w:pPr>
        <w:spacing w:after="0" w:line="4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Net cash provided by operating activities totaled $133.0 million in fiscal 2015 compared to $175.0 million in fiscal 2014. The $42.0 million decrease was mainly attributable to a $27.6 million decrease caused by timing of receipts and payments in our ordinary course of business, a $15.2 million increase in payment associated with our accrued incentive from prior year and an $11.4 million increase in our income tax payments.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jc w:val="both"/>
        <w:ind w:firstLine="432"/>
        <w:spacing w:after="0" w:line="334" w:lineRule="auto"/>
        <w:rPr>
          <w:sz w:val="20"/>
          <w:szCs w:val="20"/>
          <w:color w:val="auto"/>
        </w:rPr>
      </w:pPr>
      <w:r>
        <w:rPr>
          <w:rFonts w:ascii="Arial" w:cs="Arial" w:eastAsia="Arial" w:hAnsi="Arial"/>
          <w:sz w:val="16"/>
          <w:szCs w:val="16"/>
          <w:color w:val="auto"/>
        </w:rPr>
        <w:t>Net cash used in investing activities totaled $27.6 million in fiscal 2016 compared to $81.9 million in fiscal 2015. The $54.3 million decrease was attributable to a $51.3 million decrease in net cash used for acquisitions and a $3.0 million decrease in net cash used for purchases of property and equipment.</w:t>
      </w:r>
    </w:p>
    <w:p>
      <w:pPr>
        <w:spacing w:after="0" w:line="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Net cash used in investing activities totaled $81.9 million in fiscal 2015 compared to $19.8 million in fiscal 2014. The $62.1 million increase was attributable to a $49.7 million increase in net cash used for acquisitions and a $12.4 million increase in net cash used for purchases of property and equipment.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Net cash used in financing activities totaled $165.0 million in fiscal 2016 compared to $58.6 million in fiscal 2015. The $106.4 million increase was primarily due to a $110.0 million decrease in proceeds, net of payments from our revolving line of credit and a $10.5 million increase in taxes paid related to net share settlement of equity awards, partially offset by an $11.0 million decrease in payment on our senior notes.</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used in financing activities totaled $58.6 million in fiscal 2015 compared to $130.4 million in fiscal 2014. The $71.8 million decrease was primarily due to an $86.3 million decrease in common stock repurchased and a $49.0 million increase in proceeds, net of payments from our revolving line of credit, partially offset by a $63.0 million increase in payment on our senior notes.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July 2016, our Board of Directors approved a stock repurchase program following the termination of the previously authorized program. This program is open-ended and authorizes repurchases of shares of our common stock up to an aggregate cost of $250.0 million in the open market or in negotiated transactions. As of September 30, 2016, we had $230.0 million remaining under this authorization. During fiscal 2016, 2015 and 2014, we expended $138.4 million, $130.7 million and $214.9 million, respectively, under this and previously authorized stock repurchase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paid quarterly dividends of $0.02 per share during each of fiscal 2016, 2015 and 2014. Our dividend rate is set by the Board of Directors on a quarterly basis taking into account a variety of factors, including among others, our operating results and cash flows, general economic and industry conditions, our obligations, changes in applicable tax laws and other factors deemed relevant by the Board. Although we expect to continue to pay dividends at the current rate, our dividend rate is subject to change from time to time based on the Board’s business judgment with respect to these and other relevant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9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December 30, 2019.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w:t>
      </w:r>
    </w:p>
    <w:p>
      <w:pPr>
        <w:jc w:val="both"/>
        <w:ind w:firstLine="8"/>
        <w:spacing w:after="0" w:line="252" w:lineRule="auto"/>
        <w:tabs>
          <w:tab w:leader="none" w:pos="2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minimum fixed charge ratio of 2.5 and a maximum consolidated leverage ratio of 3.0, subject to a step up to 3.5 following certain permitted acquisitions. The credit agreement also contains other covenants typical of unsecured facilities. As of September 30, 2016, we had $255.0 million in borrowings outstanding at a weighted average interest rate of 1.661% and were in compliance with all financial covenants under this credit facility.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May 2008, we issued $275 million of Senior Notes in a private placement to a group of institutional investors (the “2008 Senior Notes”). The 2008 Senior Notes were issued in four series with maturities ranging from five to ten years. The weighted average interest rate is 7.2% and the weighted average maturity is 10.0 years for the remaining 2008 Senior Notes. In addition, in July 2010, we issued $245 million of Senior Notes in a private placement to a group of institutional investors (the “2010 Senior Notes” and, with the 2008 Senior Notes, the “Senior Notes”). The 2010 Senior Notes were issued in four series with maturities ranging from six to ten years. The weighted average interest rate is 5.4% and the weighted average maturity is 8.7 years for the remaining 2010 Senior Notes. The Senior Notes are subject to certain restrictive covenants that are substantially similar to those in the credit agreement for the revolving credit facility, including maintenance of consolidated leverage and fixed charge coverage ratios. The purchase agreements for the Senior Notes also include covenants typical of unsecured facilities. As of September 30, 2016, the carrying value of the Senior Notes was $316.0 million and we were in compliance with all financial covenants under these purchase agreements.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 summary of our contractual obligations at September 30,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 Ended September 30,</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7"/>
        </w:trPr>
        <w:tc>
          <w:tcPr>
            <w:tcW w:w="1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196"/>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131,000</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316,000</w:t>
            </w: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Interest due on debt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obligations (2)</w:t>
            </w:r>
          </w:p>
        </w:tc>
        <w:tc>
          <w:tcPr>
            <w:tcW w:w="30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19,303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6,269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4,752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45,999</w:t>
            </w:r>
          </w:p>
        </w:tc>
      </w:tr>
      <w:tr>
        <w:trPr>
          <w:trHeight w:val="27"/>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9,541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90,276</w:t>
            </w: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w w:val="91"/>
              </w:rPr>
              <w:t>Unrecognized tax benefits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6,799</w:t>
            </w:r>
          </w:p>
        </w:tc>
      </w:tr>
      <w:tr>
        <w:trPr>
          <w:trHeight w:val="27"/>
        </w:trPr>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commitments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113,372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167,565</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99,293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459,074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unpaid principal amount of the Senior Notes.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interest payments on the Senior Notes.</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unrecognized tax benefits related to uncertain tax positions. As we are not able to reasonably estimate the timing of the payments or the amount by which the liability will increase or decrease over time, the related balances have not been reflected in the section of the table showing payment by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14833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Software Licenses</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Software license fee revenue is recognized when persuasive evidence of an arrangement exists, software is made available to our customers, the fee is fixed or determinable and collection is probable. The determination of whether fees are fixed or determinable and collection is probable involves the use of assumptions. If at the outset of an arrangement we determine that the arrangement fee is not fixed or determinable, revenue is deferred until the arrangement fee becomes fixed or determinable, assuming all other revenue recognition criteria have been met. If at the outset of an arrangement we determine that collectability is not probable, revenue is deferred until the earlier of when collectability becomes probable or the receipt of payment. If there is uncertainty as to the customer’s acceptance of our deliverables, revenue is not recognized until the earlier of receipt of customer acceptance, expiration of the acceptance period, or when we can demonstrate we meet the acceptance criteria. We evaluate contract terms and customer information to ensure that these criteria are met prior to our recognition of license fee revenue.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use the residual method to recognize revenue when a software arrangement includes one or more elements to be delivered at a future date provided the following criteria are met: (i) vendor-specific objective evidence (“VSOE”) of the fair value does not exist for one or more of the delivered items but exists for all undelivered elements, (ii) all other applicable revenue recognition criteria are met and (iii) the fair value of all of the undelivered elements is less than the arrangement fee. VSOE of fair value is based on the normal pricing practices for those products and services when sold separately by us and customer renewal rates for post-contract customer support services. Under the residual method, the fair value of the undelivered elements is deferred and the remaining portion of the arrangement fee is recognized as revenue. If evidence of the fair value of one or more undelivered elements does not exist, the revenue is deferred and recognized when delivery of those elements occurs or when fair value can be established. Changes to the elements in a software arrangement, the ability to identify VSOE for those elements, the fair value of the respective elements, and change to a product’s estimated life cycle could materially impact the amount of earned and unearned revenue.</w:t>
      </w:r>
    </w:p>
    <w:p>
      <w:pPr>
        <w:spacing w:after="0" w:line="12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Revenues from post-contract customer support services, such as software maintenance, are recognized on a straight-line basis over the term of the support period. The majority of our software maintenance agreements provide technical support as well as unspecified software product upgrades and releases when and if made available by us during the term of the support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Transactional-Based Revenues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Transactional-based revenue is recognized when persuasive evidence of an arrangement exists, fees are fixed or determinable, and collection is probable. Revenues from our credit scoring, data processing, data management and internet delivery services are recognized as these services are performed. Revenues from transactional or unit-based license fees under software license arrangements, network service and internally-hosted software agreements are recognized based on minimum contractual amounts or on system usage that exceeds minimum contractual amounts. Certain of our transactional-based revenues are based on transaction or active account volumes as reported by our clients. In instances where volumes are reported to us in arrears, we estimate volumes based on preliminary customer transaction information or average actual reported volumes for an immediate trailing period. Differences between our estimates and actual final volumes reported are recorded in the period in which actual volumes are reported. We have not experienced significant variances between our estimates and actual reported volumes in the past and anticipate that we will be able to continue to make reasonable estimates in the future. If for some reason we were unable to reasonably estimate transaction volumes in the future, revenue may be deferred until actual customer data is received, and this could have a material impact on our consolidated results of operations.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Consulting Services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provide consulting, training, model development and software integration services under both hourly-based time and materials and fixed-priced contracts. Revenues from these services are generally recognized as the services are performed. For fixed-price service contracts, we use a proportionate performance model with hours as the input method of attribution to determine progress towards completion, with consideration also given to output measures, such as contract milestones, when applicable. In such instances, management is required to estimate the total estimated hours of the project. Adjustments to estimates are made in the period in which the facts requiring such revisions become known and, accordingly, recognized revenues and profits are subject to revisions as the contract progresses to completion. Estimated losses, if any, are recorded in the period in which current estimates of total contract revenue and contract costs indicate a loss. If substantive uncertainty related to customer acceptance of services exists, we defer the associated revenue until the contract is completed. We have not experienced significant variances between our estimates and actual hours in the past and anticipate that we will be able to continue to make reasonable estimates in the future. If for some reason we are unable to accurately estimate the input measures, revenue would be deferred until the contract is complete, and this could have a material impact on our consolidated results of operations.</w:t>
      </w:r>
    </w:p>
    <w:p>
      <w:pPr>
        <w:spacing w:after="0" w:line="11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Services that are sold in connection with software license arrangements generally qualify for separate accounting from the license element because they do not involve significant production, modification or customization of our products and are not otherwise considered to be essential to the functionality of our software. In arrangements where the professional services do not qualify for separate accounting from the license element, the combined software license and professional services revenue are recognized based on contract accounting using either the percentage-of-completion or completed-contract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Hosting Services</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are an application service provider (“ASP”), where we provide hosting services that allow customers access to software that resides on our servers. The ASP model typically includes an up-front fee and a monthly commitment from the customer that commences upon completion of the implementation through the remainder of the customer life. The up-front fee is the initial setup fee, or the implementation fee. The monthly commitment includes, but is not limited to, a fixed monthly fee or a transactional fee based on system usage that exceeds monthly minimums. Revenue is recognized from ASP transactions when there is persuasive evidence of an arrangement, the service has been provided to the customer, the amount of fees is fixed or determinable and the collection of our fees is probable. We do not view the activities of signing the contract or providing initial setup services as discrete earnings events. Revenue is typically deferred until the date the customer commences use of our services, at which point the up-front fees are recognized ratably over the expected life of the customer relationship. ASP transactional fees are recorded monthly as earned.</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Multiple-Deliverable Arrangements including Non-Software</w:t>
      </w:r>
    </w:p>
    <w:p>
      <w:pPr>
        <w:spacing w:after="0" w:line="90"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When we enter into a multiple-deliverable arrangement that includes non-software, each deliverable is accounted for as a separate unit of accounting if the following criteria are met: (i) the delivered item or items have value to the customer on a standalone basis and (ii) for an arrangement that includes a general right of return relative to the delivered item(s), delivery or performance of the undelivered item(s) is considered probable and substantially in our control. We consider a deliverable to have standalone value if we sell this item separately or if the item is sold by another vendor or could be resold by the customer; for example, we conclude professional services offered along with our SaaS subscription services typically have standalone value using this criteria. Further, our revenue arrangements generally do not include a general right of return relative to delivered products. Revenue for multiple element arrangements is allocated to the software and non-software deliverables based on a relative selling price. We use VSOE in our allocation of arrangement consideration when it is available. We define VSOE as a median price of recent standalone transactions that are priced within a narrow range, as defined by us. If a product or service is seldom sold separately, it is unlikely that we can determine VSOE. In circumstances when VSOE does not exist, we then assess whether we can obtain third-party evidence (“TPE”) of the selling price. It may be difficult for us to obtain sufficient information on competitor pricing to substantiate TPE and therefore we may not always be able to use TPE. When we are unable to establish selling price using VSOE or TPE, we use estimated selling price (“ESP”) in our allocation of arrangement consideration. The objective of ESP is to determine the price at which we would transact if the product or service were sold by us on a standalone basis. Our determination of ESP involves weighting several factors based on the specific facts and circumstances of each arrangement. The factors include, but are not limited to, geographies, market conditions, gross margin objectives, pricing practices and controls, customer segment pricing strategies and the product lifecycle. Historically, there have been no significant changes in our ESP used in allocation of arrangement consideration. We do not believe there is a reasonable likelihood there will be a material change in the future estimates.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vs. Net Revenue Reporting</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apply accounting guidance to determine whether we report revenue for certain transactions based upon the gross amount billed to the customer, or the net amount retained by us. In accordance with the guidance we record revenue on a gross basis for sales in which we have acted as the principal and on a net basis for those sales in which we have in substance acted as an agent or broker in the transaction.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results of operations and financial position.</w:t>
      </w:r>
    </w:p>
    <w:p>
      <w:pPr>
        <w:spacing w:after="0" w:line="1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w:t>
      </w:r>
    </w:p>
    <w:p>
      <w:pPr>
        <w:jc w:val="both"/>
        <w:ind w:firstLine="8"/>
        <w:spacing w:after="0" w:line="253"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3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Acquisition Intangibles and Other Long-Lived Assets - Impairment Assessment</w:t>
      </w:r>
    </w:p>
    <w:p>
      <w:pPr>
        <w:spacing w:after="0" w:line="9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Goodwill represents the excess of cost over the fair value of identifiable assets acquired and liabilities assumed in business combinations. We assess goodwill for impairment for each of our reporting units on an annual basis during the fourth quarter using a July 1 measurement date unless circumstances require a more frequent measurement. 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the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For fiscal 2016 and 2015,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in fiscal 2016 and 2015. For fiscal 2014, we elected to proceed directly to the step one quantitative analysis rather than perform the step zero qualitative assessment. There was a substantial excess of fair value over carrying value for each of our reporting units and we determined goodwill was not impaired for any of our reporting units.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 We did not recognize any impairment charges on intangible assets that have finite useful lives or other long-lived assets in fiscal 2016, 2015 and 2014.</w:t>
      </w:r>
    </w:p>
    <w:p>
      <w:pPr>
        <w:spacing w:after="0" w:line="1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measure stock-based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 See Note 14 to the accompanying consolidated financial statements for further discussion of our share-based employee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balance sheet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 We have historically had minimal changes in our valuation allowances related to deferred tax assets, as described in Note 13 to the accompanying consolidated financial statements.</w:t>
      </w:r>
    </w:p>
    <w:p>
      <w:pPr>
        <w:spacing w:after="0" w:line="11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 Historically, settlements related to our unrecognized tax benefits have been minimal as described in Note 13 to the accompanying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shareholder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In November 2015, the Financial Accounting Standards Board (“FASB”) issued ASU No. 2015-17, “</w:t>
      </w:r>
      <w:r>
        <w:rPr>
          <w:rFonts w:ascii="Arial" w:cs="Arial" w:eastAsia="Arial" w:hAnsi="Arial"/>
          <w:sz w:val="16"/>
          <w:szCs w:val="16"/>
          <w:i w:val="1"/>
          <w:iCs w:val="1"/>
          <w:color w:val="auto"/>
        </w:rPr>
        <w:t>Income Taxes (Topic 740): Balance Sheet</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 of Deferred Taxes</w:t>
      </w:r>
      <w:r>
        <w:rPr>
          <w:rFonts w:ascii="Arial" w:cs="Arial" w:eastAsia="Arial" w:hAnsi="Arial"/>
          <w:sz w:val="16"/>
          <w:szCs w:val="16"/>
          <w:color w:val="auto"/>
        </w:rPr>
        <w:t>” (“ASU 2015-17”). ASU 2015-17 simplifies the presentation of deferred income taxes and requires that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assets be classified as noncurrent in a classified statement of financial position. ASU 2015-17 applies to all entities that present a classified statement of financial position. ASU 2015-17 may be applied either prospectively to all deferred tax liabilities and assets or retrospectively to all periods presented. ASU 2015-17 is effective for fiscal years and interim periods within those fiscal years beginning after December 15, 2016. We elected to early adopt the standard prospectively as of March 31, 2016, which did not have a significant impact on our consolidated financial statements.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In October 2016, the FASB issued ASU No.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(“ASU 2016-16”). ASU 2016-16 requires an entity to recognize the income tax consequences of an intra-entity transfer of an asset other than inventory when the transfer occurs. The guidance is effective for fiscal years and interim periods beginning after December 15, 2017, which means it will be effective for our fiscal year beginning October 1, 2018. ASU 2016-16 should be applied on a modified retrospective basis through a cumulative-effect adjustment directly to retained earnings at the beginning of the period of adoption. Early adoption is permitted in the first interim period of an entity's annual financial statements. We are currently evaluating the timing of our adoption and the impact that the updated standard will have on our consolidated financial statements.</w:t>
      </w:r>
    </w:p>
    <w:p>
      <w:pPr>
        <w:spacing w:after="0" w:line="57"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In March 2016, the FASB issued ASU No. 2016-09, “</w:t>
      </w:r>
      <w:r>
        <w:rPr>
          <w:rFonts w:ascii="Arial" w:cs="Arial" w:eastAsia="Arial" w:hAnsi="Arial"/>
          <w:sz w:val="17"/>
          <w:szCs w:val="17"/>
          <w:i w:val="1"/>
          <w:iCs w:val="1"/>
          <w:color w:val="auto"/>
        </w:rPr>
        <w:t>Compensation - 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w:t>
      </w:r>
      <w:r>
        <w:rPr>
          <w:rFonts w:ascii="Arial" w:cs="Arial" w:eastAsia="Arial" w:hAnsi="Arial"/>
          <w:sz w:val="17"/>
          <w:szCs w:val="17"/>
          <w:color w:val="auto"/>
        </w:rPr>
        <w:t>g” (“ASU 2016-09”). ASU 2016-09 simplifies several aspects of the accounting for share-based payment transactions,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consequences, classification of awards as either equity or liabilities, and classification on the statement of cash flows. ASU 2016-09 is effective for fiscal years and interim periods within those fiscal years beginning after December 15, 2016, which means it will be effective for our fiscal year beginning October 1, 2017. Early adoption is permitted. We plan to early adopt ASU 2016-09 on a prospective basis in the first quarter of our fiscal 2017 (the quarter ended December 31, 2016), which is expected to have an impact on the recording of excess tax benefits and deficiencies in our consolidated balance sheets and consolidated statements of income and comprehensive income, as well as our operating and financing cash flows on our consolidated statements of cash Flows. The magnitude of such impact is dependent upon our future grants of stock-based compensation, our future stock price in relation to the fair value of awards on grant date and the exercise behavior of the our stock option holders.</w:t>
      </w:r>
    </w:p>
    <w:p>
      <w:pPr>
        <w:spacing w:after="0" w:line="12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which requires lessees to put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ASU 2016-02 is effective for fiscal years and interim periods within those fiscal years beginning after December 15, 2018, which means it will be effective for our fiscal year beginning October 1, 2019. Early adoption is permitted. We are currently evaluating the timing of our adoption and the impact that the updated standard will have on our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w:t>
      </w:r>
      <w:r>
        <w:rPr>
          <w:rFonts w:ascii="Arial" w:cs="Arial" w:eastAsia="Arial" w:hAnsi="Arial"/>
          <w:sz w:val="17"/>
          <w:szCs w:val="17"/>
          <w:i w:val="1"/>
          <w:iCs w:val="1"/>
          <w:color w:val="auto"/>
        </w:rPr>
        <w:t>Deferral of the Effective Date</w:t>
      </w:r>
      <w:r>
        <w:rPr>
          <w:rFonts w:ascii="Arial" w:cs="Arial" w:eastAsia="Arial" w:hAnsi="Arial"/>
          <w:sz w:val="17"/>
          <w:szCs w:val="17"/>
          <w:color w:val="auto"/>
        </w:rPr>
        <w:t>”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our fiscal year beginning October 1, 2018. Early adoption is permitted to the original effective date of December 15, 2016 (including interim reporting periods within those periods). We have not yet selected a transition method and we are currently evaluating the impact that the updated standard will have on our consolidated financial statements.</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April 2015, the FASB issued ASU No. 2015-03, “</w:t>
      </w:r>
      <w:r>
        <w:rPr>
          <w:rFonts w:ascii="Arial" w:cs="Arial" w:eastAsia="Arial" w:hAnsi="Arial"/>
          <w:sz w:val="16"/>
          <w:szCs w:val="16"/>
          <w:i w:val="1"/>
          <w:iCs w:val="1"/>
          <w:color w:val="auto"/>
        </w:rPr>
        <w:t>Simplifying the Presentation of Debt Issuance</w:t>
      </w:r>
      <w:r>
        <w:rPr>
          <w:rFonts w:ascii="Arial" w:cs="Arial" w:eastAsia="Arial" w:hAnsi="Arial"/>
          <w:sz w:val="16"/>
          <w:szCs w:val="16"/>
          <w:color w:val="auto"/>
        </w:rPr>
        <w:t>” (“ASU 2015-03”), which changes the presentation of debt issuance costs in financial statements. Under ASU 2015-03, an entity presents such costs in the balance sheet as a direct deduction from the related debt liability rather than as an asset. Amortization of the costs is reported as interest expense. ASU 2015-03 is effective for fiscal years and interim periods within those fiscal years beginning after December 15, 2015, which means it is effective for our fiscal year beginning October 1, 2016. Early adoption was permitted. We do not believe that adoption of ASU 2015-03 will have a significant impact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September 30, 2016 and 2015:</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0"/>
              </w:rPr>
              <w:t>September 30, 2016</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0"/>
              </w:rPr>
              <w:t>September 30, 2015</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Cost Basis</w:t>
            </w:r>
          </w:p>
        </w:tc>
        <w:tc>
          <w:tcPr>
            <w:tcW w:w="220" w:type="dxa"/>
            <w:vAlign w:val="bottom"/>
          </w:tcPr>
          <w:p>
            <w:pPr>
              <w:spacing w:after="0"/>
              <w:rPr>
                <w:sz w:val="13"/>
                <w:szCs w:val="13"/>
                <w:color w:val="auto"/>
              </w:rPr>
            </w:pPr>
          </w:p>
        </w:tc>
        <w:tc>
          <w:tcPr>
            <w:tcW w:w="1500" w:type="dxa"/>
            <w:vAlign w:val="bottom"/>
          </w:tcPr>
          <w:p>
            <w:pPr>
              <w:jc w:val="center"/>
              <w:ind w:right="304"/>
              <w:spacing w:after="0" w:line="153" w:lineRule="exact"/>
              <w:rPr>
                <w:sz w:val="20"/>
                <w:szCs w:val="20"/>
                <w:color w:val="auto"/>
              </w:rPr>
            </w:pPr>
            <w:r>
              <w:rPr>
                <w:rFonts w:ascii="Arial" w:cs="Arial" w:eastAsia="Arial" w:hAnsi="Arial"/>
                <w:sz w:val="14"/>
                <w:szCs w:val="14"/>
                <w:b w:val="1"/>
                <w:bCs w:val="1"/>
                <w:color w:val="auto"/>
                <w:w w:val="97"/>
              </w:rPr>
              <w:t>Carrying</w:t>
            </w:r>
          </w:p>
        </w:tc>
        <w:tc>
          <w:tcPr>
            <w:tcW w:w="1600" w:type="dxa"/>
            <w:vAlign w:val="bottom"/>
            <w:gridSpan w:val="3"/>
          </w:tcPr>
          <w:p>
            <w:pPr>
              <w:jc w:val="center"/>
              <w:ind w:right="50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Cost Basis</w:t>
            </w:r>
          </w:p>
        </w:tc>
        <w:tc>
          <w:tcPr>
            <w:tcW w:w="220" w:type="dxa"/>
            <w:vAlign w:val="bottom"/>
          </w:tcPr>
          <w:p>
            <w:pPr>
              <w:spacing w:after="0"/>
              <w:rPr>
                <w:sz w:val="13"/>
                <w:szCs w:val="13"/>
                <w:color w:val="auto"/>
              </w:rPr>
            </w:pPr>
          </w:p>
        </w:tc>
        <w:tc>
          <w:tcPr>
            <w:tcW w:w="1500" w:type="dxa"/>
            <w:vAlign w:val="bottom"/>
          </w:tcPr>
          <w:p>
            <w:pPr>
              <w:jc w:val="center"/>
              <w:ind w:right="304"/>
              <w:spacing w:after="0" w:line="153"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5"/>
              </w:rPr>
              <w:t>Yield</w:t>
            </w: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74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75,926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75,926</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0.17%  $</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86,120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86,120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2008, we issued $275 million of senior notes to a group of institutional investors in a private placement (the “2008 Senior Notes”). In July 2010 we issued an additional $245 million of senior notes to a group of institutional investors in a private placement (the “2010 Senior Notes” and, with the 2008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principal amounts, carrying amounts, and fair values for the Senior Notes at September 30, 2016 and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b w:val="1"/>
                <w:bCs w:val="1"/>
                <w:color w:val="auto"/>
                <w:w w:val="91"/>
              </w:rPr>
              <w:t>September 30, 2015</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3"/>
                <w:szCs w:val="13"/>
                <w:color w:val="auto"/>
              </w:rPr>
            </w:pPr>
          </w:p>
        </w:tc>
        <w:tc>
          <w:tcPr>
            <w:tcW w:w="120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3"/>
                <w:szCs w:val="13"/>
                <w:color w:val="auto"/>
              </w:rPr>
            </w:pPr>
          </w:p>
        </w:tc>
        <w:tc>
          <w:tcPr>
            <w:tcW w:w="122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Amounts</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Amounts</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2008 Senior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131,000</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139,902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131,000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144,009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The 2010 Senior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185,000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185,000</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195,715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245,000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1"/>
              <w:spacing w:after="0"/>
              <w:rPr>
                <w:sz w:val="20"/>
                <w:szCs w:val="20"/>
                <w:color w:val="auto"/>
              </w:rPr>
            </w:pPr>
            <w:r>
              <w:rPr>
                <w:rFonts w:ascii="Arial" w:cs="Arial" w:eastAsia="Arial" w:hAnsi="Arial"/>
                <w:sz w:val="18"/>
                <w:szCs w:val="18"/>
                <w:color w:val="auto"/>
              </w:rPr>
              <w:t>245,000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257,563</w:t>
            </w:r>
          </w:p>
        </w:tc>
        <w:tc>
          <w:tcPr>
            <w:tcW w:w="0" w:type="dxa"/>
            <w:vAlign w:val="bottom"/>
          </w:tcPr>
          <w:p>
            <w:pPr>
              <w:spacing w:after="0"/>
              <w:rPr>
                <w:sz w:val="1"/>
                <w:szCs w:val="1"/>
                <w:color w:val="auto"/>
              </w:rPr>
            </w:pPr>
          </w:p>
        </w:tc>
      </w:tr>
      <w:tr>
        <w:trPr>
          <w:trHeight w:val="486"/>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have interest rate risk with respect to our five-year $400 million unsecured revolving line of credit. Interest on amounts borrowed under the credit facility is based on (i) a base rate, which is the greater of (a) the prime rate and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A change in interest rates on this variable rate debt impacts the interest incurred and cash flows, but does not impact the fair value of the instrument. We had $255.0 million in borrowings outstanding at a weighted average interest of 1.661% under the credit facility as of September 30,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Canadian dollar.</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Foreign-currency-denominated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our outstanding foreign currency forward contracts, by currency, at September 30, 2016 and 2015:</w:t>
      </w:r>
    </w:p>
    <w:p>
      <w:pPr>
        <w:spacing w:after="0" w:line="352"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23495</wp:posOffset>
            </wp:positionV>
            <wp:extent cx="3087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03" w:lineRule="exact"/>
        <w:rPr>
          <w:sz w:val="20"/>
          <w:szCs w:val="20"/>
          <w:color w:val="auto"/>
        </w:rPr>
      </w:pPr>
    </w:p>
    <w:tbl>
      <w:tblPr>
        <w:tblLayout w:type="fixed"/>
        <w:tblInd w:w="6560" w:type="dxa"/>
        <w:tblCellMar>
          <w:top w:w="0" w:type="dxa"/>
          <w:left w:w="0" w:type="dxa"/>
          <w:bottom w:w="0" w:type="dxa"/>
          <w:right w:w="0" w:type="dxa"/>
        </w:tblCellMar>
      </w:tblPr>
      <w:tr>
        <w:trPr>
          <w:trHeight w:val="192"/>
        </w:trPr>
        <w:tc>
          <w:tcPr>
            <w:tcW w:w="23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Contract Amount</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2320" w:type="dxa"/>
            <w:vAlign w:val="bottom"/>
          </w:tcPr>
          <w:p>
            <w:pPr>
              <w:jc w:val="center"/>
              <w:ind w:right="528"/>
              <w:spacing w:after="0" w:line="153" w:lineRule="exact"/>
              <w:rPr>
                <w:sz w:val="20"/>
                <w:szCs w:val="20"/>
                <w:color w:val="auto"/>
              </w:rPr>
            </w:pPr>
            <w:r>
              <w:rPr>
                <w:rFonts w:ascii="Arial" w:cs="Arial" w:eastAsia="Arial" w:hAnsi="Arial"/>
                <w:sz w:val="14"/>
                <w:szCs w:val="14"/>
                <w:b w:val="1"/>
                <w:bCs w:val="1"/>
                <w:color w:val="auto"/>
                <w:w w:val="93"/>
              </w:rPr>
              <w:t>Foreign</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86"/>
        </w:trPr>
        <w:tc>
          <w:tcPr>
            <w:tcW w:w="2320" w:type="dxa"/>
            <w:vAlign w:val="bottom"/>
          </w:tcPr>
          <w:p>
            <w:pPr>
              <w:jc w:val="center"/>
              <w:ind w:right="528"/>
              <w:spacing w:after="0"/>
              <w:rPr>
                <w:sz w:val="20"/>
                <w:szCs w:val="20"/>
                <w:color w:val="auto"/>
              </w:rPr>
            </w:pPr>
            <w:r>
              <w:rPr>
                <w:rFonts w:ascii="Arial" w:cs="Arial" w:eastAsia="Arial" w:hAnsi="Arial"/>
                <w:sz w:val="14"/>
                <w:szCs w:val="14"/>
                <w:b w:val="1"/>
                <w:bCs w:val="1"/>
                <w:color w:val="auto"/>
                <w:w w:val="97"/>
              </w:rPr>
              <w:t>Currency</w:t>
            </w:r>
          </w:p>
        </w:tc>
        <w:tc>
          <w:tcPr>
            <w:tcW w:w="108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7620</wp:posOffset>
            </wp:positionV>
            <wp:extent cx="3087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0"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p>
      <w:pPr>
        <w:ind w:left="380"/>
        <w:spacing w:after="0"/>
        <w:tabs>
          <w:tab w:leader="none" w:pos="6560" w:val="left"/>
          <w:tab w:leader="none" w:pos="7760" w:val="left"/>
          <w:tab w:leader="none" w:pos="8400" w:val="left"/>
          <w:tab w:leader="none" w:pos="9320" w:val="left"/>
          <w:tab w:leader="none" w:pos="11120" w:val="left"/>
        </w:tabs>
        <w:rPr>
          <w:sz w:val="20"/>
          <w:szCs w:val="20"/>
          <w:color w:val="auto"/>
        </w:rPr>
      </w:pPr>
      <w:r>
        <w:rPr>
          <w:rFonts w:ascii="Arial" w:cs="Arial" w:eastAsia="Arial" w:hAnsi="Arial"/>
          <w:sz w:val="18"/>
          <w:szCs w:val="18"/>
          <w:color w:val="auto"/>
        </w:rPr>
        <w:t>Euro (EUR)</w:t>
      </w:r>
      <w:r>
        <w:rPr>
          <w:sz w:val="20"/>
          <w:szCs w:val="20"/>
          <w:color w:val="auto"/>
        </w:rPr>
        <w:tab/>
      </w:r>
      <w:r>
        <w:rPr>
          <w:rFonts w:ascii="Arial" w:cs="Arial" w:eastAsia="Arial" w:hAnsi="Arial"/>
          <w:sz w:val="18"/>
          <w:szCs w:val="18"/>
          <w:color w:val="auto"/>
        </w:rPr>
        <w:t>EUR</w:t>
      </w:r>
      <w:r>
        <w:rPr>
          <w:sz w:val="20"/>
          <w:szCs w:val="20"/>
          <w:color w:val="auto"/>
        </w:rPr>
        <w:tab/>
      </w:r>
      <w:r>
        <w:rPr>
          <w:rFonts w:ascii="Arial" w:cs="Arial" w:eastAsia="Arial" w:hAnsi="Arial"/>
          <w:sz w:val="18"/>
          <w:szCs w:val="18"/>
          <w:color w:val="auto"/>
        </w:rPr>
        <w:t>7,850</w:t>
        <w:tab/>
        <w:t>$</w:t>
      </w:r>
      <w:r>
        <w:rPr>
          <w:sz w:val="20"/>
          <w:szCs w:val="20"/>
          <w:color w:val="auto"/>
        </w:rPr>
        <w:tab/>
      </w:r>
      <w:r>
        <w:rPr>
          <w:rFonts w:ascii="Arial" w:cs="Arial" w:eastAsia="Arial" w:hAnsi="Arial"/>
          <w:sz w:val="18"/>
          <w:szCs w:val="18"/>
          <w:color w:val="auto"/>
        </w:rPr>
        <w:t>8,743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Buy foreign currency:</w:t>
      </w:r>
    </w:p>
    <w:p>
      <w:pPr>
        <w:spacing w:after="0" w:line="63"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British pound (GBP)</w:t>
            </w:r>
          </w:p>
        </w:tc>
        <w:tc>
          <w:tcPr>
            <w:tcW w:w="480" w:type="dxa"/>
            <w:vAlign w:val="bottom"/>
          </w:tcPr>
          <w:p>
            <w:pPr>
              <w:ind w:left="40"/>
              <w:spacing w:after="0"/>
              <w:rPr>
                <w:sz w:val="20"/>
                <w:szCs w:val="20"/>
                <w:color w:val="auto"/>
              </w:rPr>
            </w:pPr>
            <w:r>
              <w:rPr>
                <w:rFonts w:ascii="Arial" w:cs="Arial" w:eastAsia="Arial" w:hAnsi="Arial"/>
                <w:sz w:val="18"/>
                <w:szCs w:val="18"/>
                <w:color w:val="auto"/>
              </w:rPr>
              <w:t>GBP</w:t>
            </w:r>
          </w:p>
        </w:tc>
        <w:tc>
          <w:tcPr>
            <w:tcW w:w="1260" w:type="dxa"/>
            <w:vAlign w:val="bottom"/>
          </w:tcPr>
          <w:p>
            <w:pPr>
              <w:jc w:val="right"/>
              <w:ind w:right="24"/>
              <w:spacing w:after="0"/>
              <w:rPr>
                <w:sz w:val="20"/>
                <w:szCs w:val="20"/>
                <w:color w:val="auto"/>
              </w:rPr>
            </w:pPr>
            <w:r>
              <w:rPr>
                <w:rFonts w:ascii="Arial" w:cs="Arial" w:eastAsia="Arial" w:hAnsi="Arial"/>
                <w:sz w:val="18"/>
                <w:szCs w:val="18"/>
                <w:color w:val="auto"/>
              </w:rPr>
              <w:t>7,721</w:t>
            </w:r>
          </w:p>
        </w:tc>
        <w:tc>
          <w:tcPr>
            <w:tcW w:w="60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46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9"/>
        </w:trPr>
        <w:tc>
          <w:tcPr>
            <w:tcW w:w="6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2015</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Contract Amount</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6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jc w:val="center"/>
              <w:ind w:right="384"/>
              <w:spacing w:after="0" w:line="153" w:lineRule="exact"/>
              <w:rPr>
                <w:sz w:val="20"/>
                <w:szCs w:val="20"/>
                <w:color w:val="auto"/>
              </w:rPr>
            </w:pPr>
            <w:r>
              <w:rPr>
                <w:rFonts w:ascii="Arial" w:cs="Arial" w:eastAsia="Arial" w:hAnsi="Arial"/>
                <w:sz w:val="14"/>
                <w:szCs w:val="14"/>
                <w:b w:val="1"/>
                <w:bCs w:val="1"/>
                <w:color w:val="auto"/>
                <w:w w:val="93"/>
              </w:rPr>
              <w:t>Foreign</w:t>
            </w:r>
          </w:p>
        </w:tc>
        <w:tc>
          <w:tcPr>
            <w:tcW w:w="60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jc w:val="center"/>
              <w:ind w:right="384"/>
              <w:spacing w:after="0"/>
              <w:rPr>
                <w:sz w:val="20"/>
                <w:szCs w:val="20"/>
                <w:color w:val="auto"/>
              </w:rPr>
            </w:pPr>
            <w:r>
              <w:rPr>
                <w:rFonts w:ascii="Arial" w:cs="Arial" w:eastAsia="Arial" w:hAnsi="Arial"/>
                <w:sz w:val="14"/>
                <w:szCs w:val="14"/>
                <w:b w:val="1"/>
                <w:bCs w:val="1"/>
                <w:color w:val="auto"/>
                <w:w w:val="97"/>
              </w:rPr>
              <w:t>Currency</w:t>
            </w:r>
          </w:p>
        </w:tc>
        <w:tc>
          <w:tcPr>
            <w:tcW w:w="6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7620</wp:posOffset>
            </wp:positionV>
            <wp:extent cx="30956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0"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ind w:left="380"/>
              <w:spacing w:after="0"/>
              <w:rPr>
                <w:sz w:val="20"/>
                <w:szCs w:val="20"/>
                <w:color w:val="auto"/>
              </w:rPr>
            </w:pPr>
            <w:r>
              <w:rPr>
                <w:rFonts w:ascii="Arial" w:cs="Arial" w:eastAsia="Arial" w:hAnsi="Arial"/>
                <w:sz w:val="18"/>
                <w:szCs w:val="18"/>
                <w:color w:val="auto"/>
              </w:rPr>
              <w:t>Canadian dollar (CAD)</w:t>
            </w:r>
          </w:p>
        </w:tc>
        <w:tc>
          <w:tcPr>
            <w:tcW w:w="3040" w:type="dxa"/>
            <w:vAlign w:val="bottom"/>
          </w:tcPr>
          <w:p>
            <w:pPr>
              <w:ind w:left="2260"/>
              <w:spacing w:after="0"/>
              <w:rPr>
                <w:sz w:val="20"/>
                <w:szCs w:val="20"/>
                <w:color w:val="auto"/>
              </w:rPr>
            </w:pPr>
            <w:r>
              <w:rPr>
                <w:rFonts w:ascii="Arial" w:cs="Arial" w:eastAsia="Arial" w:hAnsi="Arial"/>
                <w:sz w:val="18"/>
                <w:szCs w:val="18"/>
                <w:color w:val="auto"/>
              </w:rPr>
              <w:t>CAD</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2,045</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 (EUR)</w:t>
            </w:r>
          </w:p>
        </w:tc>
        <w:tc>
          <w:tcPr>
            <w:tcW w:w="3040" w:type="dxa"/>
            <w:vAlign w:val="bottom"/>
            <w:tcBorders>
              <w:bottom w:val="single" w:sz="8" w:color="CCEEFF"/>
            </w:tcBorders>
            <w:shd w:val="clear" w:color="auto" w:fill="CCEEFF"/>
          </w:tcPr>
          <w:p>
            <w:pPr>
              <w:ind w:left="2260"/>
              <w:spacing w:after="0"/>
              <w:rPr>
                <w:sz w:val="20"/>
                <w:szCs w:val="20"/>
                <w:color w:val="auto"/>
              </w:rPr>
            </w:pPr>
            <w:r>
              <w:rPr>
                <w:rFonts w:ascii="Arial" w:cs="Arial" w:eastAsia="Arial" w:hAnsi="Arial"/>
                <w:sz w:val="18"/>
                <w:szCs w:val="18"/>
                <w:color w:val="auto"/>
              </w:rPr>
              <w:t>EUR</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5,600</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6,296</w:t>
            </w: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Buy foreign currency:</w:t>
            </w:r>
          </w:p>
        </w:tc>
        <w:tc>
          <w:tcPr>
            <w:tcW w:w="3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British pound (GBP)</w:t>
            </w:r>
          </w:p>
        </w:tc>
        <w:tc>
          <w:tcPr>
            <w:tcW w:w="30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GBP</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6,943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10,550</w:t>
            </w:r>
          </w:p>
        </w:tc>
        <w:tc>
          <w:tcPr>
            <w:tcW w:w="740" w:type="dxa"/>
            <w:vAlign w:val="bottom"/>
            <w:shd w:val="clear" w:color="auto" w:fill="CCEEFF"/>
          </w:tcPr>
          <w:p>
            <w:pPr>
              <w:spacing w:after="0"/>
              <w:rPr>
                <w:sz w:val="21"/>
                <w:szCs w:val="21"/>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September 30 of each fiscal year; therefore, the fair value was $0 on September 30, 2016 and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Fair Isaac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balance sheets of Fair Isaac Corporation and subsidiaries (the "Company") as of September 30, 2016 and 2015, and the related consolidated statements of income, comprehensive income, stockholders' equity, and cash flows for each of the three years in the period ended September 30, 2016. We also have audited the Company's internal control over financial reporting as of September 30, 2016, based on the criteria established in Internal Control - Integrated Framework (2013)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and subsidiaries as of September 30, 2016 and 2015, and the results of their operations and their cash flows for each of the three years in the period ended September 30, 2016, in conformity with accounting principles generally accepted in the United States of America. Also, in our opinion, the Company maintained, in all material respects, effective internal control over financial reporting as of September 30, 2016, based on the criteria established in Internal Control - Integrated Framework (2013) issued by the Committee of Sponsoring Organizations of the Treadway Commission.</w:t>
      </w: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Diego, 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10,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152"/>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(In thousands, except par value</w:t>
            </w:r>
          </w:p>
        </w:tc>
      </w:t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95"/>
              </w:rPr>
              <w:t>data)</w:t>
            </w:r>
          </w:p>
        </w:tc>
        <w:tc>
          <w:tcPr>
            <w:tcW w:w="980" w:type="dxa"/>
            <w:vAlign w:val="bottom"/>
          </w:tcPr>
          <w:p>
            <w:pPr>
              <w:spacing w:after="0"/>
              <w:rPr>
                <w:sz w:val="16"/>
                <w:szCs w:val="16"/>
                <w:color w:val="auto"/>
              </w:rPr>
            </w:pPr>
          </w:p>
        </w:tc>
      </w:tr>
      <w:tr>
        <w:trPr>
          <w:trHeight w:val="256"/>
        </w:trPr>
        <w:tc>
          <w:tcPr>
            <w:tcW w:w="8340" w:type="dxa"/>
            <w:vAlign w:val="bottom"/>
            <w:tcBorders>
              <w:bottom w:val="single" w:sz="8" w:color="CCEEFF"/>
            </w:tcBorders>
            <w:shd w:val="clear" w:color="auto" w:fill="CCEEFF"/>
          </w:tcPr>
          <w:p>
            <w:pPr>
              <w:ind w:left="54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86,120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167,786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158,773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267,638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286,602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available for 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798,415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814,750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47,598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7,561</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1,221,052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1,230,163</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27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compensation and employee benefits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71,216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54,368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30,958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47,129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46,697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on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92,000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246,077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243,875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34,147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33,290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774,224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793,165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($0.01 par value; 200,000 shares authorized, 88,857 shares issued and 30,935 and 31,290</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outstanding at September 30, 2016 and September 30, 2015,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Paid-in-capital</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1,185,076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1,152,789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Treasury stock, at cost (57,922 and 57,567 shares at September 30, 2016 and September 30, 2015,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(2,136,760)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(2,033,644)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1,475,214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1,368,255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(77,011)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446,828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436,998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1,221,052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1,230,163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gridSpan w:val="6"/>
          </w:tcPr>
          <w:p>
            <w:pPr>
              <w:jc w:val="center"/>
              <w:ind w:left="611"/>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605,919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564,232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527,563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149,834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License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105,699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122,776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111,588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881,356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838,781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788,985</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 (1)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249,281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98,824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83,435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278,203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intangible assets (1)</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acquisition-related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711,764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701,276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627,117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161,868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144,569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109,238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133,131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38,252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109,448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86,502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94,879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83,152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92,598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basic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33,870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diluted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34,864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800" w:right="2180" w:hanging="4792"/>
        <w:spacing w:after="0" w:line="465" w:lineRule="auto"/>
        <w:tabs>
          <w:tab w:leader="none" w:pos="3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 of revenues and selling, general and administrative expenses exclude the amortization of intangible assets. See Note 7. 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917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146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Stock</w:t>
            </w: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540" w:type="dxa"/>
            <w:vAlign w:val="bottom"/>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0"/>
                <w:szCs w:val="10"/>
                <w:color w:val="auto"/>
              </w:rPr>
            </w:pPr>
          </w:p>
        </w:tc>
        <w:tc>
          <w:tcPr>
            <w:tcW w:w="840" w:type="dxa"/>
            <w:vAlign w:val="bottom"/>
          </w:tcPr>
          <w:p>
            <w:pPr>
              <w:jc w:val="center"/>
              <w:ind w:right="111"/>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8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Par</w:t>
            </w:r>
          </w:p>
        </w:tc>
        <w:tc>
          <w:tcPr>
            <w:tcW w:w="160" w:type="dxa"/>
            <w:vAlign w:val="bottom"/>
          </w:tcPr>
          <w:p>
            <w:pPr>
              <w:spacing w:after="0"/>
              <w:rPr>
                <w:sz w:val="13"/>
                <w:szCs w:val="13"/>
                <w:color w:val="auto"/>
              </w:rPr>
            </w:pPr>
          </w:p>
        </w:tc>
        <w:tc>
          <w:tcPr>
            <w:tcW w:w="9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Treasury</w:t>
            </w:r>
          </w:p>
        </w:tc>
        <w:tc>
          <w:tcPr>
            <w:tcW w:w="11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840" w:type="dxa"/>
            <w:vAlign w:val="bottom"/>
          </w:tcPr>
          <w:p>
            <w:pPr>
              <w:jc w:val="center"/>
              <w:ind w:right="9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2013</w:t>
            </w: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34,786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1,110,198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(1,751,057)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4"/>
              </w:rPr>
              <w:t>$ 1,192,096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530,677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36,362</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36,362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treasury stock under employee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plans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29,823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Tax effect from share-based payment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arrangements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(214,898)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94,879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2014</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32,047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1,129,317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(1,936,095)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1,284,261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454,614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45,308</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45,308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treasury stock under employee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plans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33,153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Tax effect from share-based payment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arrangements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12,530</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(130,719)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86,502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(27,526)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1,152,789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(2,033,644)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1,368,255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436,998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55,509</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treasury stock under employee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plans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35,269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Tax effect from share-based payment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arrangements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24,184</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24,184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(138,399)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109,448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(26,296)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30,935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1,185,076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(2,136,760)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4"/>
              </w:rPr>
              <w:t>$ 1,475,214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446,828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109,448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86,502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94,879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31,633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33,889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36,362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of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(gain) loss on sales of property and equipment</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43"/>
        </w:trPr>
        <w:tc>
          <w:tcPr>
            <w:tcW w:w="67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compensation and employee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17,450</w:t>
            </w:r>
          </w:p>
        </w:tc>
        <w:tc>
          <w:tcPr>
            <w:tcW w:w="0" w:type="dxa"/>
            <w:vAlign w:val="bottom"/>
          </w:tcPr>
          <w:p>
            <w:pPr>
              <w:spacing w:after="0"/>
              <w:rPr>
                <w:sz w:val="1"/>
                <w:szCs w:val="1"/>
                <w:color w:val="auto"/>
              </w:rPr>
            </w:pPr>
          </w:p>
        </w:tc>
      </w:tr>
      <w:tr>
        <w:trPr>
          <w:trHeight w:val="243"/>
        </w:trPr>
        <w:tc>
          <w:tcPr>
            <w:tcW w:w="6740" w:type="dxa"/>
            <w:vAlign w:val="bottom"/>
          </w:tcPr>
          <w:p>
            <w:pPr>
              <w:ind w:left="11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37"/>
        </w:trPr>
        <w:tc>
          <w:tcPr>
            <w:tcW w:w="674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185,231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132,977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175,034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 from cost method investees</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(19,843)</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revolving line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on revolving line of credit and other short-term loans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 related to net share settlement of equity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benefits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25,037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13,795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(130,391)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105,075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83,178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75,926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105,075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Cash paid for income taxes, net of refunds of $11,363, $1,592 and $3,424 during the years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ended September 30, 2016, 2015 and 2014, respectively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10,855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26,884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30,470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28,209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 of property and equipment included in 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3,287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125" w:right="2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Isaac Corporation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analytical solutions, credit scoring and credit account management products and services to banks, credit reporting agencies, credit card processing agencies, insurers, retailers, healthcare organizations and public agencies.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these consolidated financial statements, FICO is referred to as “we,” “us,” “our,” or “the Company.”</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FICO and its subsidiaries. All intercompany accounts and transactions have been eliminated.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make estimates and assumptions that affect the amounts reported in the financial statements and the disclosures made in the accompanying notes. For example, we use estimates in determining the collectibility of accounts receivable; the appropriate levels of various accruals;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 consist of cash in banks and investments with an original maturity of 90 days or less at time of purchase.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fair value of certain of our financial instruments, including cash and cash equivalents, receivables, other current assets, accounts payable, accrued compensation and employee benefits, other accrued liabilities and amounts outstanding under our revolving line of credit, approximate their carrying amounts because of the short-term maturity of these instruments. The fair values of our cash and cash equivalents and marketable security investments are disclosed in Note 4. The fair value of our derivative instruments is disclosed in Note 5. The fair value of our senior notes is disclosed in Note 10.</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Management determines the appropriate classification of our investments in marketable debt and equity securities at the time of purchase, and re-evaluates this designation at each balance sheet date. While it is our intent to hold debt securities to maturity, our investments in U.S. government obligations and marketable equity and debt securities that have readily determinable fair values are classified as available-for-sale, as the sale of such securities may be required prior to maturity to implement management strategies. Therefore, such securities are carried at fair value with unrealized gains or losses related to these securities included in accumulated other comprehensive income (loss). The fair value of marketable securities is based upon inputs including quoted prices for identical or similar assets. Realized gains and losses are included in other income (expense), net on the consolidated statements of income and comprehensive income. The cost of investments sold is based on the specific identification method. Losses resulting from other than temporary declines in fair value are charged to operations. Investments with remaining maturities over one year are classified as long-term investments.</w:t>
      </w:r>
    </w:p>
    <w:p>
      <w:pPr>
        <w:spacing w:after="0" w:line="11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investments in equity securities of companies over which we do not have significant influence are accounted for under the cost method. The investment is originally recorded at cost and adjusted for additional contributions or distributions. Management periodically reviews cost-method investments for instances where fair value is less than the carrying amount and the decline in value is determined to be other than temporary. If the decline in value is judged to be other than temporary, the carrying amount of the security is written down to fair value and the resulting loss is charged to operations. We currently do not have investments in which we own 20% to 50% and exercise significant influence over operating and financial policies, therefore we do not account for any investment under the equity method.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Financial instruments that potentially expose us to concentrations of risk consist primarily of cash and cash equivalents, marketable securities and accounts receivable, which are generally not collateralized. Our policy is to place our cash, cash equivalents, and marketable securities with high quality financial institutions, commercial corporations and government agencies in order to limit the amount of credit exposure. We have established guidelines relative to diversification and maturities for maintaining safety and liquidity. We generally do not require collateral from our customers, but our credit extension and collection policies include analyzing the financial condition of potential customers, establishing credit limits, monitoring payments, and aggressively pursuing delinquent accounts. We maintain allowances for potential credit losses.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significant portion of our revenues are derived from the sales of products and services to the consumer credit and banking industries.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Property and equipment are recorded at cost less accumulated depreciation and amortization. Major renewals and improvements are capitalized, while repair and maintenance costs are expensed as incurred. Depreciation and amortization charges are calculated using the straight-line method over the following estimated useful lives: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Data processing equipment and software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3 to 7 years</w:t>
            </w:r>
          </w:p>
        </w:tc>
      </w:tr>
      <w:tr>
        <w:trPr>
          <w:trHeight w:val="27"/>
        </w:trPr>
        <w:tc>
          <w:tcPr>
            <w:tcW w:w="9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9"/>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Shorter of estimated</w:t>
            </w:r>
          </w:p>
        </w:tc>
      </w:tr>
      <w:tr>
        <w:trPr>
          <w:trHeight w:val="230"/>
        </w:trPr>
        <w:tc>
          <w:tcPr>
            <w:tcW w:w="912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useful life or lease term</w:t>
            </w:r>
          </w:p>
        </w:tc>
      </w:tr>
      <w:tr>
        <w:trPr>
          <w:trHeight w:val="27"/>
        </w:trPr>
        <w:tc>
          <w:tcPr>
            <w:tcW w:w="9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cost and accumulated depreciation for property and equipment sold, retired or otherwise disposed of are removed from the applicable accounts and resulting gains or losses are recorded in our consolidated statements of income and comprehensive income. Depreciation and amortization on property and equipment totaled $17.7 million, $20.2 million and $20.7 million during fiscal 2016, 2015 and 2014, respectively.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Costs incurred to develop internal-use software during the application development stage are capitalized and reported at cost. Application development stage costs generally include costs associated with internal-use software configuration, coding, installation and testing. Costs of significant upgrades and enhancements that result in additional functionality are also capitalized whereas costs incurred for maintenance and minor upgrades and enhancements are expensed as incurred. Capitalized costs are amortized using the straight-line method over two to three years. Software development costs required to be capitalized for internal-use software have not been material to date.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Capitalized Software and Research and Development Costs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Software development costs relating to products to be sold in the normal course of business are expensed as incurred as research and development costs until technological feasibility is established. Technological feasibility for our products occurs approximately concurrently with the general release of our products; accordingly, we have not capitalized any development or production costs. Costs we incur to maintain and support our existing products after the general release of the product are expensed in the period they are incurred and included in research and development costs in our consolidated statements of income and comprehensive income.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Acquisition Intangibles and Other Long-Lived Assets</w:t>
      </w:r>
    </w:p>
    <w:p>
      <w:pPr>
        <w:spacing w:after="0" w:line="13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Goodwill represents the excess of cost over the fair value of identifiable assets acquired and liabilities assumed in business combinations. We assess goodwill for impairment for each of our reporting units on an annual basis during the fourth quarter using a July 1 measurement date unless circumstances require a more frequent measurement. 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the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For fiscal 2016 and 2015,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in fiscal 2016 and 2015. For fiscal 2014, we elected to proceed directly to the step one quantitative analysis rather than perform the step zero qualitative assessment. There was a substantial excess of fair value over carrying value for each of our reporting units and we determined goodwill was not impaired for any of our reporting units.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amortize our finite-lived intangible assets which result from our acquisitions over the following estimated useful lives: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 to 10 years</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Customer contracts and relationships</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5 to 15 years</w:t>
            </w:r>
          </w:p>
        </w:tc>
      </w:tr>
      <w:tr>
        <w:trPr>
          <w:trHeight w:val="27"/>
        </w:trPr>
        <w:tc>
          <w:tcPr>
            <w:tcW w:w="9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to 3 years</w:t>
            </w:r>
          </w:p>
        </w:tc>
      </w:tr>
      <w:tr>
        <w:trPr>
          <w:trHeight w:val="27"/>
        </w:trPr>
        <w:tc>
          <w:tcPr>
            <w:tcW w:w="9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We did not recognize any impairment charges on intangible assets that have finite useful lives or other long-lived assets in fiscal 2016, 2015 and 2014.</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Software Licenses</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Software license fee revenue is recognized when persuasive evidence of an arrangement exists, software is made available to our customers, the fee is fixed or determinable and collection is probable. The determination of whether fees are fixed or determinable and collection is probable involves the use of judgment. If at the outset of an arrangement we determine that the arrangement fee is not fixed or determinable, revenue is deferred until the arrangement fee becomes fixed or determinable, assuming all other revenue recognition criteria have been met. If at the outset of an arrangement we determine that collectability is not probable, revenue is deferred until the earlier of when collectability becomes probable or the receipt of payment. If there is uncertainty as to the customer’s acceptance of our deliverables, revenue is not recognized until the earlier of receipt of customer acceptance, expiration of the acceptance period, or when we can demonstrate we meet the acceptance criteria. We evaluate contract terms and customer information to ensure that these criteria are met prior to our recognition of license fee revenue.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use the residual method to recognize revenue when a software arrangement includes one or more elements to be delivered at a future date provided the following criteria are met: (i) vendor-specific objective evidence (“VSOE”) of the fair value does not exist for one or more of the delivered items but exists for all undelivered elements, (ii) all other applicable revenue recognition criteria are met and (iii) the fair value of all of the undelivered elements is less than the arrangement fee. VSOE of fair value is based on the normal pricing practices for those products and services when sold separately by us and customer renewal rates for post-contract customer support services. Under the residual method, the fair value of the undelivered elements is deferred and the remaining portion of the arrangement fee is recognized as revenue. If evidence of the fair value of one or more undelivered elements does not exist, the revenue is deferred and recognized when delivery of those elements occurs or when fair value can be established. Changes to the elements in a software arrangement, the ability to identify VSOE for those elements, the fair value of the respective elements, and change to a product’s estimated life cycle could materially impact the amount of earned and unearned revenue.</w:t>
      </w:r>
    </w:p>
    <w:p>
      <w:pPr>
        <w:spacing w:after="0" w:line="12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Revenues from post-contract customer support services, such as software maintenance, are recognized on a straight-line basis over the term of the support period. The majority of our software maintenance agreements provide technical support as well as unspecified software product upgrades and releases when and if made available by us during the term of the support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Transactional-Based Revenues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Transactional-based revenue is recognized when persuasive evidence of an arrangement exists, fees are fixed or determinable, and collection is probable. Revenues from our credit scoring, data processing, data management and internet delivery services are recognized as these services are performed. Revenues from transactional or unit-based license fees under software license arrangements, network service and internally-hosted software agreements are recognized based on minimum contractual amounts or on system usage that exceeds minimum contractual amounts. Certain of our transactional-based revenues are based on transaction or active account volumes as reported by our clients. In instances where volumes are reported to us in arrears, we estimate volumes based on preliminary customer transaction information or average actual reported volumes for an immediate trailing period. Differences between our estimates and actual final volumes reported are recorded in the period in which actual volumes are reported. We have not experienced material variances between our estimates and actual reported volumes in the past and anticipate that we will be able to continue to make reasonable estimates in the future. If for some reason we were unable to reasonably estimate transaction volumes in the future, revenue may be deferred until actual customer data is received, and this could have a material impact on our consolidated results of operations.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Consulting Services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provide consulting, training, model development and software integration services under both hourly-based time and materials and fixed-priced contracts. Revenues from these services are generally recognized as the services are performed. For fixed-price service contracts, we use a proportionate performance model with hours as the input method of attribution to determine progress towards completion, with consideration also given to output measures, such as contract milestones, when applicable. In such instances, management is required to estimate the total estimated hours of the project. Adjustments to estimates are made in the period in which the facts requiring such revisions become known and, accordingly, recognized revenues and profits are subject to revisions as the contract progresses to completion. Estimated losses, if any, are recorded in the period in which current estimates of total contract revenue and contract costs indicate a loss. If substantive uncertainty related to customer acceptance of services exists, we defer the associated revenue until the contract is completed. We have not experienced material variances between our estimates and actual hours in the past and anticipate that we will be able to continue to make reasonable estimates in the future. If for some reason we are unable to accurately estimate the input measures, revenue would be deferred until the contract is complete, and this could have a material impact on our consolidated results of operations.</w:t>
      </w:r>
    </w:p>
    <w:p>
      <w:pPr>
        <w:spacing w:after="0" w:line="11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Services that are sold in connection with software license arrangements generally qualify for separate accounting from the license element because they do not involve significant production, modification or customization of our products and are not otherwise considered to be essential to the functionality of our software. In arrangements where the professional services do not qualify for separate accounting from the license element, the combined software license and professional services revenue are recognized based on contract accounting using either the percentage-of-completion or completed-contract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Hosting Services</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are an application service provider (“ASP”), where we provide hosting services that allow customers access to software that resides on our servers. The ASP model typically includes an up-front fee and a monthly commitment from the customer that commences upon completion of the implementation through the remainder of the customer life. The up-front fee is the initial setup fee, or the implementation fee. The monthly commitment includes, but is not limited to, a fixed monthly fee or a transactional fee based on system usage that exceeds monthly minimums. Revenue is recognized from ASP transactions when there is persuasive evidence of an arrangement, the service has been provided to the customer, the amount of fees is fixed or determinable and the collection of our fees is probable. We do not view the activities of signing the contract or providing initial setup services as discrete earnings events. Revenue is typically deferred until the date the customer commences use of our services, at which point the up-front fees are recognized ratably over the expected life of the customer relationship. ASP transactional fees are recorded monthly as earned.</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Multiple-Deliverable Arrangements including Non-Software</w:t>
      </w:r>
    </w:p>
    <w:p>
      <w:pPr>
        <w:spacing w:after="0" w:line="10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7"/>
          <w:szCs w:val="17"/>
          <w:color w:val="auto"/>
        </w:rPr>
        <w:t>When we enter into a multiple-deliverable arrangement that includes non-software, each deliverable is accounted for as a separate unit of accounting if the following criteria are met: (i) the delivered item or items have value to the customer on a standalone basis and (ii) for an arrangement that includes a general right of return relative to the delivered item(s), delivery or performance of the undelivered item(s) is considered probable and substantially in our control. We consider a deliverable to have standalone value if we sell this item separately or if the item is sold by another vendor or could be resold by the customer</w:t>
      </w:r>
      <w:r>
        <w:rPr>
          <w:rFonts w:ascii="Arial" w:cs="Arial" w:eastAsia="Arial" w:hAnsi="Arial"/>
          <w:sz w:val="18"/>
          <w:szCs w:val="18"/>
          <w:color w:val="auto"/>
        </w:rPr>
        <w:t>;</w:t>
      </w:r>
      <w:r>
        <w:rPr>
          <w:rFonts w:ascii="Arial" w:cs="Arial" w:eastAsia="Arial" w:hAnsi="Arial"/>
          <w:sz w:val="17"/>
          <w:szCs w:val="17"/>
          <w:color w:val="auto"/>
        </w:rPr>
        <w:t xml:space="preserve"> for example, we conclude professional services offered along with our SaaS subscription services typically have standalone value using this criteria. Further, our revenue arrangements generally do not include a general right of return relative to delivered products. Revenue for multiple element arrangements is allocated to the software and non-software deliverables based on a relative selling price. We use VSOE in our allocation of arrangement consideration when it is available. We define VSOE as a median price of recent standalone transactions that are priced within a narrow range, as defined by us. If a product or service is seldom sold separately, it is unlikely that we can determine VSOE. In circumstances when VSOE does not exist, we then assess whether we can obtain third-party evidence (“TPE”) of the selling price. It may be difficult for us to obtain sufficient information on competitor pricing to substantiate TPE and therefore we may not always be able to use TPE. When we are unable to establish selling price using VSOE or TPE, we use estimated selling price (“ESP”) in our allocation of arrangement consideration. The objective of ESP is to determine the price at which we would transact if the product or service were sold by us on a standalone basis. Our determination of ESP involves weighting several factors based on the specific facts and circumstances of each arrangement. The factors include, but are not limited to, geographies, market conditions, gross margin objectives, pricing practices and controls, customer segment pricing strategies and the product lifecycle.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vs. Net Revenue Reporting</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apply accounting guidance to determine whether we report revenue for certain transactions based upon the gross amount billed to the customer, or the net amount retained by us. In accordance with the guidance we record revenue on a gross basis for sales in which we have acted as the principal and on a net basis for those sales in which we have in substance acted as an agent or broker in the transaction.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results of operations and financial position.</w:t>
      </w:r>
    </w:p>
    <w:p>
      <w:pPr>
        <w:spacing w:after="0" w:line="1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w:t>
      </w:r>
    </w:p>
    <w:p>
      <w:pPr>
        <w:jc w:val="both"/>
        <w:ind w:firstLine="8"/>
        <w:spacing w:after="0" w:line="255"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w:t>
      </w:r>
    </w:p>
    <w:p>
      <w:pPr>
        <w:spacing w:after="0" w:line="13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 related valuation allowances will affect our provision for income taxes in our consolidated statements of income and comprehensive income and could have a material impact on our results of operations and financial position.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balance sheet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1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Basic earnings per share are computed on the basis of the weighted-average number of common shares outstanding during the period under measurement. Diluted earnings per share are based on the weighted-average number of common shares outstanding and potential common shares. Potential common shares result from the assumed exercise of outstanding stock options or other potentially dilutive equity instruments, when they are dilutive under the treasury stock method.</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Comprehensive income is the change in our equity (net assets) during each period from transactions and other events and circumstances from non-owner sources. It includes net income, foreign currency translation adjustments and unrealized gains and losses on our investments in marketable securities, net of tax.</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and Derivative Financial Instruments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have determined that the functional currency of each foreign operation is the local currency. Assets and liabilities denominated in their local foreign currencies are translated into U.S. dollars at the exchange rate on the balance sheet date. Revenues and expenses are translated at average rates of exchange prevailing during the period. Foreign currency translation adjustments are accumulated as a separate component of consolidated stockholders’ equity.</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utilize derivative instruments to manage market risks associated with fluctuations in certain foreign currency exchange rates as they relate to specific balances of accounts receivable and cash denominated in foreign currencies. We principally utilize foreign currency forward contracts to protect against market risks arising in the normal course of business. Our policies prohibit the use of derivative instruments for the sole purpose of trading for profit on price fluctuations or to enter into contracts that intentionally increase our underlying exposure. All of our foreign currency forward contracts have maturity periods of less than three months.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the end of the reporting period, foreign-currency-denominated assets and liabilities are remeasured into the functional currencies of the reporting entities at current market rates. The change in value from this remeasurement is reported as a foreign exchange gain or loss for that period in other income (expense), net in the accompanying consolidated statements of income and comprehensive income.</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recorded transactional foreign exchange gains (losses) of $0.2 million, $0.0 million (less than $100,000) and $(1.0) million during fiscal 2016, 2015 and 2014,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measure stock-based compensation cost at the grant date based on the fair value of the award and recognize it as expense, net of estimated forfeitures, over the vesting or service period, as applicable, of the stock award (generally three to four years). See Note 14 for further discussion of our share-based employee benefit plans.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and Promotion Costs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Advertising and promotion costs are expensed as incurred and are included in selling, general and administrative expenses in the accompanying consolidated statements of income and comprehensive income. Advertising and promotion costs totaled $3.6 million, $3.7 million and $3.8 million in fiscal 2016, 2015 and 2014,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In November 2015, the Financial Accounting Standards Board (“FASB”) issued ASU No. 2015-17, “</w:t>
      </w:r>
      <w:r>
        <w:rPr>
          <w:rFonts w:ascii="Arial" w:cs="Arial" w:eastAsia="Arial" w:hAnsi="Arial"/>
          <w:sz w:val="16"/>
          <w:szCs w:val="16"/>
          <w:i w:val="1"/>
          <w:iCs w:val="1"/>
          <w:color w:val="auto"/>
        </w:rPr>
        <w:t>Income Taxes (Topic 740): Balance Sheet</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 of Deferred Taxes</w:t>
      </w:r>
      <w:r>
        <w:rPr>
          <w:rFonts w:ascii="Arial" w:cs="Arial" w:eastAsia="Arial" w:hAnsi="Arial"/>
          <w:sz w:val="16"/>
          <w:szCs w:val="16"/>
          <w:color w:val="auto"/>
        </w:rPr>
        <w:t>” (“ASU 2015-17”). ASU 2015-17 simplifies the presentation of deferred income taxes and requires that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assets be classified as noncurrent in a classified statement of financial position. ASU 2015-17 applies to all entities that present a classified statement of financial position. ASU 2015-17 may be applied either prospectively to all deferred tax liabilities and assets or retrospectively to all periods presented. ASU 2015-17 is effective for fiscal years and interim periods within those fiscal years beginning after December 15, 2016. We elected to early adopt the standard prospectively as of March 31, 2016, which did not have a significant impact on our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In October 2016, the FASB issued ASU No.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(“ASU 2016-16”). ASU 2016-16 requires an entity to recognize the income tax consequences of an intra-entity transfer of an asset other than inventory when the transfer occurs. The guidance is effective for fiscal years and interim periods beginning after December 15, 2017, which means it will be effective for our fiscal year beginning October 1, 2018. ASU 2016-16 should be applied on a modified retrospective basis through a cumulative-effect adjustment directly to retained earnings at the beginning of the period of adoption. Early adoption is permitted in the first interim period of an entity's annual financial statements. We are currently evaluating the timing of our adoption and the impact that the updated standard will have on our consolidated financial statements.</w:t>
      </w:r>
    </w:p>
    <w:p>
      <w:pPr>
        <w:spacing w:after="0" w:line="57"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In March 2016, the FASB issued ASU No. 2016-09, “</w:t>
      </w:r>
      <w:r>
        <w:rPr>
          <w:rFonts w:ascii="Arial" w:cs="Arial" w:eastAsia="Arial" w:hAnsi="Arial"/>
          <w:sz w:val="17"/>
          <w:szCs w:val="17"/>
          <w:i w:val="1"/>
          <w:iCs w:val="1"/>
          <w:color w:val="auto"/>
        </w:rPr>
        <w:t>Compensation - 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w:t>
      </w:r>
      <w:r>
        <w:rPr>
          <w:rFonts w:ascii="Arial" w:cs="Arial" w:eastAsia="Arial" w:hAnsi="Arial"/>
          <w:sz w:val="17"/>
          <w:szCs w:val="17"/>
          <w:color w:val="auto"/>
        </w:rPr>
        <w:t>g” (“ASU 2016-09”). ASU 2016-09 simplifies several aspects of the accounting for share-based payment transactions,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consequences, classification of awards as either equity or liabilities, and classification on the statement of cash flows. ASU 2016-09 is effective for fiscal years and interim periods within those fiscal years beginning after December 15, 2016, which means it will be effective for our fiscal year beginning October 1, 2017. Early adoption is permitted. We plan to early adopt ASU 2016-09 on a prospective basis in the first quarter of our fiscal 2017 (the quarter ended December 31, 2016), which is expected to have an impact on the recording of excess tax benefits and deficiencies in our consolidated balance sheets and consolidated statements of income and comprehensive income, as well as our operating and financing cash flows on our consolidated statements of cash Flows. The magnitude of such impact is dependent upon our future grants of stock-based compensation, our future stock price in relation to the fair value of awards on grant date and the exercise behavior of the our stock option holders.</w:t>
      </w:r>
    </w:p>
    <w:p>
      <w:pPr>
        <w:spacing w:after="0" w:line="12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which requires lessees to put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ASU 2016-02 is effective for fiscal years and interim periods within those fiscal years beginning after December 15, 2018, which means it will be effective for our fiscal year beginning October 1, 2019. Early adoption is permitted. We are currently evaluating the timing of our adoption and the impact that the updated standard will have on our consolidated financial statements.</w:t>
      </w:r>
    </w:p>
    <w:p>
      <w:pPr>
        <w:spacing w:after="0" w:line="139"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w:t>
      </w:r>
      <w:r>
        <w:rPr>
          <w:rFonts w:ascii="Arial" w:cs="Arial" w:eastAsia="Arial" w:hAnsi="Arial"/>
          <w:sz w:val="17"/>
          <w:szCs w:val="17"/>
          <w:i w:val="1"/>
          <w:iCs w:val="1"/>
          <w:color w:val="auto"/>
        </w:rPr>
        <w:t>Deferral of the Effective Date</w:t>
      </w:r>
      <w:r>
        <w:rPr>
          <w:rFonts w:ascii="Arial" w:cs="Arial" w:eastAsia="Arial" w:hAnsi="Arial"/>
          <w:sz w:val="17"/>
          <w:szCs w:val="17"/>
          <w:color w:val="auto"/>
        </w:rPr>
        <w:t>”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our fiscal year beginning October 1, 2018. Early adoption is permitted to the original effective date of December 15, 2016 (including interim reporting periods within those periods). We have not yet selected a transition method and we are currently evaluating the impact that the updated standard will have on our consolidated financial statements.</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April 2015, the FASB issued ASU No. 2015-03, “</w:t>
      </w:r>
      <w:r>
        <w:rPr>
          <w:rFonts w:ascii="Arial" w:cs="Arial" w:eastAsia="Arial" w:hAnsi="Arial"/>
          <w:sz w:val="16"/>
          <w:szCs w:val="16"/>
          <w:i w:val="1"/>
          <w:iCs w:val="1"/>
          <w:color w:val="auto"/>
        </w:rPr>
        <w:t>Simplifying the Presentation of Debt Issuance</w:t>
      </w:r>
      <w:r>
        <w:rPr>
          <w:rFonts w:ascii="Arial" w:cs="Arial" w:eastAsia="Arial" w:hAnsi="Arial"/>
          <w:sz w:val="16"/>
          <w:szCs w:val="16"/>
          <w:color w:val="auto"/>
        </w:rPr>
        <w:t>” (“ASU 2015-03”), which changes the presentation of debt issuance costs in financial statements. Under ASU 2015-03, an entity presents such costs in the balance sheet as a direct deduction from the related debt liability rather than as an asset. Amortization of the costs is reported as interest expense. ASU 2015-03 is effective for fiscal years and interim periods within those fiscal years, beginning after December 15, 2015, which means it is effective for our fiscal year beginning October 1, 2016. Early adoption was permitted. We do not believe that adoption of ASU 2015-03 will have a significant impact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12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May 19, 2016, we acquired 100% of the equity of QuadMetrics for $5.7 million in cash. QuadMetrics is a provider of enterprise security assessment analytics. We expect that this acquisition will help accelerate our efforts to provide a suite of complementary cyber-related analytics solutions to market. QuadMetrics has been included in our operating results since the acquisition date. The pro forma impact of this acquisition was not deemed material to our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fiscal 2015, we acquired 100% of the equity of TONBELLER for $59.6 million in cash. We recorded $14.9 million of intangible assets, which are being amortized using the straight-line method over a weighted average useful life of approximately 4.9 years. The goodwill of $46.1 million was allocated to our Applications segment and was not deductible for tax purposes.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fiscal 2014, we acquired 100% of the common stock of InfoCentricity for $8.2 million in cash.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Cash Equivalents and Marketable Securities Available for Sale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cash, cash equivalents and marketable securities available for sale at September 30, 2016 and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2016</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75,486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75,486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85,681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85,681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75,926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75,926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86,120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86,120</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Marketable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9,598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11,016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8,691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long-term marketable equity securities represent securities held under a supplemental retirement and savings plan for senior management employees, which are distributed upon termination or retirement of the employees.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39" w:lineRule="exact"/>
        <w:rPr>
          <w:sz w:val="20"/>
          <w:szCs w:val="20"/>
          <w:color w:val="auto"/>
        </w:rPr>
      </w:pPr>
    </w:p>
    <w:p>
      <w:pPr>
        <w:ind w:left="1540" w:hanging="803"/>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are comprised of money market funds and certain equity securities.</w:t>
      </w:r>
    </w:p>
    <w:p>
      <w:pPr>
        <w:spacing w:after="0" w:line="62" w:lineRule="exact"/>
        <w:rPr>
          <w:rFonts w:ascii="Arial" w:cs="Arial" w:eastAsia="Arial" w:hAnsi="Arial"/>
          <w:sz w:val="18"/>
          <w:szCs w:val="18"/>
          <w:color w:val="auto"/>
        </w:rPr>
      </w:pPr>
    </w:p>
    <w:p>
      <w:pPr>
        <w:jc w:val="both"/>
        <w:ind w:left="1540" w:hanging="803"/>
        <w:spacing w:after="0" w:line="255"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do not have any assets that are valued using inputs identified under a Level 2 hierarchy as of September 30, 2016 and 2015.</w:t>
      </w:r>
    </w:p>
    <w:p>
      <w:pPr>
        <w:spacing w:after="0" w:line="85" w:lineRule="exact"/>
        <w:rPr>
          <w:rFonts w:ascii="Arial" w:cs="Arial" w:eastAsia="Arial" w:hAnsi="Arial"/>
          <w:sz w:val="18"/>
          <w:szCs w:val="18"/>
          <w:color w:val="auto"/>
        </w:rPr>
      </w:pPr>
    </w:p>
    <w:p>
      <w:pPr>
        <w:jc w:val="both"/>
        <w:ind w:left="1540" w:hanging="803"/>
        <w:spacing w:after="0" w:line="25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do not have any assets or liabilities that are valued using inputs identified under a Level 3 hierarchy as of September 30, 2016 and 2015.</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represents financial assets that we measured at fair value on a recurring basis at September 30, 2016 and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 Markets for</w:t>
            </w: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Fair Value as of September</w:t>
            </w:r>
          </w:p>
        </w:tc>
        <w:tc>
          <w:tcPr>
            <w:tcW w:w="0" w:type="dxa"/>
            <w:vAlign w:val="bottom"/>
          </w:tcPr>
          <w:p>
            <w:pPr>
              <w:spacing w:after="0"/>
              <w:rPr>
                <w:sz w:val="1"/>
                <w:szCs w:val="1"/>
                <w:color w:val="auto"/>
              </w:rPr>
            </w:pPr>
          </w:p>
        </w:tc>
      </w:tr>
      <w:tr>
        <w:trPr>
          <w:trHeight w:val="149"/>
        </w:trPr>
        <w:tc>
          <w:tcPr>
            <w:tcW w:w="7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Identical Instruments</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6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1)</w:t>
            </w:r>
          </w:p>
        </w:tc>
        <w:tc>
          <w:tcPr>
            <w:tcW w:w="520" w:type="dxa"/>
            <w:vAlign w:val="bottom"/>
          </w:tcPr>
          <w:p>
            <w:pPr>
              <w:spacing w:after="0"/>
              <w:rPr>
                <w:sz w:val="13"/>
                <w:szCs w:val="13"/>
                <w:color w:val="auto"/>
              </w:rPr>
            </w:pPr>
          </w:p>
        </w:tc>
        <w:tc>
          <w:tcPr>
            <w:tcW w:w="1300" w:type="dxa"/>
            <w:vAlign w:val="bottom"/>
          </w:tcPr>
          <w:p>
            <w:pPr>
              <w:jc w:val="center"/>
              <w:ind w:right="434"/>
              <w:spacing w:after="0" w:line="158" w:lineRule="exact"/>
              <w:rPr>
                <w:sz w:val="20"/>
                <w:szCs w:val="20"/>
                <w:color w:val="auto"/>
              </w:rPr>
            </w:pPr>
            <w:r>
              <w:rPr>
                <w:rFonts w:ascii="Arial" w:cs="Arial" w:eastAsia="Arial" w:hAnsi="Arial"/>
                <w:sz w:val="14"/>
                <w:szCs w:val="14"/>
                <w:b w:val="1"/>
                <w:bCs w:val="1"/>
                <w:color w:val="auto"/>
                <w:w w:val="91"/>
              </w:rPr>
              <w:t>30, 2016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Cash equivalents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2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11,016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11,016</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11,456</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 Markets for</w:t>
            </w: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Fair Value as of September</w:t>
            </w:r>
          </w:p>
        </w:tc>
        <w:tc>
          <w:tcPr>
            <w:tcW w:w="0" w:type="dxa"/>
            <w:vAlign w:val="bottom"/>
          </w:tcPr>
          <w:p>
            <w:pPr>
              <w:spacing w:after="0"/>
              <w:rPr>
                <w:sz w:val="1"/>
                <w:szCs w:val="1"/>
                <w:color w:val="auto"/>
              </w:rPr>
            </w:pPr>
          </w:p>
        </w:tc>
      </w:tr>
      <w:tr>
        <w:trPr>
          <w:trHeight w:val="149"/>
        </w:trPr>
        <w:tc>
          <w:tcPr>
            <w:tcW w:w="7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Identical Instruments</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6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1)</w:t>
            </w:r>
          </w:p>
        </w:tc>
        <w:tc>
          <w:tcPr>
            <w:tcW w:w="520" w:type="dxa"/>
            <w:vAlign w:val="bottom"/>
          </w:tcPr>
          <w:p>
            <w:pPr>
              <w:spacing w:after="0"/>
              <w:rPr>
                <w:sz w:val="13"/>
                <w:szCs w:val="13"/>
                <w:color w:val="auto"/>
              </w:rPr>
            </w:pPr>
          </w:p>
        </w:tc>
        <w:tc>
          <w:tcPr>
            <w:tcW w:w="1300" w:type="dxa"/>
            <w:vAlign w:val="bottom"/>
          </w:tcPr>
          <w:p>
            <w:pPr>
              <w:jc w:val="center"/>
              <w:ind w:right="434"/>
              <w:spacing w:after="0" w:line="158" w:lineRule="exact"/>
              <w:rPr>
                <w:sz w:val="20"/>
                <w:szCs w:val="20"/>
                <w:color w:val="auto"/>
              </w:rPr>
            </w:pPr>
            <w:r>
              <w:rPr>
                <w:rFonts w:ascii="Arial" w:cs="Arial" w:eastAsia="Arial" w:hAnsi="Arial"/>
                <w:sz w:val="14"/>
                <w:szCs w:val="14"/>
                <w:b w:val="1"/>
                <w:bCs w:val="1"/>
                <w:color w:val="auto"/>
                <w:w w:val="91"/>
              </w:rPr>
              <w:t>30, 2015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Cash equivalents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2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9,567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10,006</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5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cash and cash equivalents on our balance sheet at September 30, 2016 and 2015. Not included in this table are cash deposits of $75.5 million and $85.7 million at September 30, 2016 and 2015, respectively.</w:t>
      </w:r>
    </w:p>
    <w:p>
      <w:pPr>
        <w:spacing w:after="0" w:line="1"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securities held under a supplemental retirement and savings plan for certain officers and senior management employees, which are distributed upon termination or retirement of the employees. Included in long-term marketable securities on our balance sheet at September 30, 2016 and 2015.</w:t>
      </w:r>
    </w:p>
    <w:p>
      <w:pPr>
        <w:spacing w:after="0" w:line="8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Where applicable, we use quoted prices in active markets for identical assets or liabilities to determine fair value. This pricing applies to our Level 1 investments. To the extent quoted prices in active markets for assets or liabilities are not available, the valuation techniques used to measure the fair values of our financial assets incorporate market inputs, which include reported trades, broker/dealer quotes, benchmark yields, issuer spreads, benchmark securities and other inputs derived from or corroborated by observable market data. This methodology would apply to our Level 2 investments. We have not changed our valuation techniques in measuring the fair value of any financial assets and liabilities during the period.</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fair value of our derivative instruments and senior notes, see Note 5 and Note 10,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Canadian dollar.</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Foreign-currency-denominated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our outstanding foreign currency forward contracts, by currency at September 30, 2016 and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2016</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 Amount</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tcPr>
          <w:p>
            <w:pPr>
              <w:jc w:val="center"/>
              <w:ind w:right="960"/>
              <w:spacing w:after="0" w:line="153" w:lineRule="exact"/>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US$</w:t>
            </w:r>
          </w:p>
        </w:tc>
        <w:tc>
          <w:tcPr>
            <w:tcW w:w="280" w:type="dxa"/>
            <w:vAlign w:val="bottom"/>
          </w:tcPr>
          <w:p>
            <w:pPr>
              <w:spacing w:after="0"/>
              <w:rPr>
                <w:sz w:val="13"/>
                <w:szCs w:val="13"/>
                <w:color w:val="auto"/>
              </w:rPr>
            </w:pPr>
          </w:p>
        </w:tc>
        <w:tc>
          <w:tcPr>
            <w:tcW w:w="120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60"/>
              <w:spacing w:after="0"/>
              <w:rPr>
                <w:sz w:val="20"/>
                <w:szCs w:val="20"/>
                <w:color w:val="auto"/>
              </w:rPr>
            </w:pPr>
            <w:r>
              <w:rPr>
                <w:rFonts w:ascii="Arial" w:cs="Arial" w:eastAsia="Arial" w:hAnsi="Arial"/>
                <w:sz w:val="14"/>
                <w:szCs w:val="14"/>
                <w:b w:val="1"/>
                <w:bCs w:val="1"/>
                <w:color w:val="auto"/>
                <w:w w:val="97"/>
              </w:rPr>
              <w:t>Currency</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jc w:val="center"/>
              <w:ind w:right="4090"/>
              <w:spacing w:after="0"/>
              <w:rPr>
                <w:sz w:val="20"/>
                <w:szCs w:val="20"/>
                <w:color w:val="auto"/>
              </w:rPr>
            </w:pPr>
            <w:r>
              <w:rPr>
                <w:rFonts w:ascii="Arial" w:cs="Arial" w:eastAsia="Arial" w:hAnsi="Arial"/>
                <w:sz w:val="18"/>
                <w:szCs w:val="18"/>
                <w:color w:val="auto"/>
                <w:w w:val="92"/>
              </w:rPr>
              <w:t>Sell foreign currency:</w:t>
            </w:r>
          </w:p>
        </w:tc>
        <w:tc>
          <w:tcPr>
            <w:tcW w:w="9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center"/>
              <w:ind w:right="4090"/>
              <w:spacing w:after="0"/>
              <w:rPr>
                <w:sz w:val="20"/>
                <w:szCs w:val="20"/>
                <w:color w:val="auto"/>
              </w:rPr>
            </w:pPr>
            <w:r>
              <w:rPr>
                <w:rFonts w:ascii="Arial" w:cs="Arial" w:eastAsia="Arial" w:hAnsi="Arial"/>
                <w:sz w:val="18"/>
                <w:szCs w:val="18"/>
                <w:color w:val="auto"/>
                <w:w w:val="94"/>
              </w:rPr>
              <w:t>Euro (EUR)</w:t>
            </w:r>
          </w:p>
        </w:tc>
        <w:tc>
          <w:tcPr>
            <w:tcW w:w="920" w:type="dxa"/>
            <w:vAlign w:val="bottom"/>
          </w:tcPr>
          <w:p>
            <w:pPr>
              <w:jc w:val="right"/>
              <w:spacing w:after="0"/>
              <w:rPr>
                <w:sz w:val="20"/>
                <w:szCs w:val="20"/>
                <w:color w:val="auto"/>
              </w:rPr>
            </w:pPr>
            <w:r>
              <w:rPr>
                <w:rFonts w:ascii="Arial" w:cs="Arial" w:eastAsia="Arial" w:hAnsi="Arial"/>
                <w:sz w:val="18"/>
                <w:szCs w:val="18"/>
                <w:color w:val="auto"/>
              </w:rPr>
              <w:t>EUR</w:t>
            </w:r>
          </w:p>
        </w:tc>
        <w:tc>
          <w:tcPr>
            <w:tcW w:w="1640" w:type="dxa"/>
            <w:vAlign w:val="bottom"/>
          </w:tcPr>
          <w:p>
            <w:pPr>
              <w:jc w:val="right"/>
              <w:ind w:right="180"/>
              <w:spacing w:after="0"/>
              <w:rPr>
                <w:sz w:val="20"/>
                <w:szCs w:val="20"/>
                <w:color w:val="auto"/>
              </w:rPr>
            </w:pPr>
            <w:r>
              <w:rPr>
                <w:rFonts w:ascii="Arial" w:cs="Arial" w:eastAsia="Arial" w:hAnsi="Arial"/>
                <w:sz w:val="18"/>
                <w:szCs w:val="18"/>
                <w:color w:val="auto"/>
              </w:rPr>
              <w:t>7,850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jc w:val="center"/>
              <w:ind w:right="4070"/>
              <w:spacing w:after="0"/>
              <w:rPr>
                <w:sz w:val="20"/>
                <w:szCs w:val="20"/>
                <w:color w:val="auto"/>
              </w:rPr>
            </w:pPr>
            <w:r>
              <w:rPr>
                <w:rFonts w:ascii="Arial" w:cs="Arial" w:eastAsia="Arial" w:hAnsi="Arial"/>
                <w:sz w:val="18"/>
                <w:szCs w:val="18"/>
                <w:color w:val="auto"/>
                <w:w w:val="92"/>
              </w:rPr>
              <w:t>Buy foreign currency:</w:t>
            </w:r>
          </w:p>
        </w:tc>
        <w:tc>
          <w:tcPr>
            <w:tcW w:w="9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920" w:type="dxa"/>
            <w:vAlign w:val="bottom"/>
          </w:tcPr>
          <w:p>
            <w:pPr>
              <w:jc w:val="right"/>
              <w:spacing w:after="0"/>
              <w:rPr>
                <w:sz w:val="20"/>
                <w:szCs w:val="20"/>
                <w:color w:val="auto"/>
              </w:rPr>
            </w:pPr>
            <w:r>
              <w:rPr>
                <w:rFonts w:ascii="Arial" w:cs="Arial" w:eastAsia="Arial" w:hAnsi="Arial"/>
                <w:sz w:val="18"/>
                <w:szCs w:val="18"/>
                <w:color w:val="auto"/>
              </w:rPr>
              <w:t>GBP</w:t>
            </w:r>
          </w:p>
        </w:tc>
        <w:tc>
          <w:tcPr>
            <w:tcW w:w="1640" w:type="dxa"/>
            <w:vAlign w:val="bottom"/>
          </w:tcPr>
          <w:p>
            <w:pPr>
              <w:jc w:val="right"/>
              <w:ind w:right="180"/>
              <w:spacing w:after="0"/>
              <w:rPr>
                <w:sz w:val="20"/>
                <w:szCs w:val="20"/>
                <w:color w:val="auto"/>
              </w:rPr>
            </w:pPr>
            <w:r>
              <w:rPr>
                <w:rFonts w:ascii="Arial" w:cs="Arial" w:eastAsia="Arial" w:hAnsi="Arial"/>
                <w:sz w:val="18"/>
                <w:szCs w:val="18"/>
                <w:color w:val="auto"/>
              </w:rPr>
              <w:t>7,721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5"/>
        </w:trPr>
        <w:tc>
          <w:tcPr>
            <w:tcW w:w="5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2015</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 Amount</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tcPr>
          <w:p>
            <w:pPr>
              <w:jc w:val="center"/>
              <w:ind w:right="960"/>
              <w:spacing w:after="0" w:line="153" w:lineRule="exact"/>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US$</w:t>
            </w:r>
          </w:p>
        </w:tc>
        <w:tc>
          <w:tcPr>
            <w:tcW w:w="280" w:type="dxa"/>
            <w:vAlign w:val="bottom"/>
          </w:tcPr>
          <w:p>
            <w:pPr>
              <w:spacing w:after="0"/>
              <w:rPr>
                <w:sz w:val="13"/>
                <w:szCs w:val="13"/>
                <w:color w:val="auto"/>
              </w:rPr>
            </w:pPr>
          </w:p>
        </w:tc>
        <w:tc>
          <w:tcPr>
            <w:tcW w:w="120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60"/>
              <w:spacing w:after="0"/>
              <w:rPr>
                <w:sz w:val="20"/>
                <w:szCs w:val="20"/>
                <w:color w:val="auto"/>
              </w:rPr>
            </w:pPr>
            <w:r>
              <w:rPr>
                <w:rFonts w:ascii="Arial" w:cs="Arial" w:eastAsia="Arial" w:hAnsi="Arial"/>
                <w:sz w:val="14"/>
                <w:szCs w:val="14"/>
                <w:b w:val="1"/>
                <w:bCs w:val="1"/>
                <w:color w:val="auto"/>
                <w:w w:val="97"/>
              </w:rPr>
              <w:t>Currency</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jc w:val="center"/>
              <w:ind w:right="4090"/>
              <w:spacing w:after="0"/>
              <w:rPr>
                <w:sz w:val="20"/>
                <w:szCs w:val="20"/>
                <w:color w:val="auto"/>
              </w:rPr>
            </w:pPr>
            <w:r>
              <w:rPr>
                <w:rFonts w:ascii="Arial" w:cs="Arial" w:eastAsia="Arial" w:hAnsi="Arial"/>
                <w:sz w:val="18"/>
                <w:szCs w:val="18"/>
                <w:color w:val="auto"/>
                <w:w w:val="92"/>
              </w:rPr>
              <w:t>Sell foreign currency:</w:t>
            </w:r>
          </w:p>
        </w:tc>
        <w:tc>
          <w:tcPr>
            <w:tcW w:w="9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Canadian dollar (CAD)</w:t>
            </w:r>
          </w:p>
        </w:tc>
        <w:tc>
          <w:tcPr>
            <w:tcW w:w="920" w:type="dxa"/>
            <w:vAlign w:val="bottom"/>
          </w:tcPr>
          <w:p>
            <w:pPr>
              <w:jc w:val="right"/>
              <w:spacing w:after="0"/>
              <w:rPr>
                <w:sz w:val="20"/>
                <w:szCs w:val="20"/>
                <w:color w:val="auto"/>
              </w:rPr>
            </w:pPr>
            <w:r>
              <w:rPr>
                <w:rFonts w:ascii="Arial" w:cs="Arial" w:eastAsia="Arial" w:hAnsi="Arial"/>
                <w:sz w:val="18"/>
                <w:szCs w:val="18"/>
                <w:color w:val="auto"/>
              </w:rPr>
              <w:t>CAD</w:t>
            </w:r>
          </w:p>
        </w:tc>
        <w:tc>
          <w:tcPr>
            <w:tcW w:w="1640" w:type="dxa"/>
            <w:vAlign w:val="bottom"/>
          </w:tcPr>
          <w:p>
            <w:pPr>
              <w:jc w:val="right"/>
              <w:ind w:right="180"/>
              <w:spacing w:after="0"/>
              <w:rPr>
                <w:sz w:val="20"/>
                <w:szCs w:val="20"/>
                <w:color w:val="auto"/>
              </w:rPr>
            </w:pPr>
            <w:r>
              <w:rPr>
                <w:rFonts w:ascii="Arial" w:cs="Arial" w:eastAsia="Arial" w:hAnsi="Arial"/>
                <w:sz w:val="18"/>
                <w:szCs w:val="18"/>
                <w:color w:val="auto"/>
              </w:rPr>
              <w:t>2,750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jc w:val="center"/>
              <w:ind w:right="4090"/>
              <w:spacing w:after="0"/>
              <w:rPr>
                <w:sz w:val="20"/>
                <w:szCs w:val="20"/>
                <w:color w:val="auto"/>
              </w:rPr>
            </w:pPr>
            <w:r>
              <w:rPr>
                <w:rFonts w:ascii="Arial" w:cs="Arial" w:eastAsia="Arial" w:hAnsi="Arial"/>
                <w:sz w:val="18"/>
                <w:szCs w:val="18"/>
                <w:color w:val="auto"/>
                <w:w w:val="94"/>
              </w:rPr>
              <w:t>Euro (EUR)</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EUR</w:t>
            </w:r>
          </w:p>
        </w:tc>
        <w:tc>
          <w:tcPr>
            <w:tcW w:w="164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8"/>
                <w:szCs w:val="18"/>
                <w:color w:val="auto"/>
              </w:rPr>
              <w:t>5,600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jc w:val="center"/>
              <w:ind w:right="4070"/>
              <w:spacing w:after="0"/>
              <w:rPr>
                <w:sz w:val="20"/>
                <w:szCs w:val="20"/>
                <w:color w:val="auto"/>
              </w:rPr>
            </w:pPr>
            <w:r>
              <w:rPr>
                <w:rFonts w:ascii="Arial" w:cs="Arial" w:eastAsia="Arial" w:hAnsi="Arial"/>
                <w:sz w:val="18"/>
                <w:szCs w:val="18"/>
                <w:color w:val="auto"/>
                <w:w w:val="92"/>
              </w:rPr>
              <w:t>Buy foreign currency:</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British pound (GBP)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GBP</w:t>
            </w:r>
          </w:p>
        </w:tc>
        <w:tc>
          <w:tcPr>
            <w:tcW w:w="164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6,943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10,550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September 30 of each fiscal year; therefore, their fair value was $0 at September 30, 2016 and 2015.</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Gains (losses) on derivative financial instruments are recorded in our consolidated statements of income and comprehensive income as a component of other income (expense), net. These amounts are shown below for the years ended September 30, 2016, 2015 and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foreign currency forward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459"/>
        </w:trPr>
        <w:tc>
          <w:tcPr>
            <w:tcW w:w="6740" w:type="dxa"/>
            <w:vAlign w:val="bottom"/>
          </w:tcPr>
          <w:p>
            <w:pPr>
              <w:spacing w:after="0"/>
              <w:rPr>
                <w:sz w:val="20"/>
                <w:szCs w:val="20"/>
                <w:color w:val="auto"/>
              </w:rPr>
            </w:pPr>
            <w:r>
              <w:rPr>
                <w:rFonts w:ascii="Arial" w:cs="Arial" w:eastAsia="Arial" w:hAnsi="Arial"/>
                <w:sz w:val="18"/>
                <w:szCs w:val="18"/>
                <w:b w:val="1"/>
                <w:bCs w:val="1"/>
                <w:color w:val="auto"/>
              </w:rPr>
              <w:t>6. Receivables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6740" w:type="dxa"/>
            <w:vAlign w:val="bottom"/>
          </w:tcPr>
          <w:p>
            <w:pPr>
              <w:ind w:left="440"/>
              <w:spacing w:after="0"/>
              <w:rPr>
                <w:sz w:val="20"/>
                <w:szCs w:val="20"/>
                <w:color w:val="auto"/>
              </w:rPr>
            </w:pPr>
            <w:r>
              <w:rPr>
                <w:rFonts w:ascii="Arial" w:cs="Arial" w:eastAsia="Arial" w:hAnsi="Arial"/>
                <w:sz w:val="18"/>
                <w:szCs w:val="18"/>
                <w:color w:val="auto"/>
              </w:rPr>
              <w:t>Receivables at September 30, 2016 and 2015 consisted of the following:</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1"/>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124,731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114,464</w:t>
            </w:r>
          </w:p>
        </w:tc>
        <w:tc>
          <w:tcPr>
            <w:tcW w:w="20" w:type="dxa"/>
            <w:vAlign w:val="bottom"/>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Unbilled (1)</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45,247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46,435</w:t>
            </w:r>
          </w:p>
        </w:tc>
        <w:tc>
          <w:tcPr>
            <w:tcW w:w="2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169,978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160,899</w:t>
            </w:r>
          </w:p>
        </w:tc>
        <w:tc>
          <w:tcPr>
            <w:tcW w:w="20" w:type="dxa"/>
            <w:vAlign w:val="bottom"/>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(2,126)</w:t>
            </w:r>
          </w:p>
        </w:tc>
        <w:tc>
          <w:tcPr>
            <w:tcW w:w="2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167,786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158,773</w:t>
            </w:r>
          </w:p>
        </w:tc>
        <w:tc>
          <w:tcPr>
            <w:tcW w:w="20" w:type="dxa"/>
            <w:vAlign w:val="bottom"/>
          </w:tcPr>
          <w:p>
            <w:pPr>
              <w:spacing w:after="0"/>
              <w:rPr>
                <w:sz w:val="22"/>
                <w:szCs w:val="22"/>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revenue recorded in excess of amounts billable pursuant to contract provisions and generally become billable at contractually specified dates or upon the attainment of milestones. Unbilled amounts are expected to be realized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02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in the allowance for doubtful accounts was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Year Ended September 30,</w:t>
            </w:r>
          </w:p>
        </w:tc>
        <w:tc>
          <w:tcPr>
            <w:tcW w:w="56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2,927</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Add: expense</w:t>
            </w:r>
          </w:p>
        </w:tc>
        <w:tc>
          <w:tcPr>
            <w:tcW w:w="90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write-offs (net of recoveries)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(1,945)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2,126</w:t>
            </w:r>
          </w:p>
        </w:tc>
      </w:tr>
      <w:tr>
        <w:trPr>
          <w:trHeight w:val="27"/>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that are subject to amortization consisted of the following at September 30, 2016 and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average life)</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5"/>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84,184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13,816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87,820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w w:val="92"/>
              </w:rPr>
              <w:t>Customer contracts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and relationships</w:t>
            </w:r>
          </w:p>
        </w:tc>
        <w:tc>
          <w:tcPr>
            <w:tcW w:w="20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64,592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19,558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65,762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26,832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149,351</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(115,732)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33,619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154,158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(106,837)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47,321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Amortization expense associated with our intangible assets, which has been reflected as a separate operating expense caption within the accompanying consolidated statements of income and comprehensive income, consisted of the following during fiscal 2016, 2015 and 2014: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91"/>
              </w:rPr>
              <w:t>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4,546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11,917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table above, cost of revenues reflects our amortization of completed technology, and selling, general and administrative expenses reflect our amortization of other intangible assets.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Estimated future intangible asset amortization expense associated with intangible assets existing at September 30, 2016, was as follows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September 30,</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12,846</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6,398</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5,882</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3,611</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2,477</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33,619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changes to goodwill during fiscal 2016 and 2015, both in total and as allocated to our operating segments. We have not recognized any goodwill impairment losses to date.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Applications</w:t>
            </w:r>
          </w:p>
        </w:tc>
        <w:tc>
          <w:tcPr>
            <w:tcW w:w="34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Scores</w:t>
            </w:r>
          </w:p>
        </w:tc>
        <w:tc>
          <w:tcPr>
            <w:tcW w:w="15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Decision Management</w:t>
            </w:r>
          </w:p>
        </w:tc>
        <w:tc>
          <w:tcPr>
            <w:tcW w:w="5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2"/>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3"/>
            <w:vMerge w:val="continue"/>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center"/>
              <w:ind w:right="520"/>
              <w:spacing w:after="0"/>
              <w:rPr>
                <w:sz w:val="20"/>
                <w:szCs w:val="20"/>
                <w:color w:val="auto"/>
              </w:rPr>
            </w:pPr>
            <w:r>
              <w:rPr>
                <w:rFonts w:ascii="Arial" w:cs="Arial" w:eastAsia="Arial" w:hAnsi="Arial"/>
                <w:sz w:val="14"/>
                <w:szCs w:val="14"/>
                <w:b w:val="1"/>
                <w:bCs w:val="1"/>
                <w:color w:val="auto"/>
                <w:w w:val="94"/>
              </w:rPr>
              <w:t>Software</w:t>
            </w: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560,295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146,648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779,928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 from acquisitions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46,149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46,149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596,765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146,648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71,337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814,750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 from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Adjustment related to prior acquisitions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582,720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146,648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69,047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798,415</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8. Composition of Certain Financial Statement Captions</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gridSpan w:val="8"/>
          </w:tcPr>
          <w:p>
            <w:pPr>
              <w:ind w:left="440"/>
              <w:spacing w:after="0"/>
              <w:rPr>
                <w:sz w:val="20"/>
                <w:szCs w:val="20"/>
                <w:color w:val="auto"/>
              </w:rPr>
            </w:pPr>
            <w:r>
              <w:rPr>
                <w:rFonts w:ascii="Arial" w:cs="Arial" w:eastAsia="Arial" w:hAnsi="Arial"/>
                <w:sz w:val="18"/>
                <w:szCs w:val="18"/>
                <w:color w:val="auto"/>
                <w:w w:val="93"/>
              </w:rPr>
              <w:t>The following table presents the composition of property and equipment at September 30, 2016 and 2015:</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Data processing equipment and software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84,761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71,841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14,750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25,152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23,269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(71,652)</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45,122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Revolving Line of Credit</w:t>
      </w:r>
    </w:p>
    <w:p>
      <w:pPr>
        <w:spacing w:after="0" w:line="12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December 2014 we refinanced our $200 million unsecured revolving line of credit, increasing our borrowing capacity to $400 million with a syndicate of banks that expires on December 30, 2019.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and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minimum fixed charge ratio of 2.5 and a maximum consolidated leverage ratio of 3.0, subject to a step up to 3.5 following certain permitted acquisitions. The credit agreement also contains other covenants typical of unsecured facilities. As of September 30, 2016, we had $255.0 million in borrowings outstanding at a weighted average interest rate of 1.661%, of which $250.0 million was classified as a long-term liability and recorded in long-term debt within the accompanying consolidated balance sheets. We were in compliance with all financial covenants under this credit facility as of September 30,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Notes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May 7, 2008, we issued $275 million of senior notes in a private placement to a group of institutional investors (the “2008 Senior Notes”). The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Notes were issued in four series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jc w:val="center"/>
              <w:ind w:left="1128"/>
              <w:spacing w:after="0"/>
              <w:rPr>
                <w:sz w:val="20"/>
                <w:szCs w:val="20"/>
                <w:color w:val="auto"/>
              </w:rPr>
            </w:pPr>
            <w:r>
              <w:rPr>
                <w:rFonts w:ascii="Arial" w:cs="Arial" w:eastAsia="Arial" w:hAnsi="Arial"/>
                <w:sz w:val="14"/>
                <w:szCs w:val="14"/>
                <w:b w:val="1"/>
                <w:bCs w:val="1"/>
                <w:color w:val="auto"/>
                <w:w w:val="85"/>
              </w:rPr>
              <w:t>Series</w:t>
            </w:r>
          </w:p>
        </w:tc>
        <w:tc>
          <w:tcPr>
            <w:tcW w:w="1580" w:type="dxa"/>
            <w:vAlign w:val="bottom"/>
          </w:tcPr>
          <w:p>
            <w:pPr>
              <w:spacing w:after="0"/>
              <w:rPr>
                <w:sz w:val="14"/>
                <w:szCs w:val="14"/>
                <w:color w:val="auto"/>
              </w:rPr>
            </w:pPr>
          </w:p>
        </w:tc>
        <w:tc>
          <w:tcPr>
            <w:tcW w:w="194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Amount</w:t>
            </w:r>
          </w:p>
        </w:tc>
        <w:tc>
          <w:tcPr>
            <w:tcW w:w="21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Interest Rate</w:t>
            </w:r>
          </w:p>
        </w:tc>
        <w:tc>
          <w:tcPr>
            <w:tcW w:w="1780" w:type="dxa"/>
            <w:vAlign w:val="bottom"/>
            <w:gridSpan w:val="3"/>
          </w:tcPr>
          <w:p>
            <w:pPr>
              <w:ind w:left="320"/>
              <w:spacing w:after="0"/>
              <w:rPr>
                <w:sz w:val="20"/>
                <w:szCs w:val="20"/>
                <w:color w:val="auto"/>
              </w:rPr>
            </w:pPr>
            <w:r>
              <w:rPr>
                <w:rFonts w:ascii="Arial" w:cs="Arial" w:eastAsia="Arial" w:hAnsi="Arial"/>
                <w:sz w:val="14"/>
                <w:szCs w:val="14"/>
                <w:b w:val="1"/>
                <w:bCs w:val="1"/>
                <w:color w:val="auto"/>
              </w:rPr>
              <w:t>Maturity Date</w:t>
            </w:r>
          </w:p>
        </w:tc>
      </w:tr>
      <w:tr>
        <w:trPr>
          <w:trHeight w:val="20"/>
        </w:trPr>
        <w:tc>
          <w:tcPr>
            <w:tcW w:w="2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5"/>
        </w:trPr>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6"/>
        </w:trPr>
        <w:tc>
          <w:tcPr>
            <w:tcW w:w="24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center"/>
              <w:ind w:right="1220"/>
              <w:spacing w:after="0"/>
              <w:rPr>
                <w:sz w:val="20"/>
                <w:szCs w:val="20"/>
                <w:color w:val="auto"/>
              </w:rPr>
            </w:pPr>
            <w:r>
              <w:rPr>
                <w:rFonts w:ascii="Arial" w:cs="Arial" w:eastAsia="Arial" w:hAnsi="Arial"/>
                <w:sz w:val="18"/>
                <w:szCs w:val="18"/>
                <w:color w:val="auto"/>
                <w:w w:val="99"/>
              </w:rPr>
              <w:t>A</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41.0</w:t>
            </w:r>
          </w:p>
        </w:tc>
        <w:tc>
          <w:tcPr>
            <w:tcW w:w="21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6.37%</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w w:val="92"/>
              </w:rPr>
              <w:t>May 7, 2013</w:t>
            </w:r>
          </w:p>
        </w:tc>
      </w:tr>
      <w:tr>
        <w:trPr>
          <w:trHeight w:val="243"/>
        </w:trPr>
        <w:tc>
          <w:tcPr>
            <w:tcW w:w="2420" w:type="dxa"/>
            <w:vAlign w:val="bottom"/>
          </w:tcPr>
          <w:p>
            <w:pPr>
              <w:spacing w:after="0"/>
              <w:rPr>
                <w:sz w:val="21"/>
                <w:szCs w:val="21"/>
                <w:color w:val="auto"/>
              </w:rPr>
            </w:pPr>
          </w:p>
        </w:tc>
        <w:tc>
          <w:tcPr>
            <w:tcW w:w="1580" w:type="dxa"/>
            <w:vAlign w:val="bottom"/>
            <w:gridSpan w:val="2"/>
          </w:tcPr>
          <w:p>
            <w:pPr>
              <w:jc w:val="center"/>
              <w:ind w:right="1220"/>
              <w:spacing w:after="0"/>
              <w:rPr>
                <w:sz w:val="20"/>
                <w:szCs w:val="20"/>
                <w:color w:val="auto"/>
              </w:rPr>
            </w:pPr>
            <w:r>
              <w:rPr>
                <w:rFonts w:ascii="Arial" w:cs="Arial" w:eastAsia="Arial" w:hAnsi="Arial"/>
                <w:sz w:val="18"/>
                <w:szCs w:val="18"/>
                <w:color w:val="auto"/>
                <w:w w:val="99"/>
              </w:rPr>
              <w:t>B</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color w:val="auto"/>
              </w:rPr>
              <w:t>40.0</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21"/>
                <w:szCs w:val="21"/>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w w:val="92"/>
              </w:rPr>
              <w:t>May 7, 2015</w:t>
            </w: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220"/>
              <w:spacing w:after="0"/>
              <w:rPr>
                <w:sz w:val="20"/>
                <w:szCs w:val="20"/>
                <w:color w:val="auto"/>
              </w:rPr>
            </w:pPr>
            <w:r>
              <w:rPr>
                <w:rFonts w:ascii="Arial" w:cs="Arial" w:eastAsia="Arial" w:hAnsi="Arial"/>
                <w:sz w:val="18"/>
                <w:szCs w:val="18"/>
                <w:color w:val="auto"/>
                <w:w w:val="91"/>
              </w:rPr>
              <w:t>C</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63.0</w:t>
            </w:r>
          </w:p>
        </w:tc>
        <w:tc>
          <w:tcPr>
            <w:tcW w:w="21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6.71%</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w w:val="92"/>
              </w:rPr>
              <w:t>May 7, 2015</w:t>
            </w:r>
          </w:p>
        </w:tc>
      </w:tr>
      <w:tr>
        <w:trPr>
          <w:trHeight w:val="243"/>
        </w:trPr>
        <w:tc>
          <w:tcPr>
            <w:tcW w:w="2420" w:type="dxa"/>
            <w:vAlign w:val="bottom"/>
          </w:tcPr>
          <w:p>
            <w:pPr>
              <w:spacing w:after="0"/>
              <w:rPr>
                <w:sz w:val="21"/>
                <w:szCs w:val="21"/>
                <w:color w:val="auto"/>
              </w:rPr>
            </w:pPr>
          </w:p>
        </w:tc>
        <w:tc>
          <w:tcPr>
            <w:tcW w:w="158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D</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color w:val="auto"/>
              </w:rPr>
              <w:t>131.0</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7.18%</w:t>
            </w:r>
          </w:p>
        </w:tc>
        <w:tc>
          <w:tcPr>
            <w:tcW w:w="320" w:type="dxa"/>
            <w:vAlign w:val="bottom"/>
          </w:tcPr>
          <w:p>
            <w:pPr>
              <w:spacing w:after="0"/>
              <w:rPr>
                <w:sz w:val="21"/>
                <w:szCs w:val="21"/>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w w:val="92"/>
              </w:rPr>
              <w:t>May 7, 2018</w:t>
            </w:r>
          </w:p>
        </w:tc>
      </w:tr>
    </w:tbl>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July 14, 2010, we issued $245 million of senior notes in a private placement to a group of institutional investors (the “2010 Senior Notes” and, with the 2008 Senior Notes, the “Senior Notes”). The 2010 Senior Notes were issued in four series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jc w:val="center"/>
              <w:ind w:left="1128"/>
              <w:spacing w:after="0"/>
              <w:rPr>
                <w:sz w:val="20"/>
                <w:szCs w:val="20"/>
                <w:color w:val="auto"/>
              </w:rPr>
            </w:pPr>
            <w:r>
              <w:rPr>
                <w:rFonts w:ascii="Arial" w:cs="Arial" w:eastAsia="Arial" w:hAnsi="Arial"/>
                <w:sz w:val="14"/>
                <w:szCs w:val="14"/>
                <w:b w:val="1"/>
                <w:bCs w:val="1"/>
                <w:color w:val="auto"/>
                <w:w w:val="85"/>
              </w:rPr>
              <w:t>Series</w:t>
            </w:r>
          </w:p>
        </w:tc>
        <w:tc>
          <w:tcPr>
            <w:tcW w:w="1840" w:type="dxa"/>
            <w:vAlign w:val="bottom"/>
          </w:tcPr>
          <w:p>
            <w:pPr>
              <w:spacing w:after="0"/>
              <w:rPr>
                <w:sz w:val="14"/>
                <w:szCs w:val="14"/>
                <w:color w:val="auto"/>
              </w:rPr>
            </w:pPr>
          </w:p>
        </w:tc>
        <w:tc>
          <w:tcPr>
            <w:tcW w:w="16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Amount</w:t>
            </w:r>
          </w:p>
        </w:tc>
        <w:tc>
          <w:tcPr>
            <w:tcW w:w="21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Interest Rate</w:t>
            </w:r>
          </w:p>
        </w:tc>
        <w:tc>
          <w:tcPr>
            <w:tcW w:w="1780" w:type="dxa"/>
            <w:vAlign w:val="bottom"/>
            <w:gridSpan w:val="3"/>
          </w:tcPr>
          <w:p>
            <w:pPr>
              <w:ind w:left="320"/>
              <w:spacing w:after="0"/>
              <w:rPr>
                <w:sz w:val="20"/>
                <w:szCs w:val="20"/>
                <w:color w:val="auto"/>
              </w:rPr>
            </w:pPr>
            <w:r>
              <w:rPr>
                <w:rFonts w:ascii="Arial" w:cs="Arial" w:eastAsia="Arial" w:hAnsi="Arial"/>
                <w:sz w:val="14"/>
                <w:szCs w:val="14"/>
                <w:b w:val="1"/>
                <w:bCs w:val="1"/>
                <w:color w:val="auto"/>
              </w:rPr>
              <w:t>Maturity Date</w:t>
            </w:r>
          </w:p>
        </w:tc>
      </w:tr>
      <w:tr>
        <w:trPr>
          <w:trHeight w:val="20"/>
        </w:trPr>
        <w:tc>
          <w:tcPr>
            <w:tcW w:w="2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2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
        </w:trPr>
        <w:tc>
          <w:tcPr>
            <w:tcW w:w="2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220"/>
              <w:spacing w:after="0"/>
              <w:rPr>
                <w:sz w:val="20"/>
                <w:szCs w:val="20"/>
                <w:color w:val="auto"/>
              </w:rPr>
            </w:pPr>
            <w:r>
              <w:rPr>
                <w:rFonts w:ascii="Arial" w:cs="Arial" w:eastAsia="Arial" w:hAnsi="Arial"/>
                <w:sz w:val="18"/>
                <w:szCs w:val="18"/>
                <w:color w:val="auto"/>
                <w:w w:val="99"/>
              </w:rPr>
              <w:t>E</w:t>
            </w:r>
          </w:p>
        </w:tc>
        <w:tc>
          <w:tcPr>
            <w:tcW w:w="18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60.0</w:t>
            </w:r>
          </w:p>
        </w:tc>
        <w:tc>
          <w:tcPr>
            <w:tcW w:w="21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4.72%</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91"/>
              </w:rPr>
              <w:t>July 14, 2016</w:t>
            </w:r>
          </w:p>
        </w:tc>
      </w:tr>
      <w:tr>
        <w:trPr>
          <w:trHeight w:val="243"/>
        </w:trPr>
        <w:tc>
          <w:tcPr>
            <w:tcW w:w="2420" w:type="dxa"/>
            <w:vAlign w:val="bottom"/>
          </w:tcPr>
          <w:p>
            <w:pPr>
              <w:spacing w:after="0"/>
              <w:rPr>
                <w:sz w:val="21"/>
                <w:szCs w:val="21"/>
                <w:color w:val="auto"/>
              </w:rPr>
            </w:pPr>
          </w:p>
        </w:tc>
        <w:tc>
          <w:tcPr>
            <w:tcW w:w="1580" w:type="dxa"/>
            <w:vAlign w:val="bottom"/>
            <w:gridSpan w:val="2"/>
          </w:tcPr>
          <w:p>
            <w:pPr>
              <w:jc w:val="center"/>
              <w:ind w:right="1200"/>
              <w:spacing w:after="0"/>
              <w:rPr>
                <w:sz w:val="20"/>
                <w:szCs w:val="20"/>
                <w:color w:val="auto"/>
              </w:rPr>
            </w:pPr>
            <w:r>
              <w:rPr>
                <w:rFonts w:ascii="Arial" w:cs="Arial" w:eastAsia="Arial" w:hAnsi="Arial"/>
                <w:sz w:val="18"/>
                <w:szCs w:val="18"/>
                <w:color w:val="auto"/>
                <w:w w:val="90"/>
              </w:rPr>
              <w:t>F</w:t>
            </w:r>
          </w:p>
        </w:tc>
        <w:tc>
          <w:tcPr>
            <w:tcW w:w="18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380"/>
              <w:spacing w:after="0"/>
              <w:rPr>
                <w:sz w:val="20"/>
                <w:szCs w:val="20"/>
                <w:color w:val="auto"/>
              </w:rPr>
            </w:pPr>
            <w:r>
              <w:rPr>
                <w:rFonts w:ascii="Arial" w:cs="Arial" w:eastAsia="Arial" w:hAnsi="Arial"/>
                <w:sz w:val="18"/>
                <w:szCs w:val="18"/>
                <w:color w:val="auto"/>
              </w:rPr>
              <w:t>72.0</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5.04%</w:t>
            </w:r>
          </w:p>
        </w:tc>
        <w:tc>
          <w:tcPr>
            <w:tcW w:w="320" w:type="dxa"/>
            <w:vAlign w:val="bottom"/>
          </w:tcPr>
          <w:p>
            <w:pPr>
              <w:spacing w:after="0"/>
              <w:rPr>
                <w:sz w:val="21"/>
                <w:szCs w:val="21"/>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w w:val="91"/>
              </w:rPr>
              <w:t>July 14, 2017</w:t>
            </w:r>
          </w:p>
        </w:tc>
      </w:tr>
      <w:tr>
        <w:trPr>
          <w:trHeight w:val="27"/>
        </w:trPr>
        <w:tc>
          <w:tcPr>
            <w:tcW w:w="2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220"/>
              <w:spacing w:after="0"/>
              <w:rPr>
                <w:sz w:val="20"/>
                <w:szCs w:val="20"/>
                <w:color w:val="auto"/>
              </w:rPr>
            </w:pPr>
            <w:r>
              <w:rPr>
                <w:rFonts w:ascii="Arial" w:cs="Arial" w:eastAsia="Arial" w:hAnsi="Arial"/>
                <w:sz w:val="18"/>
                <w:szCs w:val="18"/>
                <w:color w:val="auto"/>
                <w:w w:val="85"/>
              </w:rPr>
              <w:t>G</w:t>
            </w:r>
          </w:p>
        </w:tc>
        <w:tc>
          <w:tcPr>
            <w:tcW w:w="18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28.0</w:t>
            </w:r>
          </w:p>
        </w:tc>
        <w:tc>
          <w:tcPr>
            <w:tcW w:w="21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5.42%</w:t>
            </w: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91"/>
              </w:rPr>
              <w:t>July 14, 2019</w:t>
            </w:r>
          </w:p>
        </w:tc>
      </w:tr>
      <w:tr>
        <w:trPr>
          <w:trHeight w:val="243"/>
        </w:trPr>
        <w:tc>
          <w:tcPr>
            <w:tcW w:w="2420" w:type="dxa"/>
            <w:vAlign w:val="bottom"/>
          </w:tcPr>
          <w:p>
            <w:pPr>
              <w:spacing w:after="0"/>
              <w:rPr>
                <w:sz w:val="21"/>
                <w:szCs w:val="21"/>
                <w:color w:val="auto"/>
              </w:rPr>
            </w:pPr>
          </w:p>
        </w:tc>
        <w:tc>
          <w:tcPr>
            <w:tcW w:w="158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H</w:t>
            </w:r>
          </w:p>
        </w:tc>
        <w:tc>
          <w:tcPr>
            <w:tcW w:w="18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380"/>
              <w:spacing w:after="0"/>
              <w:rPr>
                <w:sz w:val="20"/>
                <w:szCs w:val="20"/>
                <w:color w:val="auto"/>
              </w:rPr>
            </w:pPr>
            <w:r>
              <w:rPr>
                <w:rFonts w:ascii="Arial" w:cs="Arial" w:eastAsia="Arial" w:hAnsi="Arial"/>
                <w:sz w:val="18"/>
                <w:szCs w:val="18"/>
                <w:color w:val="auto"/>
              </w:rPr>
              <w:t>85.0</w:t>
            </w:r>
          </w:p>
        </w:tc>
        <w:tc>
          <w:tcPr>
            <w:tcW w:w="2120" w:type="dxa"/>
            <w:vAlign w:val="bottom"/>
            <w:gridSpan w:val="3"/>
          </w:tcPr>
          <w:p>
            <w:pPr>
              <w:jc w:val="right"/>
              <w:ind w:right="320"/>
              <w:spacing w:after="0"/>
              <w:rPr>
                <w:sz w:val="20"/>
                <w:szCs w:val="20"/>
                <w:color w:val="auto"/>
              </w:rPr>
            </w:pPr>
            <w:r>
              <w:rPr>
                <w:rFonts w:ascii="Arial" w:cs="Arial" w:eastAsia="Arial" w:hAnsi="Arial"/>
                <w:sz w:val="18"/>
                <w:szCs w:val="18"/>
                <w:color w:val="auto"/>
              </w:rPr>
              <w:t>5.59%</w:t>
            </w:r>
          </w:p>
        </w:tc>
        <w:tc>
          <w:tcPr>
            <w:tcW w:w="320" w:type="dxa"/>
            <w:vAlign w:val="bottom"/>
          </w:tcPr>
          <w:p>
            <w:pPr>
              <w:spacing w:after="0"/>
              <w:rPr>
                <w:sz w:val="21"/>
                <w:szCs w:val="21"/>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w w:val="91"/>
              </w:rPr>
              <w:t>July 14, 2020</w:t>
            </w:r>
          </w:p>
        </w:tc>
      </w:tr>
    </w:tbl>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were and are required to pay the entire unpaid principal balances of each note series on its maturity date except for Series B notes, which required annual principal payments of $8.0 million starting on May 7, 2011 and ending on May 7, 2015. The Senior Notes require interest payments semi-annually and contain certain restrictive covenants, including the maintenance of consolidated net debt to consolidated EBITDA ratio and a fixed charge coverage ratio. The purchase agreements for the Senior Notes also contain certain covenants typical of unsecured facilities. As of September 30, 2016, we were in compliance with all financial covenants.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principal amounts, carrying amounts and fair values for the Senior Notes at September 30, 2016 and 2015:</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September 30, 2016</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September 30, 2015</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3"/>
                <w:szCs w:val="13"/>
                <w:color w:val="auto"/>
              </w:rPr>
            </w:pPr>
          </w:p>
        </w:tc>
        <w:tc>
          <w:tcPr>
            <w:tcW w:w="13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12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3"/>
                <w:szCs w:val="13"/>
                <w:color w:val="auto"/>
              </w:rPr>
            </w:pPr>
          </w:p>
        </w:tc>
        <w:tc>
          <w:tcPr>
            <w:tcW w:w="136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13"/>
                <w:szCs w:val="13"/>
                <w:color w:val="auto"/>
              </w:rPr>
            </w:pPr>
          </w:p>
        </w:tc>
        <w:tc>
          <w:tcPr>
            <w:tcW w:w="12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Amounts</w:t>
            </w:r>
          </w:p>
        </w:tc>
        <w:tc>
          <w:tcPr>
            <w:tcW w:w="3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Amounts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2008 Senior Notes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131,000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131,000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139,902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131,000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144,009</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The 2010 Senior Notes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185,000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185,000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195,715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245,000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245,000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257,563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measure the fair value of the Senior Notes based on Level 2 inputs, which include quoted market prices and interest rate spreads of similar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8200" w:type="dxa"/>
            <w:vAlign w:val="bottom"/>
            <w:gridSpan w:val="2"/>
          </w:tcPr>
          <w:p>
            <w:pPr>
              <w:ind w:left="400"/>
              <w:spacing w:after="0"/>
              <w:rPr>
                <w:sz w:val="20"/>
                <w:szCs w:val="20"/>
                <w:color w:val="auto"/>
              </w:rPr>
            </w:pPr>
            <w:r>
              <w:rPr>
                <w:rFonts w:ascii="Arial" w:cs="Arial" w:eastAsia="Arial" w:hAnsi="Arial"/>
                <w:sz w:val="18"/>
                <w:szCs w:val="18"/>
                <w:color w:val="auto"/>
              </w:rPr>
              <w:t>Future principal payments for the Senior Notes are as follows (in thousands):</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13"/>
        </w:trPr>
        <w:tc>
          <w:tcPr>
            <w:tcW w:w="82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September 30,</w:t>
            </w:r>
          </w:p>
        </w:tc>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72,000</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6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131,000</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28,000</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6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85,000</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20" w:right="9140" w:hanging="212"/>
        <w:spacing w:after="0" w:line="416" w:lineRule="auto"/>
        <w:tabs>
          <w:tab w:leader="none" w:pos="264"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Employee Benefit Plans </w:t>
      </w:r>
      <w:r>
        <w:rPr>
          <w:rFonts w:ascii="Arial" w:cs="Arial" w:eastAsia="Arial" w:hAnsi="Arial"/>
          <w:sz w:val="15"/>
          <w:szCs w:val="15"/>
          <w:b w:val="1"/>
          <w:bCs w:val="1"/>
          <w:i w:val="1"/>
          <w:iCs w:val="1"/>
          <w:color w:val="auto"/>
        </w:rPr>
        <w:t>Defined Contribution Plans</w:t>
      </w:r>
    </w:p>
    <w:p>
      <w:pPr>
        <w:jc w:val="both"/>
        <w:ind w:firstLine="432"/>
        <w:spacing w:after="0" w:line="279" w:lineRule="auto"/>
        <w:rPr>
          <w:sz w:val="20"/>
          <w:szCs w:val="20"/>
          <w:color w:val="auto"/>
        </w:rPr>
      </w:pPr>
      <w:r>
        <w:rPr>
          <w:rFonts w:ascii="Arial" w:cs="Arial" w:eastAsia="Arial" w:hAnsi="Arial"/>
          <w:sz w:val="17"/>
          <w:szCs w:val="17"/>
          <w:color w:val="auto"/>
        </w:rPr>
        <w:t>We sponsor the Fair Isaac Corporation 401(k) plan for eligible employees in the U.S. Under this plan, eligible employees may contribute up to 25% of compensation, not to exceed statutory limits. We also provide a company matching contribution. Investment in FICO common stock is not an option under this plan. Our contributions into all 401(k) plans, including former acquired company sponsored plans that have since merged into the Fair Isaac Corporation 401(k) plan or have been frozen, totaled $7.3 million, $7.1 million and $6.3 million during fiscal 2016, 2015 and 2014, respectively.</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Incentive Plans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maintain various employee incentive plans for the benefit of eligible employees, including officers. The awards generally are based on the achievement of certain financial and performance objectives subject to the discretion of management. Total expenses under our employee incentive plans were $40.0 million, $20.3 million and $25.0 million during fiscal 2016, 2015 and 2014,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Expenses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was no restructuring expense incurred during fiscal 2016.</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2015, we incurred net charges totaling $17.5 million consisting of $13.6 million in facilities charges associated with vacating excess leased space in Roseville, Minnesota and San Rafael, California, and $3.9 million in severance charges due to the elimination of 97 positions throughout the company. Cash payments for all the facilities charges will be paid by the end of our fiscal 2020. Cash payments for all the severance costs were paid by the end of the third quarter of our fiscal 2016.</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we incurred net charges totaling $4.1 million consisting of $0.2 million in facilities charges and $3.9 million in severance charges due to the elimination of 88 positions primarily in the U.S. Cash payments for all the restructuring charges were paid by the end of the second quarter of our fiscal 2015.</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restructuring accruals associated with the above actions. The current portion and non-current portion was recorded in other accrued current liabilities and other liabilities, respectively, within the accompanying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Accrual at September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Expense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Cash</w:t>
            </w:r>
          </w:p>
        </w:tc>
        <w:tc>
          <w:tcPr>
            <w:tcW w:w="15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3"/>
              </w:rPr>
              <w:t>Non-cash Settlements</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Accrual at September</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30, 2014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Additions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15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30, 2015</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charges</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(576)</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12,995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Employee separation</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17,479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(576)</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Accrual at September</w:t>
            </w:r>
          </w:p>
        </w:tc>
        <w:tc>
          <w:tcPr>
            <w:tcW w:w="12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Expense</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Cash</w:t>
            </w:r>
          </w:p>
        </w:tc>
        <w:tc>
          <w:tcPr>
            <w:tcW w:w="10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Non-cash Settlements</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Accrual at September</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30, 2015</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Additions</w:t>
            </w: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0"/>
              </w:rPr>
              <w:t>Payments</w:t>
            </w: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30, 2016</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charges</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12,995</w:t>
            </w:r>
          </w:p>
        </w:tc>
        <w:tc>
          <w:tcPr>
            <w:tcW w:w="132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Employee separation</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15,400</w:t>
            </w:r>
          </w:p>
        </w:tc>
        <w:tc>
          <w:tcPr>
            <w:tcW w:w="132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9,830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13.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80" w:type="dxa"/>
            <w:vAlign w:val="bottom"/>
            <w:gridSpan w:val="5"/>
          </w:tcPr>
          <w:p>
            <w:pPr>
              <w:ind w:left="440"/>
              <w:spacing w:after="0"/>
              <w:rPr>
                <w:sz w:val="20"/>
                <w:szCs w:val="20"/>
                <w:color w:val="auto"/>
              </w:rPr>
            </w:pPr>
            <w:r>
              <w:rPr>
                <w:rFonts w:ascii="Arial" w:cs="Arial" w:eastAsia="Arial" w:hAnsi="Arial"/>
                <w:sz w:val="18"/>
                <w:szCs w:val="18"/>
                <w:color w:val="auto"/>
                <w:w w:val="91"/>
              </w:rPr>
              <w:t>The provision for income taxes was as follows during fiscal 2016, 2015 and 2014:</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4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50,631</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23,646</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42,570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43"/>
        </w:trPr>
        <w:tc>
          <w:tcPr>
            <w:tcW w:w="3540" w:type="dxa"/>
            <w:vAlign w:val="bottom"/>
          </w:tcPr>
          <w:p>
            <w:pPr>
              <w:ind w:left="4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54,278</w:t>
            </w:r>
          </w:p>
        </w:tc>
        <w:tc>
          <w:tcPr>
            <w:tcW w:w="0" w:type="dxa"/>
            <w:vAlign w:val="bottom"/>
          </w:tcPr>
          <w:p>
            <w:pPr>
              <w:spacing w:after="0"/>
              <w:rPr>
                <w:sz w:val="1"/>
                <w:szCs w:val="1"/>
                <w:color w:val="auto"/>
              </w:rPr>
            </w:pPr>
          </w:p>
        </w:tc>
      </w:tr>
      <w:tr>
        <w:trPr>
          <w:trHeight w:val="22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(15,401)</w:t>
            </w:r>
          </w:p>
        </w:tc>
        <w:tc>
          <w:tcPr>
            <w:tcW w:w="0" w:type="dxa"/>
            <w:vAlign w:val="bottom"/>
          </w:tcPr>
          <w:p>
            <w:pPr>
              <w:spacing w:after="0"/>
              <w:rPr>
                <w:sz w:val="1"/>
                <w:szCs w:val="1"/>
                <w:color w:val="auto"/>
              </w:rPr>
            </w:pPr>
          </w:p>
        </w:tc>
      </w:tr>
      <w:tr>
        <w:trPr>
          <w:trHeight w:val="243"/>
        </w:trPr>
        <w:tc>
          <w:tcPr>
            <w:tcW w:w="3540" w:type="dxa"/>
            <w:vAlign w:val="bottom"/>
          </w:tcPr>
          <w:p>
            <w:pPr>
              <w:ind w:left="4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provision</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35,121</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38,252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foreign provision was based on foreign pre-tax earnings of $33.0 million, $45.2 million and $43.3 million in fiscal 2016, 2015 and 2014, respectively. Current foreign tax expense related to foreign tax withholdings was $6.5 million, $5.3 million and $7.7 million in fiscal 2016, 2015 and 2014, respectively. Foreign withholding tax and related foreign tax credits are included in current tax expense above.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at September 30, 2016 and 2015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80"/>
              <w:spacing w:after="0"/>
              <w:rPr>
                <w:sz w:val="20"/>
                <w:szCs w:val="20"/>
                <w:color w:val="auto"/>
              </w:rPr>
            </w:pPr>
            <w:r>
              <w:rPr>
                <w:rFonts w:ascii="Arial" w:cs="Arial" w:eastAsia="Arial" w:hAnsi="Arial"/>
                <w:sz w:val="18"/>
                <w:szCs w:val="18"/>
                <w:color w:val="auto"/>
              </w:rPr>
              <w:t>Net operating loss carryforward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16,122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Foreign tax credit carryforward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80"/>
              <w:spacing w:after="0"/>
              <w:rPr>
                <w:sz w:val="20"/>
                <w:szCs w:val="20"/>
                <w:color w:val="auto"/>
              </w:rPr>
            </w:pPr>
            <w:r>
              <w:rPr>
                <w:rFonts w:ascii="Arial" w:cs="Arial" w:eastAsia="Arial" w:hAnsi="Arial"/>
                <w:sz w:val="18"/>
                <w:szCs w:val="18"/>
                <w:color w:val="auto"/>
              </w:rPr>
              <w:t>Research credit carryforward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5,759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bonus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5,400</w:t>
            </w:r>
          </w:p>
        </w:tc>
      </w:tr>
      <w:tr>
        <w:trPr>
          <w:trHeight w:val="243"/>
        </w:trPr>
        <w:tc>
          <w:tcPr>
            <w:tcW w:w="8340" w:type="dxa"/>
            <w:vAlign w:val="bottom"/>
          </w:tcPr>
          <w:p>
            <w:pPr>
              <w:ind w:left="48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r>
      <w:tr>
        <w:trPr>
          <w:trHeight w:val="243"/>
        </w:trPr>
        <w:tc>
          <w:tcPr>
            <w:tcW w:w="8340" w:type="dxa"/>
            <w:vAlign w:val="bottom"/>
          </w:tcPr>
          <w:p>
            <w:pPr>
              <w:ind w:left="4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27,203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23,741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r>
      <w:tr>
        <w:trPr>
          <w:trHeight w:val="243"/>
        </w:trPr>
        <w:tc>
          <w:tcPr>
            <w:tcW w:w="8340" w:type="dxa"/>
            <w:vAlign w:val="bottom"/>
          </w:tcPr>
          <w:p>
            <w:pPr>
              <w:ind w:left="460"/>
              <w:spacing w:after="0"/>
              <w:rPr>
                <w:sz w:val="20"/>
                <w:szCs w:val="20"/>
                <w:color w:val="auto"/>
              </w:rPr>
            </w:pPr>
            <w:r>
              <w:rPr>
                <w:rFonts w:ascii="Arial" w:cs="Arial" w:eastAsia="Arial" w:hAnsi="Arial"/>
                <w:sz w:val="18"/>
                <w:szCs w:val="18"/>
                <w:color w:val="auto"/>
              </w:rPr>
              <w:t>Accrued lease costs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w:t>
            </w:r>
          </w:p>
        </w:tc>
      </w:tr>
      <w:tr>
        <w:trPr>
          <w:trHeight w:val="243"/>
        </w:trPr>
        <w:tc>
          <w:tcPr>
            <w:tcW w:w="8340" w:type="dxa"/>
            <w:vAlign w:val="bottom"/>
          </w:tcPr>
          <w:p>
            <w:pPr>
              <w:ind w:left="4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5,613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(13,882)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80,605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56,394</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(30,286)</w:t>
            </w:r>
          </w:p>
        </w:tc>
      </w:tr>
      <w:tr>
        <w:trPr>
          <w:trHeight w:val="243"/>
        </w:trPr>
        <w:tc>
          <w:tcPr>
            <w:tcW w:w="8340" w:type="dxa"/>
            <w:vAlign w:val="bottom"/>
          </w:tcPr>
          <w:p>
            <w:pPr>
              <w:ind w:left="480"/>
              <w:spacing w:after="0"/>
              <w:rPr>
                <w:sz w:val="20"/>
                <w:szCs w:val="20"/>
                <w:color w:val="auto"/>
              </w:rPr>
            </w:pPr>
            <w:r>
              <w:rPr>
                <w:rFonts w:ascii="Arial" w:cs="Arial" w:eastAsia="Arial" w:hAnsi="Arial"/>
                <w:sz w:val="18"/>
                <w:szCs w:val="18"/>
                <w:color w:val="auto"/>
              </w:rPr>
              <w:t>Prepaid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47,598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Based upon the level of historical taxable income and projections for future taxable income over the periods that the deferred tax assets will reverse, management believes it is more likely than not that we will realize the benefits of the deferred tax assets, net of the existing valuation allowance at September 30, 2016.</w:t>
      </w:r>
    </w:p>
    <w:p>
      <w:pPr>
        <w:spacing w:after="0" w:line="12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As of September 30, 2016, we had available U.S. federal, state and foreign net operating loss (“NOL”) carryforwards of approximately $20.2 million, $0.3 million, and $34.7 million, respectively. The U.S. NOLs were acquired in connection with our acquisitions of Braun in fiscal 2005, Adeptra in fiscal 2012, and Infoglide in fiscal 2013. The U.S. federal NOL carryforward will expire at various dates beginning in fiscal 2020, if not utilized. The state NOL carryforward will begin to expire at various dates beginning in fiscal 2021, if not utilized. The Luxembourg NOL carryforward does not have an expiration date. The $34.7 million of foreign NOL includes $25.5 million related to China. Due to a limited ability to utilize the China NOLs a full valuation allowance has been recorded on the China NOLs, resulting in no tax benefit. Utilization of the U.S. federal and state NOL are subject to an annual limitation due to the “change in ownership” provisions of the Internal Revenue Code of 1986, as amended, and similar state provisions. In fiscal 2016 we generated excess foreign tax credits associated with dividends received from two of our foreign subsidiaries. The associated deferred tax asset of $14.6 million can be carried forward for up to 10 years. Management believes it is more likely than not that we will realize the benefit of this deferred tax asset and therefore no valuation allowance has been recorded to offset the future benefit of these credits. We also have available excess California state research credit of approximately $6.1 million. The California state research credit does not have an expiration date; however, based on enacted law and expected future cash taxes, we have recorded a valuation allowance of $6.1 million.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reconciliation of the provision for income taxes, with the amount computed by applying the U.S. federal statutory income tax rate (35% in fiscal 2016, 2015 and 2014) to income before provision for income taxes for fiscal 2016, 2015 and 2014 is shown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58"/>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02"/>
        </w:trPr>
        <w:tc>
          <w:tcPr>
            <w:tcW w:w="6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 at U.S. federal statutory rate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50,599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38,233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46,595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U.S. federal benefit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tax rate differential</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interest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credits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deduction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 and state audit settlements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3,888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Recorded income tax provision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38,252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The increase in our effective tax rate in fiscal 2016 compared to fiscal 2015 was due primarily to the favorable settlement of the fiscal 2006-2009 state audits and the favorable settlement of the 2010 foreign transfer pricing assessment in fiscal 2015, partially offset by an increase in the foreign tax credit associated with the repatriation of income from the United Kingdom and Brazil and the Domestic Production Activities Deduction in fiscal 2016.</w:t>
      </w:r>
    </w:p>
    <w:p>
      <w:pPr>
        <w:spacing w:after="0" w:line="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decrease in our effective tax rate in fiscal 2015 compared to fiscal 2014 was due primarily to the favorable settlement of the fiscal 2006-2009 state audits, the favorable settlement of the 2010 foreign transfer pricing assessment, as well as the December 2014 reenactment of the calendar 2014 U.S. Federal Research and Development Credit, which resulted in a catch up adjustment for the R&amp;D credit during fiscal 2015.</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fiscal 2016 and 2015, the foreign taxes consist of local country permanent items and prior years’ true ups.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September 30, 2016, we have not made a provision for U.S. or additional foreign withholding taxes on approximately $45.3 million of the excess of the amount for financial reporting over the tax basis of investments in foreign subsidiaries. We intend to reinvest the earnings of its non-U.S. subsidiaries in those operations indefinitely, except where we are able to repatriate these earnings to the United States without material incremental tax provision. The determination and estimation of the future income tax consequences in all relevant taxing jurisdictions involves the application of highly complex tax laws in the countries involved, particularly in the United States, and is based on our tax profile in the year of earnings repatriation. Accordingly, it is not practicable to estimate the amount of deferred tax liability related to investments in these foreign subsidiaries.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 for Uncertain Tax Positions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conduct business globally and, as a result, file income tax returns in the U.S. federal jurisdiction and various state and foreign jurisdictions. In the normal course of business, we are subject to examination by taxing authorities. With few exceptions, we are no longer subject to U.S. federal, state, local, or foreign income tax examinations for fiscal years prior to 2013. We concluded the audit by the California Franchise Tax Board for fiscal 2012 and 2013, and did not have any adjustments related to those audits that resulted in a material change to our consolidated financial statements. We are currently under audit by New York State and New York City for fiscal 2011, 2012 and 2013. We do not anticipate any adjustments related to those audits that will result in a material change to our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196"/>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4,634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 for tax positions in prior years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2,468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 for tax positions in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 based on tax positions related to the current year</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settlements and payments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Gross unrecognized tax benefits at end of year</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6,799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4,554</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$6.8 million of total unrecognized tax benefits as of September 30, 2016, including $6.0 million of tax benefits that, if recognized, would impact the effective tax rate. Although the timing and outcome of audit settlements are uncertain, it is unlikely there will be a reduction of the uncertain tax benefits in the next 12 months.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recognize interest expense related to unrecognized tax benefits and penalties as part of the provision for income taxes in our consolidated statements of income and comprehensive income. We recognize interest earned related to income tax matters as interest income in our consolidated statements of income and comprehensive income. As of September 30, 2016, we have accrued interest of $0.3 million related to the unrecognized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Employee Benefit Plans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Description of Stock Option and Share Plans</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maintain the 2012 Long-Term Incentive Plan (the “2012 Plan”) under which we are authorized to issue equity awards, including stock options, stock appreciation rights, restricted stock awards, stock unit awards and other stock-based awards. All employees, consultants and advisors of FICO or any subsidiary, as well as all non-employee directors are eligible to receive awards under the 2012 Plan. We also have one other long-term incentive plan under which awards are currently outstanding: the 1992 Long-term Incentive Plan, which was adopted in February 1992 and expired in February 2012. Stock option awards have a maximum term of seven years. Stock option awards and restricted stock unit awards not subject to market conditions vest ratably over three or four years. Restricted stock unit awards subject to market conditions vest annually over a period of three years based on achievement of specified criteria. At September 30, 2016, there were 3,438,986 shares available for issuance under the 2012 Plan.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Description of Employee Stock Purchase Plan</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our Employee Stock Purchase Plan (the “Purchase Plan”), we are authorized to issue up to 5,062,500 shares of common stock to eligible employees. Employees may have up to 10% of their base salary withheld through payroll deductions to purchase FICO common stock during semi-annual offering periods. The purchase price of the stock is 85% of the fair market value on the exercise date (the last day of each offering period). Offering period means approximately six-month periods commencing (a) on the first trading day on or after January 1 and terminating on the last trading day in the following June, and (b) on the first trading day on or after July 1 and terminating on the last trading day in the following December. The Purchase Plan was suspended effective January 1, 2009 and employees cannot contribute to the Purchase Plan until the suspension is repealed. At September 30, 2016, there were 2,707,966 shares available for issuance.</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satisfy stock option exercises, vesting of restricted stock units and the Purchase Plan issuances from treasury shares.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 and related income tax benefits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recorded share-based compensation expense of $55.5 million, $45.3 million and $36.4 million in fiscal years 2016, 2015 and 2014, respectively. The total tax benefit related to this share-based compensation expense was $18.7 million, $16.1 million and $13.0 million in fiscal 2016, 2015 and 2014, respectively. As of September 30, 2016, there was $80.3 million of total unrecognized compensation cost related to non-vested share-based compensation arrangements granted under all equity compensation plans. Total unrecognized compensation cost will be adjusted for future changes in estimated forfeitures. We expect to recognize that cost over a weighted average period of 2.44 years.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2016 we received $17.8 million in cash from stock option exercises, with the tax benefit realized for the tax deductions from these exercises of $15.3 million.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Activity</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Options</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estimate the fair value of stock options granted using the Black-Scholes option valuation model and we amortize the fair value on a straight-line basis over the vesting period. We used the following assumptions to estimate the fair value of our stock options during fiscal 2016, 2015 and 2014:</w:t>
      </w:r>
    </w:p>
    <w:p>
      <w:pPr>
        <w:spacing w:after="0" w:line="341"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4"/>
        </w:trPr>
        <w:tc>
          <w:tcPr>
            <w:tcW w:w="7080" w:type="dxa"/>
            <w:vAlign w:val="bottom"/>
          </w:tcPr>
          <w:p>
            <w:pPr>
              <w:ind w:left="380"/>
              <w:spacing w:after="0"/>
              <w:rPr>
                <w:sz w:val="20"/>
                <w:szCs w:val="20"/>
                <w:color w:val="auto"/>
              </w:rPr>
            </w:pPr>
            <w:r>
              <w:rPr>
                <w:rFonts w:ascii="Arial" w:cs="Arial" w:eastAsia="Arial" w:hAnsi="Arial"/>
                <w:sz w:val="18"/>
                <w:szCs w:val="18"/>
                <w:color w:val="auto"/>
              </w:rPr>
              <w:t>Average expected term (years)</w:t>
            </w:r>
          </w:p>
        </w:tc>
        <w:tc>
          <w:tcPr>
            <w:tcW w:w="1380" w:type="dxa"/>
            <w:vAlign w:val="bottom"/>
          </w:tcPr>
          <w:p>
            <w:pPr>
              <w:jc w:val="right"/>
              <w:ind w:right="173"/>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4"/>
                <w:szCs w:val="24"/>
                <w:color w:val="auto"/>
              </w:rPr>
            </w:pPr>
          </w:p>
        </w:tc>
        <w:tc>
          <w:tcPr>
            <w:tcW w:w="1380" w:type="dxa"/>
            <w:vAlign w:val="bottom"/>
          </w:tcPr>
          <w:p>
            <w:pPr>
              <w:jc w:val="right"/>
              <w:ind w:right="173"/>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4"/>
                <w:szCs w:val="24"/>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4.04</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volatility (range)</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35.3 - 36.4 %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34.5 - 35.3 %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34.6 - 35.6 %</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Weighted average volatility</w:t>
            </w:r>
          </w:p>
        </w:tc>
        <w:tc>
          <w:tcPr>
            <w:tcW w:w="1380" w:type="dxa"/>
            <w:vAlign w:val="bottom"/>
          </w:tcPr>
          <w:p>
            <w:pPr>
              <w:jc w:val="right"/>
              <w:spacing w:after="0"/>
              <w:rPr>
                <w:sz w:val="20"/>
                <w:szCs w:val="20"/>
                <w:color w:val="auto"/>
              </w:rPr>
            </w:pPr>
            <w:r>
              <w:rPr>
                <w:rFonts w:ascii="Arial" w:cs="Arial" w:eastAsia="Arial" w:hAnsi="Arial"/>
                <w:sz w:val="18"/>
                <w:szCs w:val="18"/>
                <w:color w:val="auto"/>
              </w:rPr>
              <w:t>36.0 %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34.6 %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35.1 %</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Risk-free interest rate (range)</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1.21 - 1.49 %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1.33 - 1.48 %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0.76 - 1.16 %</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Average expected dividend yield</w:t>
            </w:r>
          </w:p>
        </w:tc>
        <w:tc>
          <w:tcPr>
            <w:tcW w:w="1380" w:type="dxa"/>
            <w:vAlign w:val="bottom"/>
          </w:tcPr>
          <w:p>
            <w:pPr>
              <w:jc w:val="right"/>
              <w:spacing w:after="0"/>
              <w:rPr>
                <w:sz w:val="20"/>
                <w:szCs w:val="20"/>
                <w:color w:val="auto"/>
              </w:rPr>
            </w:pPr>
            <w:r>
              <w:rPr>
                <w:rFonts w:ascii="Arial" w:cs="Arial" w:eastAsia="Arial" w:hAnsi="Arial"/>
                <w:sz w:val="18"/>
                <w:szCs w:val="18"/>
                <w:color w:val="auto"/>
              </w:rPr>
              <w:t>0.09 %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0.14 %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0.16 %</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dividend yield (range)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0.09 - 0.10 %</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0.11 - 0.14 %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0.16 - 0.17 %</w:t>
            </w: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We estimate the volatility of our common stock at the date of grant based on a combination of the implied volatility of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options on our common stock and our historical volatility rate.</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our stock options are expected to be outstanding. We estimate the expected term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of similar awards, giving consideration to the contractual terms of the stock-based awards, vesting schedules and expectations of future employee behavior.</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dividend yield assumption is based on historical dividend payouts.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assumption is based on observed interest rates appropriate for the term of our employee options.</w:t>
      </w:r>
    </w:p>
    <w:p>
      <w:pPr>
        <w:spacing w:after="0" w:line="1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We use historical data to estimate pre-vesting option forfeitures and record share-based compensation expense only for those awards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expected to vest.</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option activity during fiscal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500" w:type="dxa"/>
            <w:vAlign w:val="bottom"/>
          </w:tcPr>
          <w:p>
            <w:pPr>
              <w:jc w:val="right"/>
              <w:ind w:right="2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21"/>
                <w:szCs w:val="21"/>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1, 2015</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2016</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1,521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52.37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109,873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Exercisable at September 30, 2016</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vMerge w:val="continue"/>
          </w:tcPr>
          <w:p>
            <w:pPr>
              <w:spacing w:after="0"/>
              <w:rPr>
                <w:sz w:val="24"/>
                <w:szCs w:val="24"/>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985</w:t>
            </w:r>
          </w:p>
        </w:tc>
        <w:tc>
          <w:tcPr>
            <w:tcW w:w="3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78,461</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and expected to vest at September 30, 2016</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1,497</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108,573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500" w:type="dxa"/>
            <w:vAlign w:val="bottom"/>
          </w:tcPr>
          <w:p>
            <w:pPr>
              <w:jc w:val="right"/>
              <w:ind w:right="77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weighted average fair value of options granted were $31.06, $21.66 and $15.50 during fiscal 2016, 2015 and 2014, respectively. The aggregate intrinsic value of options outstanding at September 30, 2016 was calculated as the difference between the exercise price of the underlying options and the market price of our common stock for the 1.5 million outstanding shares, which had exercise prices lower than the $124.59 market price of our common stock at September 30, 2016. The total intrinsic value of options exercised was $41.3 million, $24.3 million and $13.8 million during fiscal 2016, 2015 and 2014, respectively, determined as of the date of exercise.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 of restricted stock units (“RSUs”) granted is the closing market price of our common stock on the date of grant adjusted for the expected dividend yield. We amortize the fair value on a straight-line basis over the vesting period.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RSUs activity during fiscal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3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9"/>
              </w:rPr>
              <w:t>Weighted-average 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1, 2015</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1,319</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2016</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1,211</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weighted average fair value of the RSUs granted were $94.77, $73.93 and $56.23 during fiscal 2016, 2015 and 2014, respectively. The total intrinsic value of the RSUs that vested was $49.8 million, $38.5 million and $27.6 million during fiscal 2016, 2015 and 2014, respectively, determined as of the date of vesting.</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Share Units</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Performance share units (“PSUs”) are granted to our senior officers and earned based on pre-established performance goals approved by the Leadership Development and Compensation Committee of our Board of Directors for any given performance period. The range of payout is zero to 200% of the number of granted PSUs, based on the outcome of the performance conditions. The fair value of the PSUs is the closing market price of our common stock on the date of grant adjusted for the expected dividend yield. We amortize the fair value on a straight-line basis over the vesting period, based on the performance condition that is probable of achievement that would result in the vesting of the most shares. The Company reassesses the probability at each reporting period and recognizes the cumulative effect of the change in estimate in the period of change. As of September 30, 2016, the Company believed the performance condition of the PSUs granted during fiscal year 2016 had been achieved at 166.77% of target value, however, the final determination has not yet been made by the Leadership Development and Compensation Committee.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PSUs activity during fiscal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5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Shares</w:t>
            </w:r>
          </w:p>
        </w:tc>
        <w:tc>
          <w:tcPr>
            <w:tcW w:w="2140" w:type="dxa"/>
            <w:vAlign w:val="bottom"/>
            <w:gridSpan w:val="2"/>
          </w:tcPr>
          <w:p>
            <w:pPr>
              <w:ind w:left="240"/>
              <w:spacing w:after="0"/>
              <w:rPr>
                <w:sz w:val="20"/>
                <w:szCs w:val="20"/>
                <w:color w:val="auto"/>
              </w:rPr>
            </w:pPr>
            <w:r>
              <w:rPr>
                <w:rFonts w:ascii="Arial" w:cs="Arial" w:eastAsia="Arial" w:hAnsi="Arial"/>
                <w:sz w:val="14"/>
                <w:szCs w:val="14"/>
                <w:b w:val="1"/>
                <w:bCs w:val="1"/>
                <w:color w:val="auto"/>
                <w:w w:val="94"/>
              </w:rPr>
              <w:t>Weighted- average Grant-date</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500" w:type="dxa"/>
            <w:vAlign w:val="bottom"/>
          </w:tcPr>
          <w:p>
            <w:pPr>
              <w:jc w:val="right"/>
              <w:ind w:right="23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1, 2015</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281</w:t>
            </w:r>
          </w:p>
        </w:tc>
        <w:tc>
          <w:tcPr>
            <w:tcW w:w="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5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Outstanding at September 30, 2016</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230</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weighted average fair value of the PSUs granted were $91.74, $71.86 and $56.63 during fiscal 2016, 2015 and 2014, respectively. The total intrinsic value of the PSUs that vested was $14.0 million, $9.7 million and $4.9 million during fiscal 2016, 2015 and 2014, respectively, determined as of the date of vesting.</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 Share Units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Market share units (“MSUs”) are granted to our senior officers and earned based on our total shareholder return relative to the Russell 3000 Index over performance periods of one, two and three years. We estimate the fair value of MSUs granted using the Monte Carlo valuation model and attribute the cost separately for each vesting tranche of the award. In addition, we do not reverse the compensation cost solely because the market condition is not satisfied, and the award is therefore not exercisable or retained by the employee, provided the requisite service is rendered. We used the following assumptions to estimate the fair value of our MSUs during fiscal 2016, 2015 and 2014:</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1"/>
              </w:rPr>
              <w:t>Year Ended September 30,</w:t>
            </w:r>
          </w:p>
        </w:tc>
        <w:tc>
          <w:tcPr>
            <w:tcW w:w="1800" w:type="dxa"/>
            <w:vAlign w:val="bottom"/>
            <w:tcBorders>
              <w:bottom w:val="single" w:sz="8" w:color="auto"/>
            </w:tcBorders>
          </w:tcPr>
          <w:p>
            <w:pPr>
              <w:spacing w:after="0"/>
              <w:rPr>
                <w:sz w:val="16"/>
                <w:szCs w:val="16"/>
                <w:color w:val="auto"/>
              </w:rPr>
            </w:pPr>
          </w:p>
        </w:tc>
      </w:tr>
      <w:tr>
        <w:trPr>
          <w:trHeight w:val="264"/>
        </w:trPr>
        <w:tc>
          <w:tcPr>
            <w:tcW w:w="6720" w:type="dxa"/>
            <w:vAlign w:val="bottom"/>
            <w:gridSpan w:val="2"/>
          </w:tcPr>
          <w:p>
            <w:pPr>
              <w:ind w:left="6280"/>
              <w:spacing w:after="0"/>
              <w:rPr>
                <w:sz w:val="20"/>
                <w:szCs w:val="20"/>
                <w:color w:val="auto"/>
              </w:rPr>
            </w:pPr>
            <w:r>
              <w:rPr>
                <w:rFonts w:ascii="Arial" w:cs="Arial" w:eastAsia="Arial" w:hAnsi="Arial"/>
                <w:sz w:val="14"/>
                <w:szCs w:val="14"/>
                <w:b w:val="1"/>
                <w:bCs w:val="1"/>
                <w:color w:val="auto"/>
              </w:rPr>
              <w:t>2016</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right"/>
              <w:ind w:right="83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0" w:type="dxa"/>
            <w:vAlign w:val="bottom"/>
          </w:tcPr>
          <w:p>
            <w:pPr>
              <w:jc w:val="right"/>
              <w:ind w:right="833"/>
              <w:spacing w:after="0"/>
              <w:rPr>
                <w:sz w:val="20"/>
                <w:szCs w:val="20"/>
                <w:color w:val="auto"/>
              </w:rPr>
            </w:pPr>
            <w:r>
              <w:rPr>
                <w:rFonts w:ascii="Arial" w:cs="Arial" w:eastAsia="Arial" w:hAnsi="Arial"/>
                <w:sz w:val="14"/>
                <w:szCs w:val="14"/>
                <w:b w:val="1"/>
                <w:bCs w:val="1"/>
                <w:color w:val="auto"/>
              </w:rPr>
              <w:t>2014</w:t>
            </w:r>
          </w:p>
        </w:tc>
      </w:tr>
      <w:tr>
        <w:trPr>
          <w:trHeight w:val="283"/>
        </w:trPr>
        <w:tc>
          <w:tcPr>
            <w:tcW w:w="56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358"/>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 in FICO’s stock price</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24.1 %</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26.6 %</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33.9 %</w:t>
            </w: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Expected volatility in Russell 3000 Index</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21"/>
                <w:szCs w:val="21"/>
                <w:color w:val="auto"/>
              </w:rPr>
            </w:pPr>
          </w:p>
        </w:tc>
        <w:tc>
          <w:tcPr>
            <w:tcW w:w="1800" w:type="dxa"/>
            <w:vAlign w:val="bottom"/>
          </w:tcPr>
          <w:p>
            <w:pPr>
              <w:jc w:val="right"/>
              <w:ind w:right="75"/>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21"/>
                <w:szCs w:val="21"/>
                <w:color w:val="auto"/>
              </w:rPr>
            </w:pP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17.3 %</w:t>
            </w: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358"/>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Correlation between FICO and the Russell 3000 Index</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60.2 %</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55.9 %</w:t>
            </w: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68.0 %</w:t>
            </w: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21"/>
                <w:szCs w:val="21"/>
                <w:color w:val="auto"/>
              </w:rPr>
            </w:pPr>
          </w:p>
        </w:tc>
        <w:tc>
          <w:tcPr>
            <w:tcW w:w="1800" w:type="dxa"/>
            <w:vAlign w:val="bottom"/>
          </w:tcPr>
          <w:p>
            <w:pPr>
              <w:jc w:val="right"/>
              <w:ind w:right="75"/>
              <w:spacing w:after="0"/>
              <w:rPr>
                <w:sz w:val="20"/>
                <w:szCs w:val="20"/>
                <w:color w:val="auto"/>
              </w:rPr>
            </w:pPr>
            <w:r>
              <w:rPr>
                <w:rFonts w:ascii="Arial" w:cs="Arial" w:eastAsia="Arial" w:hAnsi="Arial"/>
                <w:sz w:val="18"/>
                <w:szCs w:val="18"/>
                <w:color w:val="auto"/>
              </w:rPr>
              <w:t>1.10 %</w:t>
            </w:r>
          </w:p>
        </w:tc>
        <w:tc>
          <w:tcPr>
            <w:tcW w:w="120" w:type="dxa"/>
            <w:vAlign w:val="bottom"/>
          </w:tcPr>
          <w:p>
            <w:pPr>
              <w:spacing w:after="0"/>
              <w:rPr>
                <w:sz w:val="21"/>
                <w:szCs w:val="21"/>
                <w:color w:val="auto"/>
              </w:rPr>
            </w:pP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0.68 %</w:t>
            </w: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dividend yield</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0.09 %</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0.14 %</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0.16 %</w:t>
            </w:r>
          </w:p>
        </w:tc>
      </w:tr>
      <w:tr>
        <w:trPr>
          <w:trHeight w:val="27"/>
        </w:trPr>
        <w:tc>
          <w:tcPr>
            <w:tcW w:w="5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expected volatility was determined based on daily historical movements in our stock price and the Russell 3000 index for the three years preceding the grant date. The correlation between FICO and the Russell 3000 Index was determined based on historical daily stock price movements for the three years preceding the grant date. The dividend yield was determined using the historical dividend payout and a trailing twelve month closing stock price on the grant date. The risk-free rate was determined based on U.S. Treasury zero-coupon yields over the three-year performance period.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MSUs activity during fiscal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6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4"/>
                <w:szCs w:val="14"/>
                <w:color w:val="auto"/>
              </w:rPr>
            </w:pPr>
          </w:p>
        </w:tc>
        <w:tc>
          <w:tcPr>
            <w:tcW w:w="21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Weighted- average Grant-date</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146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October 1, 2015</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5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4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5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85.65</w:t>
            </w:r>
          </w:p>
        </w:tc>
        <w:tc>
          <w:tcPr>
            <w:tcW w:w="0" w:type="dxa"/>
            <w:vAlign w:val="bottom"/>
          </w:tcPr>
          <w:p>
            <w:pPr>
              <w:spacing w:after="0"/>
              <w:rPr>
                <w:sz w:val="1"/>
                <w:szCs w:val="1"/>
                <w:color w:val="auto"/>
              </w:rPr>
            </w:pP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Outstanding at September 30, 2016</w:t>
            </w:r>
          </w:p>
        </w:tc>
        <w:tc>
          <w:tcPr>
            <w:tcW w:w="14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52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weighted average fair value of the MSUs granted were $100.63, $101.85 and $68.47 during fiscal 2016, 2015 and 2014, respectively. The total intrinsic value of the MSUs that vested was $9.2 million and $1.7 million during fiscal 2016 and 2015, respectively, determined as of the date of vesting.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reconciliations for the numerators and denominators of basic and diluted earnings per share (“EPS”) during fiscal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and 2014: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gridSpan w:val="6"/>
          </w:tcPr>
          <w:p>
            <w:pPr>
              <w:jc w:val="center"/>
              <w:ind w:left="614"/>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basic and diluted earnings per share — 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109,448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86,502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94,879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 —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weighted-average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33,870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weighted-average shares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32,609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34,864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computation of diluted EPS excludes options to purchase approximately 9,000, 138,000, and 11,000 shares of common stock for fiscal 2016, 2015 and 2014, respectively, because the exercise prices of the options exceeded the average market price of our common stock in these fiscal years and their inclusion would be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have a $10 million investment in convertible preferred stock of a private company. The company is developing a range of products focused on revenue cycle activities for hospitals and healthcare providers. Related party revenue was immaterial for the years ended September 30, 2016, 2015 and 2014. The accounts receivable balance from this company was not significant as of September 30, 2016 and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are organized into the following three operating segments, each of which is a reportable segment, to align with internal management of our worldwide business operations based on product offerings.</w:t>
      </w:r>
    </w:p>
    <w:p>
      <w:pPr>
        <w:spacing w:after="0" w:line="6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Applications. </w:t>
      </w:r>
      <w:r>
        <w:rPr>
          <w:rFonts w:ascii="Arial" w:cs="Arial" w:eastAsia="Arial" w:hAnsi="Arial"/>
          <w:sz w:val="16"/>
          <w:szCs w:val="16"/>
          <w:color w:val="auto"/>
        </w:rPr>
        <w:t>This segment includes pre-configured decision management applications designed for a specific type of business problem or process</w:t>
      </w:r>
    </w:p>
    <w:p>
      <w:pPr>
        <w:spacing w:after="0" w:line="46" w:lineRule="exact"/>
        <w:rPr>
          <w:rFonts w:ascii="Arial" w:cs="Arial" w:eastAsia="Arial" w:hAnsi="Arial"/>
          <w:sz w:val="16"/>
          <w:szCs w:val="16"/>
          <w:i w:val="1"/>
          <w:iCs w:val="1"/>
          <w:color w:val="auto"/>
        </w:rPr>
      </w:pPr>
    </w:p>
    <w:p>
      <w:pPr>
        <w:jc w:val="both"/>
        <w:ind w:left="660"/>
        <w:spacing w:after="0" w:line="255" w:lineRule="auto"/>
        <w:rPr>
          <w:rFonts w:ascii="Arial" w:cs="Arial" w:eastAsia="Arial" w:hAnsi="Arial"/>
          <w:sz w:val="16"/>
          <w:szCs w:val="16"/>
          <w:i w:val="1"/>
          <w:iCs w:val="1"/>
          <w:color w:val="auto"/>
        </w:rPr>
      </w:pPr>
      <w:r>
        <w:rPr>
          <w:rFonts w:ascii="Arial" w:cs="Arial" w:eastAsia="Arial" w:hAnsi="Arial"/>
          <w:sz w:val="18"/>
          <w:szCs w:val="18"/>
          <w:color w:val="auto"/>
        </w:rPr>
        <w:t>— such as marketing, account origination, customer management, fraud, collections and insurance claims management — as well as associated professional services. These applications are available to our customers as on-premises software, and many are available as hosted, software-as-a-service (“SaaS”) applications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w:t>
      </w:r>
    </w:p>
    <w:p>
      <w:pPr>
        <w:spacing w:after="0" w:line="1" w:lineRule="exact"/>
        <w:rPr>
          <w:rFonts w:ascii="Arial" w:cs="Arial" w:eastAsia="Arial" w:hAnsi="Arial"/>
          <w:sz w:val="16"/>
          <w:szCs w:val="16"/>
          <w:i w:val="1"/>
          <w:iCs w:val="1"/>
          <w:color w:val="auto"/>
        </w:rPr>
      </w:pPr>
    </w:p>
    <w:p>
      <w:pPr>
        <w:jc w:val="both"/>
        <w:ind w:left="660" w:hanging="328"/>
        <w:spacing w:after="0" w:line="257" w:lineRule="auto"/>
        <w:tabs>
          <w:tab w:leader="none" w:pos="6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Scores. </w:t>
      </w:r>
      <w:r>
        <w:rPr>
          <w:rFonts w:ascii="Arial" w:cs="Arial" w:eastAsia="Arial" w:hAnsi="Arial"/>
          <w:sz w:val="18"/>
          <w:szCs w:val="18"/>
          <w:color w:val="auto"/>
        </w:rPr>
        <w:t>This segment includes our business-to-business scoring solutions, our myFICO® solutions for consumers and associated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scoring solutions give our clients access to analytics that can be easily integrated into their transaction streams and decision-making processes. Our scoring solutions are distributed through major credit reporting agencies, as well as services through which we provide our scores to clients directly.</w:t>
      </w:r>
    </w:p>
    <w:p>
      <w:pPr>
        <w:spacing w:after="0" w:line="81" w:lineRule="exact"/>
        <w:rPr>
          <w:rFonts w:ascii="Arial" w:cs="Arial" w:eastAsia="Arial" w:hAnsi="Arial"/>
          <w:sz w:val="18"/>
          <w:szCs w:val="18"/>
          <w:i w:val="1"/>
          <w:iCs w:val="1"/>
          <w:color w:val="auto"/>
        </w:rPr>
      </w:pPr>
    </w:p>
    <w:p>
      <w:pPr>
        <w:jc w:val="both"/>
        <w:ind w:left="660" w:hanging="328"/>
        <w:spacing w:after="0" w:line="246" w:lineRule="auto"/>
        <w:tabs>
          <w:tab w:leader="none" w:pos="66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Decision Management Software (formerly“Tools”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This segment is composed of analytic and decision management software tools that clients can</w:t>
      </w:r>
      <w:r>
        <w:rPr>
          <w:rFonts w:ascii="Arial" w:cs="Arial" w:eastAsia="Arial" w:hAnsi="Arial"/>
          <w:sz w:val="17"/>
          <w:szCs w:val="17"/>
          <w:i w:val="1"/>
          <w:iCs w:val="1"/>
          <w:color w:val="auto"/>
        </w:rPr>
        <w:t xml:space="preserve"> </w:t>
      </w:r>
      <w:r>
        <w:rPr>
          <w:rFonts w:ascii="Arial" w:cs="Arial" w:eastAsia="Arial" w:hAnsi="Arial"/>
          <w:sz w:val="17"/>
          <w:szCs w:val="17"/>
          <w:color w:val="auto"/>
        </w:rPr>
        <w:t>use to create their own custom decision management applications, our new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Decision Management Suite, as well as associated professional services. These tools are available to our customers as on-premises software or through the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Analytic Cloud.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or capital expenditures; rather, depreciation amounts are allocated to the segments from their internal cost centers as described above.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segment information for fiscal 2016, 2015 and 2014:</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September 30, 2016</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Decision Management</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Applications</w:t>
            </w:r>
          </w:p>
        </w:tc>
        <w:tc>
          <w:tcPr>
            <w:tcW w:w="28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Scores</w:t>
            </w:r>
          </w:p>
        </w:tc>
        <w:tc>
          <w:tcPr>
            <w:tcW w:w="15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Software</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328,472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233,655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43,792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605,919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169,738</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License</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65,395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37,085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105,699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532,642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881,356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(364,371)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(642,273)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168,271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185,084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239,083</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w w:val="89"/>
              </w:rPr>
              <w:t>Unallocated share-based compensation expense</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169,592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Unallocated other income, net</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144,569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expense</w:t>
            </w: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11,852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17,651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September 30, 2015</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Decision Management</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Applications</w:t>
            </w:r>
          </w:p>
        </w:tc>
        <w:tc>
          <w:tcPr>
            <w:tcW w:w="34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Scores</w:t>
            </w:r>
          </w:p>
        </w:tc>
        <w:tc>
          <w:tcPr>
            <w:tcW w:w="15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Software</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320,596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200,426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43,210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564,232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124,562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151,773</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License</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81,116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122,776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838,781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(366,666)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(624,053)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159,608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151,214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214,728</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w w:val="89"/>
              </w:rPr>
              <w:t>Unallocated share-based compensation expense</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(45,308)</w:t>
            </w: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(13,673)</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Unallocated restructuring and acquisition-</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related expenses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137,505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Unallocated interest expense, net</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(29,150)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109,238</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Depreciation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3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September 30, 2014</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Decision Management</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Applications</w:t>
            </w:r>
          </w:p>
        </w:tc>
        <w:tc>
          <w:tcPr>
            <w:tcW w:w="34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Scores</w:t>
            </w:r>
          </w:p>
        </w:tc>
        <w:tc>
          <w:tcPr>
            <w:tcW w:w="15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Software</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313,316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178,023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36,224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527,563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149,834</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License</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69,840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111,588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788,985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(334,762)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(574,557)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169,494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142,282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214,428</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w w:val="89"/>
              </w:rPr>
              <w:t>Unallocated share-based compensation expense</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(36,362)</w:t>
            </w: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amortization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Unallocated restructuring and acquisition-</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related expenses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161,868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Unallocated interest expense, net</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(28,550)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133,131</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Depreciation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revenues and percentage of revenues by reportable market segments were as follows for fiscal 2016, 2015 and 2014, the majority of which were derived from the sale of products and services within the banking (including consumer credit) industry: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Year Ended September 30,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264"/>
        </w:trPr>
        <w:tc>
          <w:tcPr>
            <w:tcW w:w="19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10"/>
              <w:spacing w:after="0"/>
              <w:rPr>
                <w:sz w:val="20"/>
                <w:szCs w:val="20"/>
                <w:color w:val="auto"/>
              </w:rPr>
            </w:pPr>
            <w:r>
              <w:rPr>
                <w:rFonts w:ascii="Arial" w:cs="Arial" w:eastAsia="Arial" w:hAnsi="Arial"/>
                <w:sz w:val="14"/>
                <w:szCs w:val="14"/>
                <w:b w:val="1"/>
                <w:bCs w:val="1"/>
                <w:color w:val="auto"/>
                <w:w w:val="96"/>
              </w:rPr>
              <w:t>2014</w:t>
            </w:r>
          </w:p>
        </w:tc>
      </w:tr>
      <w:tr>
        <w:trPr>
          <w:trHeight w:val="196"/>
        </w:trPr>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gridSpan w:val="3"/>
          </w:tcPr>
          <w:p>
            <w:pPr>
              <w:ind w:left="46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6"/>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532,642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526,274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504,256</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1900" w:type="dxa"/>
            <w:vAlign w:val="bottom"/>
          </w:tcPr>
          <w:p>
            <w:pPr>
              <w:ind w:left="40"/>
              <w:spacing w:after="0"/>
              <w:rPr>
                <w:sz w:val="20"/>
                <w:szCs w:val="20"/>
                <w:color w:val="auto"/>
              </w:rPr>
            </w:pPr>
            <w:r>
              <w:rPr>
                <w:rFonts w:ascii="Arial" w:cs="Arial" w:eastAsia="Arial" w:hAnsi="Arial"/>
                <w:sz w:val="18"/>
                <w:szCs w:val="18"/>
                <w:color w:val="auto"/>
              </w:rPr>
              <w:t>Scores</w:t>
            </w:r>
          </w:p>
        </w:tc>
        <w:tc>
          <w:tcPr>
            <w:tcW w:w="4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241,059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207,007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186,469</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1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Decision Management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57"/>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107,655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105,500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98,260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1900" w:type="dxa"/>
            <w:vAlign w:val="bottom"/>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881,356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838,781</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788,985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Within our Applications segment our fraud solutions accounted for 20%, 23% and 23% of total revenues in each of fiscal 2016, 2015 and 2014, respectively, and our customer management solutions accounted for 9%, 9% and 10% of total revenues, in each of these periods,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revenues and percentage of revenues on a geographical basis are summarized below for fiscal 2016, 2015 and 2014:</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118"/>
              <w:spacing w:after="0"/>
              <w:rPr>
                <w:sz w:val="20"/>
                <w:szCs w:val="20"/>
                <w:color w:val="auto"/>
              </w:rPr>
            </w:pPr>
            <w:r>
              <w:rPr>
                <w:rFonts w:ascii="Arial" w:cs="Arial" w:eastAsia="Arial" w:hAnsi="Arial"/>
                <w:sz w:val="14"/>
                <w:szCs w:val="14"/>
                <w:b w:val="1"/>
                <w:bCs w:val="1"/>
                <w:color w:val="auto"/>
                <w:w w:val="92"/>
              </w:rPr>
              <w:t>Year Ended September 30,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264"/>
        </w:trPr>
        <w:tc>
          <w:tcPr>
            <w:tcW w:w="19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center"/>
              <w:ind w:left="98"/>
              <w:spacing w:after="0"/>
              <w:rPr>
                <w:sz w:val="20"/>
                <w:szCs w:val="20"/>
                <w:color w:val="auto"/>
              </w:rPr>
            </w:pPr>
            <w:r>
              <w:rPr>
                <w:rFonts w:ascii="Arial" w:cs="Arial" w:eastAsia="Arial" w:hAnsi="Arial"/>
                <w:sz w:val="14"/>
                <w:szCs w:val="14"/>
                <w:b w:val="1"/>
                <w:bCs w:val="1"/>
                <w:color w:val="auto"/>
                <w:w w:val="96"/>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10"/>
              <w:spacing w:after="0"/>
              <w:rPr>
                <w:sz w:val="20"/>
                <w:szCs w:val="20"/>
                <w:color w:val="auto"/>
              </w:rPr>
            </w:pPr>
            <w:r>
              <w:rPr>
                <w:rFonts w:ascii="Arial" w:cs="Arial" w:eastAsia="Arial" w:hAnsi="Arial"/>
                <w:sz w:val="14"/>
                <w:szCs w:val="14"/>
                <w:b w:val="1"/>
                <w:bCs w:val="1"/>
                <w:color w:val="auto"/>
                <w:w w:val="96"/>
              </w:rPr>
              <w:t>2014</w:t>
            </w:r>
          </w:p>
        </w:tc>
      </w:tr>
      <w:tr>
        <w:trPr>
          <w:trHeight w:val="196"/>
        </w:trPr>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gridSpan w:val="3"/>
          </w:tcPr>
          <w:p>
            <w:pPr>
              <w:jc w:val="center"/>
              <w:ind w:left="118"/>
              <w:spacing w:after="0"/>
              <w:rPr>
                <w:sz w:val="20"/>
                <w:szCs w:val="20"/>
                <w:color w:val="auto"/>
              </w:rPr>
            </w:pPr>
            <w:r>
              <w:rPr>
                <w:rFonts w:ascii="Arial" w:cs="Arial" w:eastAsia="Arial" w:hAnsi="Arial"/>
                <w:sz w:val="14"/>
                <w:szCs w:val="14"/>
                <w:b w:val="1"/>
                <w:bCs w:val="1"/>
                <w:color w:val="auto"/>
                <w:w w:val="91"/>
              </w:rPr>
              <w:t>(Dollars in thousands)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6"/>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567,443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505,109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457,270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190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4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86,485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93,855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98,784</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countries</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227,428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239,817</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232,931</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1900" w:type="dxa"/>
            <w:vAlign w:val="bottom"/>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881,356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838,781</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788,985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2016, 2015 and 2014, no individual customer accounted for 10% or more of our total revenues; however, we derive a substantial portion of revenues from our contracts with the three major credit reporting agencies, TransUnion, Equifax and Experian. Revenues collectively generated by agreements with these customers accounted for 19%, 16% and 15% of our total revenues in fiscal 2016, 2015 and 2014, respectively. At September 30, 2016 and 2015, no individual customer accounted for 10% or more of total consolidated receivables.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property and equipment, net, on a geographical basis are summarized below at September 30, 2016 and 2015. At September 30, 2016 and 2015, no individual country outside the U.S. accounted for 10% or more of total consolidated net property and equipment.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400"/>
              <w:spacing w:after="0"/>
              <w:rPr>
                <w:sz w:val="20"/>
                <w:szCs w:val="20"/>
                <w:color w:val="auto"/>
              </w:rPr>
            </w:pPr>
            <w:r>
              <w:rPr>
                <w:rFonts w:ascii="Arial" w:cs="Arial" w:eastAsia="Arial" w:hAnsi="Arial"/>
                <w:sz w:val="14"/>
                <w:szCs w:val="14"/>
                <w:b w:val="1"/>
                <w:bCs w:val="1"/>
                <w:color w:val="auto"/>
              </w:rPr>
              <w:t>2015</w:t>
            </w:r>
          </w:p>
        </w:tc>
      </w:tr>
      <w:tr>
        <w:trPr>
          <w:trHeight w:val="196"/>
        </w:trPr>
        <w:tc>
          <w:tcPr>
            <w:tcW w:w="5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36,083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29,949</w:t>
            </w:r>
          </w:p>
        </w:tc>
        <w:tc>
          <w:tcPr>
            <w:tcW w:w="1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9,039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8,259</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45,122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38,208</w:t>
            </w:r>
          </w:p>
        </w:tc>
        <w:tc>
          <w:tcPr>
            <w:tcW w:w="1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5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Minimum future commitments under non-cancelable operating leases and other obligations were as follows at September 30,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80" w:type="dxa"/>
            <w:vAlign w:val="bottom"/>
          </w:tcPr>
          <w:p>
            <w:pPr>
              <w:jc w:val="center"/>
              <w:ind w:right="517"/>
              <w:spacing w:after="0"/>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80" w:type="dxa"/>
            <w:vAlign w:val="bottom"/>
          </w:tcPr>
          <w:p>
            <w:pPr>
              <w:jc w:val="center"/>
              <w:ind w:right="517"/>
              <w:spacing w:after="0" w:line="149" w:lineRule="exact"/>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49"/>
        </w:trPr>
        <w:tc>
          <w:tcPr>
            <w:tcW w:w="8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September 30,</w:t>
            </w:r>
          </w:p>
        </w:tc>
        <w:tc>
          <w:tcPr>
            <w:tcW w:w="600" w:type="dxa"/>
            <w:vAlign w:val="bottom"/>
          </w:tcPr>
          <w:p>
            <w:pPr>
              <w:spacing w:after="0"/>
              <w:rPr>
                <w:sz w:val="12"/>
                <w:szCs w:val="12"/>
                <w:color w:val="auto"/>
              </w:rPr>
            </w:pPr>
          </w:p>
        </w:tc>
        <w:tc>
          <w:tcPr>
            <w:tcW w:w="2480" w:type="dxa"/>
            <w:vAlign w:val="bottom"/>
          </w:tcPr>
          <w:p>
            <w:pPr>
              <w:jc w:val="center"/>
              <w:ind w:right="517"/>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58"/>
        </w:trPr>
        <w:tc>
          <w:tcPr>
            <w:tcW w:w="834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2480" w:type="dxa"/>
            <w:vAlign w:val="bottom"/>
          </w:tcPr>
          <w:p>
            <w:pPr>
              <w:jc w:val="center"/>
              <w:ind w:right="517"/>
              <w:spacing w:after="0" w:line="158" w:lineRule="exact"/>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80" w:type="dxa"/>
            <w:vAlign w:val="bottom"/>
          </w:tcPr>
          <w:p>
            <w:pPr>
              <w:jc w:val="center"/>
              <w:ind w:right="51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22,069</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6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80" w:type="dxa"/>
            <w:vAlign w:val="bottom"/>
          </w:tcPr>
          <w:p>
            <w:pPr>
              <w:jc w:val="right"/>
              <w:ind w:right="17"/>
              <w:spacing w:after="0"/>
              <w:rPr>
                <w:sz w:val="20"/>
                <w:szCs w:val="20"/>
                <w:color w:val="auto"/>
              </w:rPr>
            </w:pPr>
            <w:r>
              <w:rPr>
                <w:rFonts w:ascii="Arial" w:cs="Arial" w:eastAsia="Arial" w:hAnsi="Arial"/>
                <w:sz w:val="18"/>
                <w:szCs w:val="18"/>
                <w:color w:val="auto"/>
              </w:rPr>
              <w:t>20,890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17,806</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6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80" w:type="dxa"/>
            <w:vAlign w:val="bottom"/>
          </w:tcPr>
          <w:p>
            <w:pPr>
              <w:jc w:val="right"/>
              <w:ind w:right="17"/>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2480" w:type="dxa"/>
            <w:vAlign w:val="bottom"/>
          </w:tcPr>
          <w:p>
            <w:pPr>
              <w:jc w:val="right"/>
              <w:ind w:right="17"/>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90,276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9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above amounts have contractual sublease commitments totaling $0.6 million from fiscal 2017 to 2019. We occupy the majority of our facilities under non-cancelable operating leases with lease terms in excess of one year. Such facility leases generally provide for annual increases based upon the Consumer Price Index or fixed increments. Rent expense under operating leases, including month-to-month leases, totaled $17.6 million, $20.7 million and $19.4 million during fiscal 2016, 2015 and 2014, respectively.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the ordinary course of business, we enter into contractual purchase obligations and other agreements that are legally binding and specify certain minimum payment terms.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also a party to a management agreement with 23 of our executives providing for certain payments and other benefits in the event of a qualified change in control of FICO, coupled with a termination of the officer during the following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Contingencies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Guarantees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the ordinary course of business, we are not subject to potential obligations under guarantees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for standard indemnification and warranty provisions that are contained within many of our customer license and service agreements and certain supplier agreements, including underwriter agreements, as well as standard indemnification agreements that we have executed with certain of our officers and directors, and give rise only to the disclosure in the consolidated financial statements. In addition, we continue to monitor the conditions that are subject to the guarantees and indemnifications to identify whether it is probable that a loss has occurred, and would recognize any such losses under the guarantees and indemnifications when those losses are estimable.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Indemnification and warranty provisions contained within our customer license and service agreements and certain supplier agreements are generally consistent with those prevalent in our industry. The duration of our product warranties generally does not exceed 90 days following delivery of our products. We have not incurred significant obligations under customer indemnification or warranty provisions historically and do not expect to incur significant obligations in the future. Accordingly, we do not maintain accruals for potential customer indemnification or warranty-related obligations. The indemnification agreements that we have executed with certain of our officers and directors would require us to indemnify such officers and directors in certain instances. We have not incurred obligations under these indemnification agreements historically and do not expect to incur significant obligations in the future. Accordingly, we do not maintain accruals for potential officer or director indemnification obligations. The maximum potential amount of future payments that we could be required to make under the indemnification provisions in our customer license and service agreements, and officer and director agreements is unlimited.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Supplementary Financial Data (Unaudited)</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presents selected unaudited consolidated financial results for each of the eight quarters in the two-year period ended September 30, 2016. In the opinion of management, this unaudited information has been prepared on the same basis as the audited information and includes all adjustments (consisting of only normal recurring adjustments, except as noted below) necessary for a fair statement of the consolidated financial information for the period presented.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6"/>
              </w:rPr>
              <w:t>Quarter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3"/>
                <w:szCs w:val="13"/>
                <w:color w:val="auto"/>
              </w:rPr>
            </w:pPr>
          </w:p>
        </w:tc>
        <w:tc>
          <w:tcPr>
            <w:tcW w:w="13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3"/>
                <w:szCs w:val="13"/>
                <w:color w:val="auto"/>
              </w:rPr>
            </w:pPr>
          </w:p>
        </w:tc>
        <w:tc>
          <w:tcPr>
            <w:tcW w:w="116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235,824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238,778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206,678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 (1)</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74,298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66,384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62,298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62,193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161,526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172,394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144,380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137,883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32,104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34,987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23,116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19,241</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 (2):</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31,185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32,221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32,313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32,436</w:t>
            </w:r>
          </w:p>
        </w:tc>
        <w:tc>
          <w:tcPr>
            <w:tcW w:w="0" w:type="dxa"/>
            <w:vAlign w:val="bottom"/>
          </w:tcPr>
          <w:p>
            <w:pPr>
              <w:spacing w:after="0"/>
              <w:rPr>
                <w:sz w:val="1"/>
                <w:szCs w:val="1"/>
                <w:color w:val="auto"/>
              </w:rPr>
            </w:pPr>
          </w:p>
        </w:tc>
      </w:tr>
      <w:tr>
        <w:trPr>
          <w:trHeight w:val="548"/>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6"/>
              </w:rPr>
              <w:t>Quarter Ended</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3"/>
                <w:szCs w:val="13"/>
                <w:color w:val="auto"/>
              </w:rPr>
            </w:pPr>
          </w:p>
        </w:tc>
        <w:tc>
          <w:tcPr>
            <w:tcW w:w="13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3"/>
                <w:szCs w:val="13"/>
                <w:color w:val="auto"/>
              </w:rPr>
            </w:pPr>
          </w:p>
        </w:tc>
        <w:tc>
          <w:tcPr>
            <w:tcW w:w="116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232,756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209,366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207,109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189,550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 (1)</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67,042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66,202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70,991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66,300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165,714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143,164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136,118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123,250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33,319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19,906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18,870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 (2):</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31,936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32,494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32,363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32,448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33,128</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4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of revenues excludes amortization expense of $1.7 million, $1.9 million, $1.9 million, $1.9 million, $1.8 million, $1.9 million, $1.9 million and $1.8 million for the quarters ended September 30, 2016, June 30, 2016, March 31, 2016, December 31, 2015, September 30, 2015, June 30, 2015, March 31, 2015 and December 31,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9175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September 30,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Therefore, the sum of the quarterly per share amounts may not equal the totals for the respective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 13a-15(e) under the Securities Exchange Act of 1934, as amended (the “Exchange Act”)) as of the end of the period covered by this annual report. Based on that evaluation, the CEO and CFO have concluded that FICO’s disclosure controls and procedures are effective to ensure that information required to be disclosed by FICO in reports that it files or submits under the Exchange Act is recorded, processed, summarized and reported within the time periods specified in SEC rules and forms. In addition, the disclosure controls and procedures ensure that information required to be disclosed is accumulated and communicated to management, including the CEO and CFO, allowing timely decisions regarding required disclosure.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 13a-15(d) of the Exchange Act that occurred during the year ended September 30, 2016, that has materially affected, or is reasonably likely to materially affect, FICO’s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and 15d-15(f) under the Exchange Act. Under the supervision and with the participation of management, including our CEO and CFO, we conducted an evaluation of the effectiveness of our internal control over financial reporting as of September 30, 2016 based on the guidelines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Based on this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has concluded that our internal control over financial reporting was effective as of September 30, 2016.</w:t>
      </w:r>
    </w:p>
    <w:p>
      <w:pPr>
        <w:spacing w:after="0" w:line="2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that audited the consolidated financial statements included in this Annual Report on Form 10-K, has also audited the effectiveness of our internal control over financial reporting as of September 30, 2016, as stated in their attestation report included in Part II, Item 8 of this Annual Report on Form 10-K.</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required information regarding our Directors is incorporated by reference from the information under the caption “Director Nominees” in our definitive proxy statement for the Annual Meeting of Stockholders to be held on February 14, 2017.</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current executive officers are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620" w:type="dxa"/>
            <w:vAlign w:val="bottom"/>
          </w:tcPr>
          <w:p>
            <w:pPr>
              <w:spacing w:after="0"/>
              <w:rPr>
                <w:sz w:val="14"/>
                <w:szCs w:val="14"/>
                <w:color w:val="auto"/>
              </w:rPr>
            </w:pPr>
          </w:p>
        </w:tc>
        <w:tc>
          <w:tcPr>
            <w:tcW w:w="8580" w:type="dxa"/>
            <w:vAlign w:val="bottom"/>
          </w:tcPr>
          <w:p>
            <w:pPr>
              <w:ind w:left="3860"/>
              <w:spacing w:after="0"/>
              <w:rPr>
                <w:sz w:val="20"/>
                <w:szCs w:val="20"/>
                <w:color w:val="auto"/>
              </w:rPr>
            </w:pPr>
            <w:r>
              <w:rPr>
                <w:rFonts w:ascii="Arial" w:cs="Arial" w:eastAsia="Arial" w:hAnsi="Arial"/>
                <w:sz w:val="14"/>
                <w:szCs w:val="14"/>
                <w:b w:val="1"/>
                <w:bCs w:val="1"/>
                <w:color w:val="auto"/>
              </w:rPr>
              <w:t>Positions Held</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21"/>
        </w:trPr>
        <w:tc>
          <w:tcPr>
            <w:tcW w:w="1980" w:type="dxa"/>
            <w:vAlign w:val="bottom"/>
            <w:gridSpan w:val="2"/>
            <w:vMerge w:val="restart"/>
          </w:tcPr>
          <w:p>
            <w:pPr>
              <w:spacing w:after="0"/>
              <w:rPr>
                <w:sz w:val="20"/>
                <w:szCs w:val="20"/>
                <w:color w:val="auto"/>
              </w:rPr>
            </w:pPr>
            <w:r>
              <w:rPr>
                <w:rFonts w:ascii="Arial" w:cs="Arial" w:eastAsia="Arial" w:hAnsi="Arial"/>
                <w:sz w:val="18"/>
                <w:szCs w:val="18"/>
                <w:color w:val="auto"/>
              </w:rPr>
              <w:t>William J. Lansing</w:t>
            </w:r>
          </w:p>
        </w:tc>
        <w:tc>
          <w:tcPr>
            <w:tcW w:w="8580" w:type="dxa"/>
            <w:vAlign w:val="bottom"/>
            <w:tcBorders>
              <w:bottom w:val="single" w:sz="8" w:color="auto"/>
            </w:tcBorders>
          </w:tcPr>
          <w:p>
            <w:pPr>
              <w:spacing w:after="0" w:line="20" w:lineRule="exact"/>
              <w:rPr>
                <w:sz w:val="1"/>
                <w:szCs w:val="1"/>
                <w:color w:val="auto"/>
              </w:rPr>
            </w:pPr>
          </w:p>
        </w:tc>
        <w:tc>
          <w:tcPr>
            <w:tcW w:w="4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22"/>
        </w:trPr>
        <w:tc>
          <w:tcPr>
            <w:tcW w:w="1980" w:type="dxa"/>
            <w:vAlign w:val="bottom"/>
            <w:gridSpan w:val="2"/>
            <w:vMerge w:val="continue"/>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6"/>
              </w:rPr>
              <w:t>January 2012-present, Chief Executive Officer and member of the Board of Directors of the Company. February</w:t>
            </w:r>
          </w:p>
        </w:tc>
        <w:tc>
          <w:tcPr>
            <w:tcW w:w="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3"/>
              </w:rPr>
              <w:t>2009-November 2010, Chief Executive Offer and President, Infospace, Inc. 2004-2007, Chief Executive Officer 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3"/>
              </w:rPr>
              <w:t>President, ValueVision Media, Inc. 2001-2003, General Partner, General Atlantic LLC. 2000-2001, Chief Executive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6"/>
              </w:rPr>
              <w:t>Officer, NBC Internet, Inc. 1998-2000, President/Chief Executive Officer, Fingerhut Companies, Inc. 1996-1998,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2"/>
              </w:rPr>
              <w:t>Vice President, Corporate Business Development, General Electric Company. 1996, Executive Vice President, Chief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Operating Office, Prodigy, Inc. 1986-1995, various positions, McKinsey &amp; Company, Inc.</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980" w:type="dxa"/>
            <w:vAlign w:val="bottom"/>
            <w:gridSpan w:val="2"/>
          </w:tcPr>
          <w:p>
            <w:pPr>
              <w:spacing w:after="0"/>
              <w:rPr>
                <w:sz w:val="20"/>
                <w:szCs w:val="20"/>
                <w:color w:val="auto"/>
              </w:rPr>
            </w:pPr>
            <w:r>
              <w:rPr>
                <w:rFonts w:ascii="Arial" w:cs="Arial" w:eastAsia="Arial" w:hAnsi="Arial"/>
                <w:sz w:val="18"/>
                <w:szCs w:val="18"/>
                <w:color w:val="auto"/>
              </w:rPr>
              <w:t>Michael J. Pung</w:t>
            </w:r>
          </w:p>
        </w:tc>
        <w:tc>
          <w:tcPr>
            <w:tcW w:w="8580" w:type="dxa"/>
            <w:vAlign w:val="bottom"/>
          </w:tcPr>
          <w:p>
            <w:pPr>
              <w:ind w:left="20"/>
              <w:spacing w:after="0"/>
              <w:rPr>
                <w:sz w:val="20"/>
                <w:szCs w:val="20"/>
                <w:color w:val="auto"/>
              </w:rPr>
            </w:pPr>
            <w:r>
              <w:rPr>
                <w:rFonts w:ascii="Arial" w:cs="Arial" w:eastAsia="Arial" w:hAnsi="Arial"/>
                <w:sz w:val="18"/>
                <w:szCs w:val="18"/>
                <w:color w:val="auto"/>
                <w:w w:val="98"/>
              </w:rPr>
              <w:t>November 2010-present, Executive Vice President and Chief Financial Officer of the Company. August 2004-</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1"/>
              </w:rPr>
              <w:t>November 2010, Vice President, Finance of the Company. 2000-2004, Vice President and Controller, Hubbard Media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3"/>
              </w:rPr>
              <w:t>Group, LLC. 1999-2000, Controller, Capella Education, Inc. 1998-1999, Controller, U.S. Satellite Broadcasting, Inc.</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5"/>
              </w:rPr>
              <w:t>1992-1998, various financial management positions with Deluxe Corporation. 1985-1992, various audit positions,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including audit manager, at Deloitte &amp; Touche LLP.</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980" w:type="dxa"/>
            <w:vAlign w:val="bottom"/>
            <w:gridSpan w:val="2"/>
          </w:tcPr>
          <w:p>
            <w:pPr>
              <w:spacing w:after="0"/>
              <w:rPr>
                <w:sz w:val="20"/>
                <w:szCs w:val="20"/>
                <w:color w:val="auto"/>
              </w:rPr>
            </w:pPr>
            <w:r>
              <w:rPr>
                <w:rFonts w:ascii="Arial" w:cs="Arial" w:eastAsia="Arial" w:hAnsi="Arial"/>
                <w:sz w:val="18"/>
                <w:szCs w:val="18"/>
                <w:color w:val="auto"/>
              </w:rPr>
              <w:t>Richard S. Deal</w:t>
            </w:r>
          </w:p>
        </w:tc>
        <w:tc>
          <w:tcPr>
            <w:tcW w:w="8580" w:type="dxa"/>
            <w:vAlign w:val="bottom"/>
          </w:tcPr>
          <w:p>
            <w:pPr>
              <w:ind w:left="20"/>
              <w:spacing w:after="0"/>
              <w:rPr>
                <w:sz w:val="20"/>
                <w:szCs w:val="20"/>
                <w:color w:val="auto"/>
              </w:rPr>
            </w:pPr>
            <w:r>
              <w:rPr>
                <w:rFonts w:ascii="Arial" w:cs="Arial" w:eastAsia="Arial" w:hAnsi="Arial"/>
                <w:sz w:val="18"/>
                <w:szCs w:val="18"/>
                <w:color w:val="auto"/>
                <w:w w:val="94"/>
              </w:rPr>
              <w:t>August 2007-present, Senior Vice President, Chief Human Resources Officer of the Company. January 2001-July</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3"/>
              </w:rPr>
              <w:t>2007, Vice President, Human Resources of the Company. 1998-2001, Vice President, Human Resources, Arcadia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4"/>
              </w:rPr>
              <w:t>Financial, Ltd. 1993-1998, managed broad range of human resources corporate and line consulting functions with</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U.S. Bancorp.</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980" w:type="dxa"/>
            <w:vAlign w:val="bottom"/>
            <w:gridSpan w:val="2"/>
          </w:tcPr>
          <w:p>
            <w:pPr>
              <w:spacing w:after="0"/>
              <w:rPr>
                <w:sz w:val="20"/>
                <w:szCs w:val="20"/>
                <w:color w:val="auto"/>
              </w:rPr>
            </w:pPr>
            <w:r>
              <w:rPr>
                <w:rFonts w:ascii="Arial" w:cs="Arial" w:eastAsia="Arial" w:hAnsi="Arial"/>
                <w:sz w:val="18"/>
                <w:szCs w:val="18"/>
                <w:color w:val="auto"/>
              </w:rPr>
              <w:t>Wayne Huyard</w:t>
            </w:r>
          </w:p>
        </w:tc>
        <w:tc>
          <w:tcPr>
            <w:tcW w:w="8580" w:type="dxa"/>
            <w:vAlign w:val="bottom"/>
          </w:tcPr>
          <w:p>
            <w:pPr>
              <w:ind w:left="20"/>
              <w:spacing w:after="0"/>
              <w:rPr>
                <w:sz w:val="20"/>
                <w:szCs w:val="20"/>
                <w:color w:val="auto"/>
              </w:rPr>
            </w:pPr>
            <w:r>
              <w:rPr>
                <w:rFonts w:ascii="Arial" w:cs="Arial" w:eastAsia="Arial" w:hAnsi="Arial"/>
                <w:sz w:val="18"/>
                <w:szCs w:val="18"/>
                <w:color w:val="auto"/>
                <w:w w:val="91"/>
              </w:rPr>
              <w:t>November 2014-present, Executive Vice President of Sales, Services, and Marketing of the Company. January 2014-</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2"/>
              </w:rPr>
              <w:t>November 2014, Consultant to the Chief Executive Officer of the Company. September 2012-November 2014, Chief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1"/>
              </w:rPr>
              <w:t>Executive Officer and President, TEXbase, Inc. March 2012-May 2012, General Manager of RightNow Technologies,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3"/>
              </w:rPr>
              <w:t>Oracle Corporation. July 2010-February 2012, President and Chief Operating Officer, RightNow Technologies, Inc.</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8"/>
              </w:rPr>
              <w:t>May 2006-May 2010, Operations and Advisory Group Executive Leadership Team Member, Cerberus Capital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Management L.P.</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1980" w:type="dxa"/>
            <w:vAlign w:val="bottom"/>
            <w:gridSpan w:val="2"/>
          </w:tcPr>
          <w:p>
            <w:pPr>
              <w:spacing w:after="0"/>
              <w:rPr>
                <w:sz w:val="20"/>
                <w:szCs w:val="20"/>
                <w:color w:val="auto"/>
              </w:rPr>
            </w:pPr>
            <w:r>
              <w:rPr>
                <w:rFonts w:ascii="Arial" w:cs="Arial" w:eastAsia="Arial" w:hAnsi="Arial"/>
                <w:sz w:val="18"/>
                <w:szCs w:val="18"/>
                <w:color w:val="auto"/>
              </w:rPr>
              <w:t>Michael S. Leonard</w:t>
            </w:r>
          </w:p>
        </w:tc>
        <w:tc>
          <w:tcPr>
            <w:tcW w:w="8580" w:type="dxa"/>
            <w:vAlign w:val="bottom"/>
          </w:tcPr>
          <w:p>
            <w:pPr>
              <w:ind w:left="20"/>
              <w:spacing w:after="0"/>
              <w:rPr>
                <w:sz w:val="20"/>
                <w:szCs w:val="20"/>
                <w:color w:val="auto"/>
              </w:rPr>
            </w:pPr>
            <w:r>
              <w:rPr>
                <w:rFonts w:ascii="Arial" w:cs="Arial" w:eastAsia="Arial" w:hAnsi="Arial"/>
                <w:sz w:val="18"/>
                <w:szCs w:val="18"/>
                <w:color w:val="auto"/>
                <w:w w:val="91"/>
              </w:rPr>
              <w:t>November 2011-present, Vice President, Chief Accounting Officer of the Company. November 2007-November 2011,</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2"/>
              </w:rPr>
              <w:t>Senior Director, Finance of the Company. July 2000-November 2007, Director, Finance of the Company. 1998-2000,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Controller of Natural Alternatives International, Inc. 1994-1998, various audit staff positions at KPMG LLP.</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980" w:type="dxa"/>
            <w:vAlign w:val="bottom"/>
            <w:gridSpan w:val="2"/>
          </w:tcPr>
          <w:p>
            <w:pPr>
              <w:spacing w:after="0"/>
              <w:rPr>
                <w:sz w:val="20"/>
                <w:szCs w:val="20"/>
                <w:color w:val="auto"/>
              </w:rPr>
            </w:pPr>
            <w:r>
              <w:rPr>
                <w:rFonts w:ascii="Arial" w:cs="Arial" w:eastAsia="Arial" w:hAnsi="Arial"/>
                <w:sz w:val="18"/>
                <w:szCs w:val="18"/>
                <w:color w:val="auto"/>
              </w:rPr>
              <w:t>Mark R. Scadina</w:t>
            </w:r>
          </w:p>
        </w:tc>
        <w:tc>
          <w:tcPr>
            <w:tcW w:w="8580" w:type="dxa"/>
            <w:vAlign w:val="bottom"/>
          </w:tcPr>
          <w:p>
            <w:pPr>
              <w:ind w:left="20"/>
              <w:spacing w:after="0"/>
              <w:rPr>
                <w:sz w:val="20"/>
                <w:szCs w:val="20"/>
                <w:color w:val="auto"/>
              </w:rPr>
            </w:pPr>
            <w:r>
              <w:rPr>
                <w:rFonts w:ascii="Arial" w:cs="Arial" w:eastAsia="Arial" w:hAnsi="Arial"/>
                <w:sz w:val="18"/>
                <w:szCs w:val="18"/>
                <w:color w:val="auto"/>
                <w:w w:val="89"/>
              </w:rPr>
              <w:t>February 2009-present, Executive Vice President and General Counsel and Corporate Secretary of the Company. June</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3"/>
              </w:rPr>
              <w:t>2007-February 2009, Senior Vice President and General Counsel and Corporate Secretary of the Company. 2003-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0"/>
              </w:rPr>
              <w:t>2007, various senior positions including Executive Vice President, General Counsel and Corporate Secretary, Liberate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2"/>
              </w:rPr>
              <w:t>Technologies, Inc. 1999-2003, various leadership positions including Vice President and General Counsel, Intertrust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Technologies Corporation. 1994-1999, Associate, Pennie and Edmonds LLP.</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980" w:type="dxa"/>
            <w:vAlign w:val="bottom"/>
            <w:gridSpan w:val="2"/>
          </w:tcPr>
          <w:p>
            <w:pPr>
              <w:spacing w:after="0"/>
              <w:rPr>
                <w:sz w:val="20"/>
                <w:szCs w:val="20"/>
                <w:color w:val="auto"/>
              </w:rPr>
            </w:pPr>
            <w:r>
              <w:rPr>
                <w:rFonts w:ascii="Arial" w:cs="Arial" w:eastAsia="Arial" w:hAnsi="Arial"/>
                <w:sz w:val="18"/>
                <w:szCs w:val="18"/>
                <w:color w:val="auto"/>
              </w:rPr>
              <w:t>James M. Wehmann</w:t>
            </w:r>
          </w:p>
        </w:tc>
        <w:tc>
          <w:tcPr>
            <w:tcW w:w="8580" w:type="dxa"/>
            <w:vAlign w:val="bottom"/>
          </w:tcPr>
          <w:p>
            <w:pPr>
              <w:ind w:left="20"/>
              <w:spacing w:after="0"/>
              <w:rPr>
                <w:sz w:val="20"/>
                <w:szCs w:val="20"/>
                <w:color w:val="auto"/>
              </w:rPr>
            </w:pPr>
            <w:r>
              <w:rPr>
                <w:rFonts w:ascii="Arial" w:cs="Arial" w:eastAsia="Arial" w:hAnsi="Arial"/>
                <w:sz w:val="18"/>
                <w:szCs w:val="18"/>
                <w:color w:val="auto"/>
              </w:rPr>
              <w:t>April 2012-present, Executive Vice President, Scores of the Company. November 2003-March 2012, Vice</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8"/>
              </w:rPr>
              <w:t>President/Senior Vice President, Global Marketing, Digital River, Inc. March 2002-June 2003, Vice President,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2"/>
              </w:rPr>
              <w:t>Marketing, Brylane, Inc. September 2000-March 2002, Senior Vice President, Marketing, New Customer Acquisition,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9"/>
              </w:rPr>
              <w:t>Bank One. 1993-2000, various roles, including Senior Vice President, Marketing, Fingerhut Companies, Inc.</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980" w:type="dxa"/>
            <w:vAlign w:val="bottom"/>
            <w:gridSpan w:val="2"/>
          </w:tcPr>
          <w:p>
            <w:pPr>
              <w:spacing w:after="0"/>
              <w:rPr>
                <w:sz w:val="20"/>
                <w:szCs w:val="20"/>
                <w:color w:val="auto"/>
              </w:rPr>
            </w:pPr>
            <w:r>
              <w:rPr>
                <w:rFonts w:ascii="Arial" w:cs="Arial" w:eastAsia="Arial" w:hAnsi="Arial"/>
                <w:sz w:val="18"/>
                <w:szCs w:val="18"/>
                <w:color w:val="auto"/>
              </w:rPr>
              <w:t>Stuart C. Wells</w:t>
            </w:r>
          </w:p>
        </w:tc>
        <w:tc>
          <w:tcPr>
            <w:tcW w:w="8580" w:type="dxa"/>
            <w:vAlign w:val="bottom"/>
          </w:tcPr>
          <w:p>
            <w:pPr>
              <w:ind w:left="20"/>
              <w:spacing w:after="0"/>
              <w:rPr>
                <w:sz w:val="20"/>
                <w:szCs w:val="20"/>
                <w:color w:val="auto"/>
              </w:rPr>
            </w:pPr>
            <w:r>
              <w:rPr>
                <w:rFonts w:ascii="Arial" w:cs="Arial" w:eastAsia="Arial" w:hAnsi="Arial"/>
                <w:sz w:val="18"/>
                <w:szCs w:val="18"/>
                <w:color w:val="auto"/>
                <w:w w:val="96"/>
              </w:rPr>
              <w:t>April 2012-present, Executive Vice President, Chief Technology Officer of the Company. June 2010- April 2012,</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0"/>
              </w:rPr>
              <w:t>Head of Global Professional Services and Support of the Company (Consultant). February 2009-June 2010, CEO, 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w w:val="91"/>
              </w:rPr>
              <w:t>Chairman of the Board, ScaleMP. January 2007-January 2009, Senior Vice President and President, Avaya, Inc. April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2005-December 2006, Executive Vice President, Utility Computing, Sun Microsystems.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required information regarding compliance with Section 16(a) of the Securities Exchange Act is incorporated by reference from the information under the caption “Section 16(a) Beneficial Ownership Reporting Compliance” in our definitive proxy statement for the Annual Meeting of Stockholders to be held on February 14, 2017.</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125" w:right="4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FICO has adopted a Code of Ethics for Senior Financial Management that applies to the Company’s Chief Executive Officer, Chief Financial Officer, Controller and other employees performing similar functions who have been identified by the Chief Executive Officer. We have posted the Code of Ethics on our website located at www.fico.com. FICO intends to satisfy the disclosure requirement under Item 5.05 of Form 8-K regarding an amendment to, or a waiver from, this Code of Ethics by posting such information on its website. FICO also has a Code of Conduct and Business Ethics applicable to all directors, officers and employees, which is also available at the web site cited above.</w:t>
      </w:r>
    </w:p>
    <w:p>
      <w:pPr>
        <w:spacing w:after="0" w:line="134"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The required information regarding the Company’s audit committee is incorporated by reference from the information under the caption “Board Meetings, Committees and Attendance” in our definitive proxy statement for the Annual Meeting of Shareholders to be held on February 14,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“Director Compensation for 2016,” “Executive Compensation,” and “Compensation Committee Interlocks and Insider Participation” in our definitive proxy statement for the Annual Meeting of Stockholders to be held on February 14,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“Security Ownership Of Certain Beneficial Owners and Management” and “Executive Compensation Plan Information” in our definitive proxy statement for the Annual Meeting of Stockholders to be held on February 14,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“Certain Relationships and Related Transactions” in our definitive proxy statement for the Annual Meeting of Stockholders to be held on February 14,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Independent Registered Public Accounting Firm” in our definitive proxy statement for the Annual Meeting of Stockholders to be held on February 14,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0" w:type="dxa"/>
            <w:vAlign w:val="bottom"/>
            <w:gridSpan w:val="4"/>
          </w:tcPr>
          <w:p>
            <w:pPr>
              <w:ind w:left="700"/>
              <w:spacing w:after="0"/>
              <w:rPr>
                <w:sz w:val="20"/>
                <w:szCs w:val="20"/>
                <w:color w:val="auto"/>
              </w:rPr>
            </w:pPr>
            <w:r>
              <w:rPr>
                <w:rFonts w:ascii="Arial" w:cs="Arial" w:eastAsia="Arial" w:hAnsi="Arial"/>
                <w:sz w:val="18"/>
                <w:szCs w:val="18"/>
                <w:b w:val="1"/>
                <w:bCs w:val="1"/>
                <w:color w:val="auto"/>
              </w:rPr>
              <w:t>PART IV</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006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0060" w:type="dxa"/>
            <w:vAlign w:val="bottom"/>
            <w:gridSpan w:val="8"/>
          </w:tcPr>
          <w:p>
            <w:pPr>
              <w:spacing w:after="0"/>
              <w:rPr>
                <w:sz w:val="20"/>
                <w:szCs w:val="20"/>
                <w:color w:val="auto"/>
              </w:rPr>
            </w:pPr>
            <w:r>
              <w:rPr>
                <w:rFonts w:ascii="Arial" w:cs="Arial" w:eastAsia="Arial" w:hAnsi="Arial"/>
                <w:sz w:val="18"/>
                <w:szCs w:val="18"/>
                <w:b w:val="1"/>
                <w:bCs w:val="1"/>
                <w:color w:val="auto"/>
              </w:rPr>
              <w:t>1. Consolidated Financial Statements: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7"/>
        </w:trPr>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Reference Page</w:t>
            </w:r>
          </w:p>
        </w:tc>
      </w:tr>
      <w:tr>
        <w:trPr>
          <w:trHeight w:val="192"/>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Form 10-K</w:t>
            </w:r>
          </w:p>
        </w:tc>
      </w:tr>
      <w:tr>
        <w:trPr>
          <w:trHeight w:val="189"/>
        </w:trPr>
        <w:tc>
          <w:tcPr>
            <w:tcW w:w="40" w:type="dxa"/>
            <w:vAlign w:val="bottom"/>
          </w:tcPr>
          <w:p>
            <w:pPr>
              <w:spacing w:after="0"/>
              <w:rPr>
                <w:sz w:val="16"/>
                <w:szCs w:val="16"/>
                <w:color w:val="auto"/>
              </w:rPr>
            </w:pPr>
          </w:p>
        </w:tc>
        <w:tc>
          <w:tcPr>
            <w:tcW w:w="4620" w:type="dxa"/>
            <w:vAlign w:val="bottom"/>
            <w:gridSpan w:val="3"/>
          </w:tcPr>
          <w:p>
            <w:pPr>
              <w:spacing w:after="0" w:line="170"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5400" w:type="dxa"/>
            <w:vAlign w:val="bottom"/>
            <w:gridSpan w:val="4"/>
          </w:tcPr>
          <w:p>
            <w:pPr>
              <w:spacing w:after="0"/>
              <w:rPr>
                <w:sz w:val="16"/>
                <w:szCs w:val="16"/>
                <w:color w:val="auto"/>
              </w:rPr>
            </w:pPr>
          </w:p>
        </w:tc>
        <w:tc>
          <w:tcPr>
            <w:tcW w:w="1360" w:type="dxa"/>
            <w:vAlign w:val="bottom"/>
            <w:gridSpan w:val="3"/>
          </w:tcPr>
          <w:p>
            <w:pPr>
              <w:jc w:val="right"/>
              <w:ind w:right="20"/>
              <w:spacing w:after="0" w:line="170"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7"/>
        </w:trPr>
        <w:tc>
          <w:tcPr>
            <w:tcW w:w="40" w:type="dxa"/>
            <w:vAlign w:val="bottom"/>
          </w:tcPr>
          <w:p>
            <w:pPr>
              <w:spacing w:after="0"/>
              <w:rPr>
                <w:sz w:val="2"/>
                <w:szCs w:val="2"/>
                <w:color w:val="auto"/>
              </w:rPr>
            </w:pPr>
          </w:p>
        </w:tc>
        <w:tc>
          <w:tcPr>
            <w:tcW w:w="3040" w:type="dxa"/>
            <w:vAlign w:val="bottom"/>
            <w:shd w:val="clear" w:color="auto" w:fill="0000EE"/>
          </w:tcPr>
          <w:p>
            <w:pPr>
              <w:spacing w:after="0"/>
              <w:rPr>
                <w:sz w:val="2"/>
                <w:szCs w:val="2"/>
                <w:color w:val="auto"/>
              </w:rPr>
            </w:pPr>
          </w:p>
        </w:tc>
        <w:tc>
          <w:tcPr>
            <w:tcW w:w="1580" w:type="dxa"/>
            <w:vAlign w:val="bottom"/>
            <w:gridSpan w:val="2"/>
            <w:shd w:val="clear" w:color="auto" w:fill="0000EE"/>
          </w:tcPr>
          <w:p>
            <w:pPr>
              <w:spacing w:after="0"/>
              <w:rPr>
                <w:sz w:val="2"/>
                <w:szCs w:val="2"/>
                <w:color w:val="auto"/>
              </w:rPr>
            </w:pPr>
          </w:p>
        </w:tc>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620" w:type="dxa"/>
            <w:vAlign w:val="bottom"/>
            <w:gridSpan w:val="3"/>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balance sheets as of September 30, 2016 and 2015</w:t>
              </w:r>
            </w:hyperlink>
          </w:p>
        </w:tc>
        <w:tc>
          <w:tcPr>
            <w:tcW w:w="5400" w:type="dxa"/>
            <w:vAlign w:val="bottom"/>
            <w:gridSpan w:val="4"/>
          </w:tcPr>
          <w:p>
            <w:pPr>
              <w:spacing w:after="0"/>
              <w:rPr>
                <w:sz w:val="22"/>
                <w:szCs w:val="22"/>
                <w:color w:val="auto"/>
              </w:rPr>
            </w:pPr>
          </w:p>
        </w:tc>
        <w:tc>
          <w:tcPr>
            <w:tcW w:w="136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income and comprehensive income for the years ended September 30, 2016, 2015 and 2014</w:t>
              </w:r>
            </w:hyperlink>
          </w:p>
        </w:tc>
        <w:tc>
          <w:tcPr>
            <w:tcW w:w="136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stockholders’ equity for the years ended September 30, 2016, 2015 and 2014</w:t>
              </w:r>
            </w:hyperlink>
          </w:p>
        </w:tc>
        <w:tc>
          <w:tcPr>
            <w:tcW w:w="1420" w:type="dxa"/>
            <w:vAlign w:val="bottom"/>
          </w:tcPr>
          <w:p>
            <w:pPr>
              <w:spacing w:after="0"/>
              <w:rPr>
                <w:sz w:val="21"/>
                <w:szCs w:val="21"/>
                <w:color w:val="auto"/>
              </w:rPr>
            </w:pPr>
          </w:p>
        </w:tc>
        <w:tc>
          <w:tcPr>
            <w:tcW w:w="136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520" w:type="dxa"/>
            <w:vAlign w:val="bottom"/>
            <w:gridSpan w:val="5"/>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Consolidated statements of cash flows for the years ended September 30, 2016, 2015 and 2014</w:t>
              </w:r>
            </w:hyperlink>
          </w:p>
        </w:tc>
        <w:tc>
          <w:tcPr>
            <w:tcW w:w="2500" w:type="dxa"/>
            <w:vAlign w:val="bottom"/>
            <w:gridSpan w:val="2"/>
          </w:tcPr>
          <w:p>
            <w:pPr>
              <w:spacing w:after="0"/>
              <w:rPr>
                <w:sz w:val="21"/>
                <w:szCs w:val="21"/>
                <w:color w:val="auto"/>
              </w:rPr>
            </w:pPr>
          </w:p>
        </w:tc>
        <w:tc>
          <w:tcPr>
            <w:tcW w:w="136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40" w:type="dxa"/>
            <w:vAlign w:val="bottom"/>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Notes to consolidated financial statements</w:t>
              </w:r>
            </w:hyperlink>
          </w:p>
        </w:tc>
        <w:tc>
          <w:tcPr>
            <w:tcW w:w="3780" w:type="dxa"/>
            <w:vAlign w:val="bottom"/>
            <w:gridSpan w:val="3"/>
          </w:tcPr>
          <w:p>
            <w:pPr>
              <w:spacing w:after="0"/>
              <w:rPr>
                <w:sz w:val="21"/>
                <w:szCs w:val="21"/>
                <w:color w:val="auto"/>
              </w:rPr>
            </w:pPr>
          </w:p>
        </w:tc>
        <w:tc>
          <w:tcPr>
            <w:tcW w:w="3200" w:type="dxa"/>
            <w:vAlign w:val="bottom"/>
            <w:gridSpan w:val="3"/>
          </w:tcPr>
          <w:p>
            <w:pPr>
              <w:spacing w:after="0"/>
              <w:rPr>
                <w:sz w:val="21"/>
                <w:szCs w:val="21"/>
                <w:color w:val="auto"/>
              </w:rPr>
            </w:pPr>
          </w:p>
        </w:tc>
        <w:tc>
          <w:tcPr>
            <w:tcW w:w="136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All financial statement schedules are omitted as the required information is not applicable or as the information required is included in the consolidated financial statements and related notes.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7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860" w:type="dxa"/>
            <w:vAlign w:val="bottom"/>
          </w:tcPr>
          <w:p>
            <w:pPr>
              <w:spacing w:after="0"/>
              <w:rPr>
                <w:sz w:val="13"/>
                <w:szCs w:val="13"/>
                <w:color w:val="auto"/>
              </w:rPr>
            </w:pPr>
          </w:p>
        </w:tc>
        <w:tc>
          <w:tcPr>
            <w:tcW w:w="5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1"/>
              </w:rPr>
              <w:t>Bylaws of Fair Isaac Corporation. (Incorporated by reference to Exhibit 3.1 to the Company’s Form 10-Q for the quarter ended December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31, 2009 (file no. 001-11689))</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3"/>
              </w:rPr>
              <w:t>Composite Restated Certificate of Incorporation of Fair Isaac Corporation. (Incorporated by reference to Exhibit 3.2 to the Company’s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Form 10-Q for the quarter ended December 31, 2009 (file no. 001-11689))</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0"/>
              </w:rPr>
              <w:t>Form of Note Purchase Agreement, dated May 7, 2008, between Fair Isaac Corporation and the Purchasers listed on Schedule A thereto,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6"/>
              </w:rPr>
              <w:t>which includes as Exhibits 1-4 the form of Senior Note for each of Series A, B, C and D (excluding certain schedules and exhibits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4"/>
              </w:rPr>
              <w:t>thereto, which Fair Isaac Corporation agrees to furnish to the Securities and Exchange Commission upon request).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reference to Exhibit 10.1 to the Company's Form 10-Q for the quarter ended June 30, 2008 (file no. 001-11689))</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89"/>
              </w:rPr>
              <w:t>Form of Note Purchase Agreement, dated July 14, 2010, between Fair Isaac Corporation and the Purchasers listed on Schedule A thereto,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0"/>
              </w:rPr>
              <w:t>which includes as Exhibits 1-4 the form of Senior Note for each of Series E, F, G and H (excluding certain schedules and exhibits thereto,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1"/>
              </w:rPr>
              <w:t>which Fair Isaac Corporation agrees to furnish to the Securities and Exchange Commission upon request).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Exhibit 10.1 to the Company’s Form 8-K filed on July 19, 2010 (file no. 001-11689))</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1"/>
              </w:rPr>
              <w:t>Fair Isaac Corporation 1992 Long-Term Incentive Plan, as amended effective May 4, 2010. (Incorporated by reference to Exhibit 10.1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the Company’s Form 10-Q for the quarter ended June 30, 2010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Form of Non-Qualified Stock Option Agreement under 1992 Long-term Incentive Plan, as amended effective July 18, 2007.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1"/>
              </w:rPr>
              <w:t>(Incorporated by reference to Exhibit 10.42 to the Company’s Form 10-Q for the quarter ended December 31, 2007 (file no. 001-11689))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6"/>
              </w:rPr>
              <w:t>Form of Nonstatutory Stock Option Agreement for Initial Grants to Non-Employee Directors under 1992 Long-term Incentive Plan.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2"/>
              </w:rPr>
              <w:t>(Incorporated by reference to Exhibit 10.3 to the Company’s Form 10-Q for the quarter ended December 31, 2008 (file no. 001-11689))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3"/>
              </w:rPr>
              <w:t>Form of Restricted Stock Unit Agreement under 1992 Long-term Incentive Plan, as amended effective July 18, 2007.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reference to Exhibit 10.49 to the Company’s Form 10-Q for the quarter ended December 31, 2007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9"/>
              </w:rPr>
              <w:t>Form of Restricted Stock Agreement under 1992 Long-Term Incentive Plan. (Incorporated by reference to Exhibit 10.43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Company’s Form 10-K for the period ended September 30, 2006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0"/>
              </w:rPr>
              <w:t>Fair, Isaac Supplemental Retirement and Savings Plan, as amended and restated effective January 1,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Exhibit 10.10 of the Company’s Form 10-K for the fiscal year ended September 30, 2008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6"/>
              </w:rPr>
              <w:t>Form of Indemnity Agreement entered into by the Company with the Company’s directors and executive officers.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9"/>
              </w:rPr>
              <w:t>reference to Exhibit 10.49 to the Company’s Form 10-K for the fiscal year ended September 30, 2002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2"/>
              </w:rPr>
              <w:t>Form of Management Agreement entered into with each of the Company’s executive officers. (Incorporated by reference to Exhibit 10.4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to the Company’s Form 8-K filed on February 10, 2012.)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7"/>
              </w:rPr>
              <w:t>Form of Amendment to Management Agreement entered into with certain of the Company’s executive officers.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reference to Exhibit 10.2 to the Company’s Form 10-Q for the quarter ended December 31, 2014) (1)</w:t>
            </w:r>
          </w:p>
        </w:tc>
        <w:tc>
          <w:tcPr>
            <w:tcW w:w="0" w:type="dxa"/>
            <w:vAlign w:val="bottom"/>
          </w:tcPr>
          <w:p>
            <w:pPr>
              <w:spacing w:after="0"/>
              <w:rPr>
                <w:sz w:val="1"/>
                <w:szCs w:val="1"/>
                <w:color w:val="auto"/>
              </w:rPr>
            </w:pP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1"/>
              </w:rPr>
              <w:t>Form of Amendment to Management Agreement entered into with each of the Company’s executive officers. (Incorporated by reference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to Exhibit 10.1 to the Company’s Form 10-Q for the quarter ended June 30, 2016.)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1"/>
              </w:rPr>
              <w:t>Offer Letter entered into on May 29, 2007 with Mark R. Scadina. (Incorporated by reference to Exhibit 10.61 to the Company’s Form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K for the fiscal year ended September 30, 2008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3"/>
              </w:rPr>
              <w:t>Letter Agreement dated January 24, 2012 by and between the Company and William J. Lansing. (Incorporated by reference to Exhibit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10.2 to the Company’s Form 8-K filed on January 26, 2012.)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24"/>
                <w:szCs w:val="24"/>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w w:val="91"/>
              </w:rPr>
              <w:t>Letter Agreement dated February 6, 2012 by and between the Company and Michael Pung. (Incorporated by reference to Exhibit 10.1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80" w:type="dxa"/>
            <w:vAlign w:val="bottom"/>
            <w:gridSpan w:val="3"/>
          </w:tcPr>
          <w:p>
            <w:pPr>
              <w:ind w:left="240"/>
              <w:spacing w:after="0"/>
              <w:rPr>
                <w:sz w:val="20"/>
                <w:szCs w:val="20"/>
                <w:color w:val="auto"/>
              </w:rPr>
            </w:pPr>
            <w:r>
              <w:rPr>
                <w:rFonts w:ascii="Arial" w:cs="Arial" w:eastAsia="Arial" w:hAnsi="Arial"/>
                <w:sz w:val="18"/>
                <w:szCs w:val="18"/>
                <w:color w:val="auto"/>
              </w:rPr>
              <w:t>the Company’s Form 8-K filed on February 10, 2012.) (1)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240" w:top="125" w:right="679" w:bottom="1440" w:gutter="0" w:footer="0" w:header="0"/>
        </w:sectPr>
      </w:pPr>
    </w:p>
    <w:p>
      <w:pPr>
        <w:spacing w:after="0" w:line="177"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980"/>
          </w:cols>
          <w:pgMar w:left="240" w:top="125" w:right="67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10.16</w:t>
            </w:r>
          </w:p>
        </w:tc>
        <w:tc>
          <w:tcPr>
            <w:tcW w:w="10220" w:type="dxa"/>
            <w:vAlign w:val="bottom"/>
          </w:tcPr>
          <w:p>
            <w:pPr>
              <w:ind w:left="300"/>
              <w:spacing w:after="0"/>
              <w:rPr>
                <w:sz w:val="20"/>
                <w:szCs w:val="20"/>
                <w:color w:val="auto"/>
              </w:rPr>
            </w:pPr>
            <w:r>
              <w:rPr>
                <w:rFonts w:ascii="Arial" w:cs="Arial" w:eastAsia="Arial" w:hAnsi="Arial"/>
                <w:sz w:val="18"/>
                <w:szCs w:val="18"/>
                <w:color w:val="auto"/>
                <w:w w:val="91"/>
              </w:rPr>
              <w:t>Letter Agreement dated February 6, 2012 by and between the Company and Mark Scadina. (Incorporated by reference to Exhibit 10.3 to</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the Company’s Form 8-K filed on February 10,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10.17</w:t>
            </w:r>
          </w:p>
        </w:tc>
        <w:tc>
          <w:tcPr>
            <w:tcW w:w="10220" w:type="dxa"/>
            <w:vAlign w:val="bottom"/>
          </w:tcPr>
          <w:p>
            <w:pPr>
              <w:ind w:left="300"/>
              <w:spacing w:after="0"/>
              <w:rPr>
                <w:sz w:val="20"/>
                <w:szCs w:val="20"/>
                <w:color w:val="auto"/>
              </w:rPr>
            </w:pPr>
            <w:r>
              <w:rPr>
                <w:rFonts w:ascii="Arial" w:cs="Arial" w:eastAsia="Arial" w:hAnsi="Arial"/>
                <w:sz w:val="18"/>
                <w:szCs w:val="18"/>
                <w:color w:val="auto"/>
                <w:w w:val="90"/>
              </w:rPr>
              <w:t>Letter Agreement dated March 7, 2012 by and between the Company and James M. Wehmann. (Incorporated by reference to Exhibit 10.1</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to the Company’s Form 10-Q for the quarter ended December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10.18</w:t>
            </w: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Letter Agreement dated April 24, 2012 by and between the Company and Stuart C. Wells. (Incorporated by reference to Exhibit 10.2 to</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the Company’s Form 10-Q for the quarter ended December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10.19</w:t>
            </w:r>
          </w:p>
        </w:tc>
        <w:tc>
          <w:tcPr>
            <w:tcW w:w="10220" w:type="dxa"/>
            <w:vAlign w:val="bottom"/>
          </w:tcPr>
          <w:p>
            <w:pPr>
              <w:ind w:left="300"/>
              <w:spacing w:after="0"/>
              <w:rPr>
                <w:sz w:val="20"/>
                <w:szCs w:val="20"/>
                <w:color w:val="auto"/>
              </w:rPr>
            </w:pPr>
            <w:r>
              <w:rPr>
                <w:rFonts w:ascii="Arial" w:cs="Arial" w:eastAsia="Arial" w:hAnsi="Arial"/>
                <w:sz w:val="18"/>
                <w:szCs w:val="18"/>
                <w:color w:val="auto"/>
                <w:w w:val="97"/>
              </w:rPr>
              <w:t>Letter Agreement dated November 5, 2014 by and between the Company and Wayne Huyard. (Incorporated by reference to the</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Company’s Form 10-Q for the quarter ended December 31, 2014.) (1)</w:t>
            </w:r>
          </w:p>
        </w:tc>
      </w:tr>
      <w:tr>
        <w:trPr>
          <w:trHeight w:val="418"/>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10.20</w:t>
            </w:r>
          </w:p>
        </w:tc>
        <w:tc>
          <w:tcPr>
            <w:tcW w:w="10220" w:type="dxa"/>
            <w:vAlign w:val="bottom"/>
          </w:tcPr>
          <w:p>
            <w:pPr>
              <w:ind w:left="300"/>
              <w:spacing w:after="0"/>
              <w:rPr>
                <w:sz w:val="20"/>
                <w:szCs w:val="20"/>
                <w:color w:val="auto"/>
              </w:rPr>
            </w:pPr>
            <w:r>
              <w:rPr>
                <w:rFonts w:ascii="Arial" w:cs="Arial" w:eastAsia="Arial" w:hAnsi="Arial"/>
                <w:sz w:val="18"/>
                <w:szCs w:val="18"/>
                <w:color w:val="auto"/>
                <w:w w:val="95"/>
              </w:rPr>
              <w:t>Form of Amendment to Letter Agreement entered into with each of the Company’s executive officers. (Incorporated by reference to</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Exhibit 10.2 to the Company’s Form 10-Q for the quarter ended June 30, 2016.)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10.21</w:t>
            </w:r>
          </w:p>
        </w:tc>
        <w:tc>
          <w:tcPr>
            <w:tcW w:w="10220" w:type="dxa"/>
            <w:vAlign w:val="bottom"/>
          </w:tcPr>
          <w:p>
            <w:pPr>
              <w:ind w:left="300"/>
              <w:spacing w:after="0"/>
              <w:rPr>
                <w:sz w:val="20"/>
                <w:szCs w:val="20"/>
                <w:color w:val="auto"/>
              </w:rPr>
            </w:pPr>
            <w:r>
              <w:rPr>
                <w:rFonts w:ascii="Arial" w:cs="Arial" w:eastAsia="Arial" w:hAnsi="Arial"/>
                <w:sz w:val="18"/>
                <w:szCs w:val="18"/>
                <w:color w:val="auto"/>
                <w:w w:val="91"/>
              </w:rPr>
              <w:t>Fair Isaac Corporation 2012 Long-Term Incentive Plan, as amended through February 24, 2016. (Incorporated by reference to Exhibit A</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of the Company’s definitive proxy statement for the 2016 Annual Meeting of Stockholders, filed with the SEC on January 20, 2016.)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10.22</w:t>
            </w:r>
          </w:p>
        </w:tc>
        <w:tc>
          <w:tcPr>
            <w:tcW w:w="10220" w:type="dxa"/>
            <w:vAlign w:val="bottom"/>
          </w:tcPr>
          <w:p>
            <w:pPr>
              <w:ind w:left="300"/>
              <w:spacing w:after="0"/>
              <w:rPr>
                <w:sz w:val="20"/>
                <w:szCs w:val="20"/>
                <w:color w:val="auto"/>
              </w:rPr>
            </w:pPr>
            <w:r>
              <w:rPr>
                <w:rFonts w:ascii="Arial" w:cs="Arial" w:eastAsia="Arial" w:hAnsi="Arial"/>
                <w:sz w:val="18"/>
                <w:szCs w:val="18"/>
                <w:color w:val="auto"/>
                <w:w w:val="92"/>
              </w:rPr>
              <w:t>Form of Employee Non-Statutory Stock Option Agreement (U.S.) under the 2012 Long-Term Incentive Plan. (Incorporated by reference</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to Exhibit 10.2 to the Company’s Form 10-Q for the quarter ended March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10.23</w:t>
            </w:r>
          </w:p>
        </w:tc>
        <w:tc>
          <w:tcPr>
            <w:tcW w:w="10220" w:type="dxa"/>
            <w:vAlign w:val="bottom"/>
          </w:tcPr>
          <w:p>
            <w:pPr>
              <w:ind w:left="300"/>
              <w:spacing w:after="0"/>
              <w:rPr>
                <w:sz w:val="20"/>
                <w:szCs w:val="20"/>
                <w:color w:val="auto"/>
              </w:rPr>
            </w:pPr>
            <w:r>
              <w:rPr>
                <w:rFonts w:ascii="Arial" w:cs="Arial" w:eastAsia="Arial" w:hAnsi="Arial"/>
                <w:sz w:val="18"/>
                <w:szCs w:val="18"/>
                <w:color w:val="auto"/>
                <w:w w:val="91"/>
              </w:rPr>
              <w:t>Form of Employee Restricted Stock Unit Award Agreement (U.S.) under the 2012 Long-Term Incentive Plan. (Incorporated by reference</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to Exhibit 10.3 to the Company’s Form 10-Q for the quarter ended March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10.24</w:t>
            </w:r>
          </w:p>
        </w:tc>
        <w:tc>
          <w:tcPr>
            <w:tcW w:w="10220" w:type="dxa"/>
            <w:vAlign w:val="bottom"/>
          </w:tcPr>
          <w:p>
            <w:pPr>
              <w:ind w:left="300"/>
              <w:spacing w:after="0"/>
              <w:rPr>
                <w:sz w:val="20"/>
                <w:szCs w:val="20"/>
                <w:color w:val="auto"/>
              </w:rPr>
            </w:pPr>
            <w:r>
              <w:rPr>
                <w:rFonts w:ascii="Arial" w:cs="Arial" w:eastAsia="Arial" w:hAnsi="Arial"/>
                <w:sz w:val="18"/>
                <w:szCs w:val="18"/>
                <w:color w:val="auto"/>
                <w:w w:val="93"/>
              </w:rPr>
              <w:t>Form of Employee Non-Statutory Stock Option Agreement (International) under the 2012 Long-Term Incentive Plan. (Incorporated by</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reference to Exhibit 10.4 to the Company’s Form 10-Q for the quarter ended March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10.25</w:t>
            </w:r>
          </w:p>
        </w:tc>
        <w:tc>
          <w:tcPr>
            <w:tcW w:w="10220" w:type="dxa"/>
            <w:vAlign w:val="bottom"/>
          </w:tcPr>
          <w:p>
            <w:pPr>
              <w:ind w:left="300"/>
              <w:spacing w:after="0"/>
              <w:rPr>
                <w:sz w:val="20"/>
                <w:szCs w:val="20"/>
                <w:color w:val="auto"/>
              </w:rPr>
            </w:pPr>
            <w:r>
              <w:rPr>
                <w:rFonts w:ascii="Arial" w:cs="Arial" w:eastAsia="Arial" w:hAnsi="Arial"/>
                <w:sz w:val="18"/>
                <w:szCs w:val="18"/>
                <w:color w:val="auto"/>
                <w:w w:val="93"/>
              </w:rPr>
              <w:t>Form of Employee Restricted Stock Unit Award Agreement (International) under the 2012 Long-Term Incentive Plan. (Incorporated by</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reference to Exhibit 10.5 to the Company’s Form 10-Q for the quarter ended March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10.26</w:t>
            </w:r>
          </w:p>
        </w:tc>
        <w:tc>
          <w:tcPr>
            <w:tcW w:w="10220" w:type="dxa"/>
            <w:vAlign w:val="bottom"/>
          </w:tcPr>
          <w:p>
            <w:pPr>
              <w:ind w:left="300"/>
              <w:spacing w:after="0"/>
              <w:rPr>
                <w:sz w:val="20"/>
                <w:szCs w:val="20"/>
                <w:color w:val="auto"/>
              </w:rPr>
            </w:pPr>
            <w:r>
              <w:rPr>
                <w:rFonts w:ascii="Arial" w:cs="Arial" w:eastAsia="Arial" w:hAnsi="Arial"/>
                <w:sz w:val="18"/>
                <w:szCs w:val="18"/>
                <w:color w:val="auto"/>
                <w:w w:val="96"/>
              </w:rPr>
              <w:t>Form of Director Non-Statutory Stock Option Agreement under the 2012 Long-Term Incentive Plan. (Incorporated by reference to</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Exhibit 10.6 to the Company’s Form 10-Q for the quarter ended March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10.27</w:t>
            </w:r>
          </w:p>
        </w:tc>
        <w:tc>
          <w:tcPr>
            <w:tcW w:w="10220" w:type="dxa"/>
            <w:vAlign w:val="bottom"/>
          </w:tcPr>
          <w:p>
            <w:pPr>
              <w:ind w:left="300"/>
              <w:spacing w:after="0"/>
              <w:rPr>
                <w:sz w:val="20"/>
                <w:szCs w:val="20"/>
                <w:color w:val="auto"/>
              </w:rPr>
            </w:pPr>
            <w:r>
              <w:rPr>
                <w:rFonts w:ascii="Arial" w:cs="Arial" w:eastAsia="Arial" w:hAnsi="Arial"/>
                <w:sz w:val="18"/>
                <w:szCs w:val="18"/>
                <w:color w:val="auto"/>
                <w:w w:val="95"/>
              </w:rPr>
              <w:t>Form of Director Restricted Stock Unit Award Agreement under the 2012 Long-Term Incentive Plan. (Incorporated by reference to</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Exhibit 10.7 to the Company’s Form 10-Q for the quarter ended March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10.28</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Form of Performance Share Unit Award Agreement (fiscal 2012 grants) under the 2012 Long-Term Incentive Plan. (Incorporated by</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reference to Exhibit 10.8 to the Company’s Form 10-Q for the quarter ended March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10.29</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Form of Performance Share Unit Award Agreement (fiscal 2013 grants) under the 2012 Long-Term Incentive Plan. (Incorporated by</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reference to Exhibit 10.3 to the Company’s Form 10-Q for the quarter ended December 31, 2012.)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10.30</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Form of Performance Share Unit Award Agreement (fiscal 2014 grants) under the 2012 Long-Term Incentive Plan. (Incorporated by</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reference to Exhibit 10.1 to the Company’s Form 10-Q for the quarter ended December 31, 2013.)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10.31</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Form of Performance Share Unit Award Agreement (fiscal 2015 grants) under the 2012 Long-Term Incentive Plan. (Incorporated by</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reference to Exhibit 10.29 to the Company’s Form 10-K for the fiscal year ended September 30, 2015.)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10.32</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Form of Performance Share Unit Award Agreement (fiscal 2016 grants) under the 2012 Long-Term Incentive Plan. (Incorporated by</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reference to Exhibit 10.1 to the Company’s Form 10-Q for the quarter ended December 31, 2015.) (1)</w:t>
            </w:r>
          </w:p>
        </w:tc>
      </w:tr>
      <w:tr>
        <w:trPr>
          <w:trHeight w:val="377"/>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10.33</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Form of Market Share Unit Agreement (fiscal 2014 grants) under the 2012 Long-Term Incentive Plan. (Incorporated by reference to</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Exhibit 10.2 to the Company’s Form 10-Q for the quarter ended December 31, 2013.) (1)</w:t>
            </w:r>
          </w:p>
        </w:tc>
      </w:tr>
      <w:tr>
        <w:trPr>
          <w:trHeight w:val="391"/>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10.34</w:t>
            </w:r>
          </w:p>
        </w:tc>
        <w:tc>
          <w:tcPr>
            <w:tcW w:w="10220" w:type="dxa"/>
            <w:vAlign w:val="bottom"/>
          </w:tcPr>
          <w:p>
            <w:pPr>
              <w:ind w:left="300"/>
              <w:spacing w:after="0"/>
              <w:rPr>
                <w:sz w:val="20"/>
                <w:szCs w:val="20"/>
                <w:color w:val="auto"/>
              </w:rPr>
            </w:pPr>
            <w:r>
              <w:rPr>
                <w:rFonts w:ascii="Arial" w:cs="Arial" w:eastAsia="Arial" w:hAnsi="Arial"/>
                <w:sz w:val="18"/>
                <w:szCs w:val="18"/>
                <w:color w:val="auto"/>
                <w:w w:val="94"/>
              </w:rPr>
              <w:t>Form of Market Share Unit Agreement (fiscal 2015 grants) under the 2012 Long-Term Incentive Plan. (Incorporated by reference to</w:t>
            </w:r>
          </w:p>
        </w:tc>
      </w:tr>
      <w:tr>
        <w:trPr>
          <w:trHeight w:val="230"/>
        </w:trPr>
        <w:tc>
          <w:tcPr>
            <w:tcW w:w="700" w:type="dxa"/>
            <w:vAlign w:val="bottom"/>
          </w:tcPr>
          <w:p>
            <w:pPr>
              <w:spacing w:after="0"/>
              <w:rPr>
                <w:sz w:val="20"/>
                <w:szCs w:val="20"/>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Exhibit 10.31 to the Company’s Form 10-K for the fiscal year ended September 30, 2015.) (1)</w:t>
            </w:r>
          </w:p>
        </w:tc>
      </w:tr>
      <w:tr>
        <w:trPr>
          <w:trHeight w:val="486"/>
        </w:trPr>
        <w:tc>
          <w:tcPr>
            <w:tcW w:w="700" w:type="dxa"/>
            <w:vAlign w:val="bottom"/>
          </w:tcPr>
          <w:p>
            <w:pPr>
              <w:spacing w:after="0"/>
              <w:rPr>
                <w:sz w:val="24"/>
                <w:szCs w:val="24"/>
                <w:color w:val="auto"/>
              </w:rPr>
            </w:pPr>
          </w:p>
        </w:tc>
        <w:tc>
          <w:tcPr>
            <w:tcW w:w="10220" w:type="dxa"/>
            <w:vAlign w:val="bottom"/>
          </w:tcPr>
          <w:p>
            <w:pPr>
              <w:ind w:left="488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0960"/>
          </w:cols>
          <w:pgMar w:left="240" w:top="125" w:right="6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10.35</w:t>
            </w:r>
          </w:p>
        </w:tc>
        <w:tc>
          <w:tcPr>
            <w:tcW w:w="10040" w:type="dxa"/>
            <w:vAlign w:val="bottom"/>
          </w:tcPr>
          <w:p>
            <w:pPr>
              <w:ind w:left="160"/>
              <w:spacing w:after="0"/>
              <w:rPr>
                <w:sz w:val="20"/>
                <w:szCs w:val="20"/>
                <w:color w:val="auto"/>
              </w:rPr>
            </w:pPr>
            <w:r>
              <w:rPr>
                <w:rFonts w:ascii="Arial" w:cs="Arial" w:eastAsia="Arial" w:hAnsi="Arial"/>
                <w:sz w:val="18"/>
                <w:szCs w:val="18"/>
                <w:color w:val="auto"/>
                <w:w w:val="91"/>
              </w:rPr>
              <w:t>Form of Market Share Unit Award Agreement (fiscal 2016 grants) under the 2012 Long-Term Incentive Plan. (Incorporated by reference</w:t>
            </w:r>
          </w:p>
        </w:tc>
      </w:tr>
      <w:tr>
        <w:trPr>
          <w:trHeight w:val="230"/>
        </w:trPr>
        <w:tc>
          <w:tcPr>
            <w:tcW w:w="84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to Exhibit 10.2 to the Company’s Form 10-Q for the quarter ended December 31, 2015.) (1)</w:t>
            </w:r>
          </w:p>
        </w:tc>
      </w:tr>
      <w:tr>
        <w:trPr>
          <w:trHeight w:val="431"/>
        </w:trPr>
        <w:tc>
          <w:tcPr>
            <w:tcW w:w="840" w:type="dxa"/>
            <w:vAlign w:val="bottom"/>
          </w:tcPr>
          <w:p>
            <w:pPr>
              <w:spacing w:after="0"/>
              <w:rPr>
                <w:sz w:val="20"/>
                <w:szCs w:val="20"/>
                <w:color w:val="auto"/>
              </w:rPr>
            </w:pPr>
            <w:r>
              <w:rPr>
                <w:rFonts w:ascii="Arial" w:cs="Arial" w:eastAsia="Arial" w:hAnsi="Arial"/>
                <w:sz w:val="18"/>
                <w:szCs w:val="18"/>
                <w:color w:val="auto"/>
              </w:rPr>
              <w:t>10.36</w:t>
            </w:r>
          </w:p>
        </w:tc>
        <w:tc>
          <w:tcPr>
            <w:tcW w:w="10040" w:type="dxa"/>
            <w:vAlign w:val="bottom"/>
          </w:tcPr>
          <w:p>
            <w:pPr>
              <w:ind w:left="160"/>
              <w:spacing w:after="0"/>
              <w:rPr>
                <w:sz w:val="20"/>
                <w:szCs w:val="20"/>
                <w:color w:val="auto"/>
              </w:rPr>
            </w:pPr>
            <w:r>
              <w:rPr>
                <w:rFonts w:ascii="Arial" w:cs="Arial" w:eastAsia="Arial" w:hAnsi="Arial"/>
                <w:sz w:val="18"/>
                <w:szCs w:val="18"/>
                <w:color w:val="auto"/>
                <w:w w:val="94"/>
              </w:rPr>
              <w:t>Amended and Restated Credit Agreement dated December 31, 2014 among the Company, Wells Fargo Securities, LLC, U.S. Bank</w:t>
            </w:r>
          </w:p>
        </w:tc>
      </w:tr>
      <w:tr>
        <w:trPr>
          <w:trHeight w:val="216"/>
        </w:trPr>
        <w:tc>
          <w:tcPr>
            <w:tcW w:w="84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w w:val="91"/>
              </w:rPr>
              <w:t>National Association, and Wells Fargo Bank, National Association. (Incorporated by reference to Exhibit 10.1 to the Company’s Form 8-</w:t>
            </w:r>
          </w:p>
        </w:tc>
      </w:tr>
      <w:tr>
        <w:trPr>
          <w:trHeight w:val="230"/>
        </w:trPr>
        <w:tc>
          <w:tcPr>
            <w:tcW w:w="84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 filed on December 31, 2014.)</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10.37</w:t>
            </w:r>
          </w:p>
        </w:tc>
        <w:tc>
          <w:tcPr>
            <w:tcW w:w="10040" w:type="dxa"/>
            <w:vAlign w:val="bottom"/>
          </w:tcPr>
          <w:p>
            <w:pPr>
              <w:ind w:left="160"/>
              <w:spacing w:after="0"/>
              <w:rPr>
                <w:sz w:val="20"/>
                <w:szCs w:val="20"/>
                <w:color w:val="auto"/>
              </w:rPr>
            </w:pPr>
            <w:r>
              <w:rPr>
                <w:rFonts w:ascii="Arial" w:cs="Arial" w:eastAsia="Arial" w:hAnsi="Arial"/>
                <w:sz w:val="18"/>
                <w:szCs w:val="18"/>
                <w:color w:val="auto"/>
                <w:w w:val="96"/>
              </w:rPr>
              <w:t>First Amendment to Amended and Restated Credit Agreement among the Company, Wells Fargo Bank, National Association as</w:t>
            </w:r>
          </w:p>
        </w:tc>
      </w:tr>
      <w:tr>
        <w:trPr>
          <w:trHeight w:val="216"/>
        </w:trPr>
        <w:tc>
          <w:tcPr>
            <w:tcW w:w="84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w w:val="91"/>
              </w:rPr>
              <w:t>administrative agent and the lenders thereto dated as of April 16, 2015. (Incorporated by reference to the Exhibit 10.1 to the Company's</w:t>
            </w:r>
          </w:p>
        </w:tc>
      </w:tr>
      <w:tr>
        <w:trPr>
          <w:trHeight w:val="230"/>
        </w:trPr>
        <w:tc>
          <w:tcPr>
            <w:tcW w:w="84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Form 8-K filed on April 17, 2015)</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12.1*</w:t>
            </w:r>
          </w:p>
        </w:tc>
        <w:tc>
          <w:tcPr>
            <w:tcW w:w="10040" w:type="dxa"/>
            <w:vAlign w:val="bottom"/>
          </w:tcPr>
          <w:p>
            <w:pPr>
              <w:ind w:left="160"/>
              <w:spacing w:after="0"/>
              <w:rPr>
                <w:sz w:val="20"/>
                <w:szCs w:val="20"/>
                <w:color w:val="auto"/>
              </w:rPr>
            </w:pPr>
            <w:r>
              <w:rPr>
                <w:rFonts w:ascii="Arial" w:cs="Arial" w:eastAsia="Arial" w:hAnsi="Arial"/>
                <w:sz w:val="18"/>
                <w:szCs w:val="18"/>
                <w:color w:val="auto"/>
              </w:rPr>
              <w:t>Computations of ratios of earnings to fixed charges.</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21.1*</w:t>
            </w:r>
          </w:p>
        </w:tc>
        <w:tc>
          <w:tcPr>
            <w:tcW w:w="10040" w:type="dxa"/>
            <w:vAlign w:val="bottom"/>
          </w:tcPr>
          <w:p>
            <w:pPr>
              <w:ind w:left="160"/>
              <w:spacing w:after="0"/>
              <w:rPr>
                <w:sz w:val="20"/>
                <w:szCs w:val="20"/>
                <w:color w:val="auto"/>
              </w:rPr>
            </w:pPr>
            <w:r>
              <w:rPr>
                <w:rFonts w:ascii="Arial" w:cs="Arial" w:eastAsia="Arial" w:hAnsi="Arial"/>
                <w:sz w:val="18"/>
                <w:szCs w:val="18"/>
                <w:color w:val="auto"/>
              </w:rPr>
              <w:t>List of Company’s subsidiaries.</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10040" w:type="dxa"/>
            <w:vAlign w:val="bottom"/>
          </w:tcPr>
          <w:p>
            <w:pPr>
              <w:ind w:left="16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tcPr>
          <w:p>
            <w:pPr>
              <w:ind w:left="160"/>
              <w:spacing w:after="0"/>
              <w:rPr>
                <w:sz w:val="20"/>
                <w:szCs w:val="20"/>
                <w:color w:val="auto"/>
              </w:rPr>
            </w:pPr>
            <w:r>
              <w:rPr>
                <w:rFonts w:ascii="Arial" w:cs="Arial" w:eastAsia="Arial" w:hAnsi="Arial"/>
                <w:sz w:val="18"/>
                <w:szCs w:val="18"/>
                <w:color w:val="auto"/>
              </w:rPr>
              <w:t>Rule 13a-14(a)/15d-14(a) Certifications of CEO.</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tcPr>
          <w:p>
            <w:pPr>
              <w:ind w:left="160"/>
              <w:spacing w:after="0"/>
              <w:rPr>
                <w:sz w:val="20"/>
                <w:szCs w:val="20"/>
                <w:color w:val="auto"/>
              </w:rPr>
            </w:pPr>
            <w:r>
              <w:rPr>
                <w:rFonts w:ascii="Arial" w:cs="Arial" w:eastAsia="Arial" w:hAnsi="Arial"/>
                <w:sz w:val="18"/>
                <w:szCs w:val="18"/>
                <w:color w:val="auto"/>
              </w:rPr>
              <w:t>Rule 13a-14(a)/15d-14(a) Certifications of CFO.</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tcPr>
          <w:p>
            <w:pPr>
              <w:ind w:left="160"/>
              <w:spacing w:after="0"/>
              <w:rPr>
                <w:sz w:val="20"/>
                <w:szCs w:val="20"/>
                <w:color w:val="auto"/>
              </w:rPr>
            </w:pPr>
            <w:r>
              <w:rPr>
                <w:rFonts w:ascii="Arial" w:cs="Arial" w:eastAsia="Arial" w:hAnsi="Arial"/>
                <w:sz w:val="18"/>
                <w:szCs w:val="18"/>
                <w:color w:val="auto"/>
              </w:rPr>
              <w:t>Section 1350 Certification of CEO.</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040" w:type="dxa"/>
            <w:vAlign w:val="bottom"/>
          </w:tcPr>
          <w:p>
            <w:pPr>
              <w:ind w:left="160"/>
              <w:spacing w:after="0"/>
              <w:rPr>
                <w:sz w:val="20"/>
                <w:szCs w:val="20"/>
                <w:color w:val="auto"/>
              </w:rPr>
            </w:pPr>
            <w:r>
              <w:rPr>
                <w:rFonts w:ascii="Arial" w:cs="Arial" w:eastAsia="Arial" w:hAnsi="Arial"/>
                <w:sz w:val="18"/>
                <w:szCs w:val="18"/>
                <w:color w:val="auto"/>
              </w:rPr>
              <w:t>Section 1350 Certification of CFO.</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83" w:lineRule="exact"/>
        <w:rPr>
          <w:sz w:val="20"/>
          <w:szCs w:val="20"/>
          <w:color w:val="auto"/>
        </w:rPr>
      </w:pPr>
    </w:p>
    <w:p>
      <w:pPr>
        <w:ind w:left="40" w:right="6240" w:hanging="32"/>
        <w:spacing w:after="0" w:line="465" w:lineRule="auto"/>
        <w:tabs>
          <w:tab w:leader="none" w:pos="3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20"/>
          </w:cols>
          <w:pgMar w:left="240" w:top="125" w:right="7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FAIR ISAAC CORPORATION</w:t>
      </w:r>
    </w:p>
    <w:p>
      <w:pPr>
        <w:spacing w:after="0" w:line="387" w:lineRule="exact"/>
        <w:rPr>
          <w:sz w:val="20"/>
          <w:szCs w:val="20"/>
          <w:color w:val="auto"/>
        </w:rPr>
      </w:pPr>
    </w:p>
    <w:p>
      <w:pPr>
        <w:ind w:left="724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Michael J. Pung</w:t>
      </w:r>
    </w:p>
    <w:p>
      <w:pPr>
        <w:spacing w:after="0" w:line="63" w:lineRule="exact"/>
        <w:rPr>
          <w:sz w:val="20"/>
          <w:szCs w:val="20"/>
          <w:color w:val="auto"/>
        </w:rPr>
      </w:pPr>
    </w:p>
    <w:p>
      <w:pPr>
        <w:ind w:left="8660"/>
        <w:spacing w:after="0"/>
        <w:rPr>
          <w:sz w:val="20"/>
          <w:szCs w:val="20"/>
          <w:color w:val="auto"/>
        </w:rPr>
      </w:pPr>
      <w:r>
        <w:rPr>
          <w:rFonts w:ascii="Arial" w:cs="Arial" w:eastAsia="Arial" w:hAnsi="Arial"/>
          <w:sz w:val="18"/>
          <w:szCs w:val="18"/>
          <w:i w:val="1"/>
          <w:iCs w:val="1"/>
          <w:color w:val="auto"/>
        </w:rPr>
        <w:t>Executive Vice President</w:t>
      </w:r>
    </w:p>
    <w:p>
      <w:pPr>
        <w:spacing w:after="0" w:line="23" w:lineRule="exact"/>
        <w:rPr>
          <w:sz w:val="20"/>
          <w:szCs w:val="20"/>
          <w:color w:val="auto"/>
        </w:rPr>
      </w:pPr>
    </w:p>
    <w:p>
      <w:pPr>
        <w:ind w:left="8540"/>
        <w:spacing w:after="0"/>
        <w:rPr>
          <w:sz w:val="20"/>
          <w:szCs w:val="20"/>
          <w:color w:val="auto"/>
        </w:rPr>
      </w:pPr>
      <w:r>
        <w:rPr>
          <w:rFonts w:ascii="Arial" w:cs="Arial" w:eastAsia="Arial" w:hAnsi="Arial"/>
          <w:sz w:val="18"/>
          <w:szCs w:val="18"/>
          <w:i w:val="1"/>
          <w:iCs w:val="1"/>
          <w:color w:val="auto"/>
        </w:rPr>
        <w:t>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William J. Lansing</w:t>
      </w: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Michael J. Pung</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 MICHAEL S.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9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Michael S. Leonard</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A. GEORGE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 George Battle</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MARK W. BEGOR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Mark W. Begor</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GREG R. GIANFORTE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Greg R. Gianforte</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BRADEN 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Braden R. Kelly</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JAMES D. KIRSNER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James D. Kirsner</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MARC F. MCMORRIS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Marc F. McMorris</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JOANNA 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Joanna Rees</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DAVID A. 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9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David A. Rey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3"/>
              </w:rPr>
              <w:t>Chief Executive Officer</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jc w:val="center"/>
              <w:ind w:right="650"/>
              <w:spacing w:after="0"/>
              <w:rPr>
                <w:sz w:val="20"/>
                <w:szCs w:val="20"/>
                <w:color w:val="auto"/>
              </w:rPr>
            </w:pPr>
            <w:r>
              <w:rPr>
                <w:rFonts w:ascii="Arial" w:cs="Arial" w:eastAsia="Arial" w:hAnsi="Arial"/>
                <w:sz w:val="18"/>
                <w:szCs w:val="18"/>
                <w:color w:val="auto"/>
                <w:w w:val="94"/>
              </w:rPr>
              <w:t>(Principal Executive Officer)</w:t>
            </w:r>
          </w:p>
        </w:tc>
        <w:tc>
          <w:tcPr>
            <w:tcW w:w="2180" w:type="dxa"/>
            <w:vAlign w:val="bottom"/>
            <w:vMerge w:val="restart"/>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122"/>
        </w:trPr>
        <w:tc>
          <w:tcPr>
            <w:tcW w:w="2960" w:type="dxa"/>
            <w:vAlign w:val="bottom"/>
            <w:vMerge w:val="restart"/>
          </w:tcPr>
          <w:p>
            <w:pPr>
              <w:jc w:val="center"/>
              <w:ind w:right="650"/>
              <w:spacing w:after="0"/>
              <w:rPr>
                <w:sz w:val="20"/>
                <w:szCs w:val="20"/>
                <w:color w:val="auto"/>
              </w:rPr>
            </w:pPr>
            <w:r>
              <w:rPr>
                <w:rFonts w:ascii="Arial" w:cs="Arial" w:eastAsia="Arial" w:hAnsi="Arial"/>
                <w:sz w:val="18"/>
                <w:szCs w:val="18"/>
                <w:color w:val="auto"/>
                <w:w w:val="91"/>
              </w:rPr>
              <w:t>and Director</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1"/>
        </w:trPr>
        <w:tc>
          <w:tcPr>
            <w:tcW w:w="2960" w:type="dxa"/>
            <w:vAlign w:val="bottom"/>
          </w:tcPr>
          <w:p>
            <w:pPr>
              <w:jc w:val="center"/>
              <w:ind w:right="650"/>
              <w:spacing w:after="0"/>
              <w:rPr>
                <w:sz w:val="20"/>
                <w:szCs w:val="20"/>
                <w:color w:val="auto"/>
              </w:rPr>
            </w:pPr>
            <w:r>
              <w:rPr>
                <w:rFonts w:ascii="Arial" w:cs="Arial" w:eastAsia="Arial" w:hAnsi="Arial"/>
                <w:sz w:val="18"/>
                <w:szCs w:val="18"/>
                <w:color w:val="auto"/>
                <w:w w:val="89"/>
              </w:rPr>
              <w:t>Executive Vice President and</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4"/>
              </w:rPr>
              <w:t>Chief Financial Officer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230"/>
        </w:trPr>
        <w:tc>
          <w:tcPr>
            <w:tcW w:w="2960" w:type="dxa"/>
            <w:vAlign w:val="bottom"/>
          </w:tcPr>
          <w:p>
            <w:pPr>
              <w:jc w:val="center"/>
              <w:ind w:right="650"/>
              <w:spacing w:after="0"/>
              <w:rPr>
                <w:sz w:val="20"/>
                <w:szCs w:val="20"/>
                <w:color w:val="auto"/>
              </w:rPr>
            </w:pPr>
            <w:r>
              <w:rPr>
                <w:rFonts w:ascii="Arial" w:cs="Arial" w:eastAsia="Arial" w:hAnsi="Arial"/>
                <w:sz w:val="18"/>
                <w:szCs w:val="18"/>
                <w:color w:val="auto"/>
                <w:w w:val="95"/>
              </w:rPr>
              <w:t>(Principal Financial Officer)</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960" w:type="dxa"/>
            <w:vAlign w:val="bottom"/>
          </w:tcPr>
          <w:p>
            <w:pPr>
              <w:jc w:val="center"/>
              <w:ind w:right="650"/>
              <w:spacing w:after="0"/>
              <w:rPr>
                <w:sz w:val="20"/>
                <w:szCs w:val="20"/>
                <w:color w:val="auto"/>
              </w:rPr>
            </w:pPr>
            <w:r>
              <w:rPr>
                <w:rFonts w:ascii="Arial" w:cs="Arial" w:eastAsia="Arial" w:hAnsi="Arial"/>
                <w:sz w:val="18"/>
                <w:szCs w:val="18"/>
                <w:color w:val="auto"/>
                <w:w w:val="88"/>
              </w:rPr>
              <w:t>Vice President and</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4"/>
              </w:rPr>
              <w:t>Chief Accounting Officer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230"/>
        </w:trPr>
        <w:tc>
          <w:tcPr>
            <w:tcW w:w="2960" w:type="dxa"/>
            <w:vAlign w:val="bottom"/>
          </w:tcPr>
          <w:p>
            <w:pPr>
              <w:jc w:val="center"/>
              <w:ind w:right="650"/>
              <w:spacing w:after="0"/>
              <w:rPr>
                <w:sz w:val="20"/>
                <w:szCs w:val="20"/>
                <w:color w:val="auto"/>
              </w:rPr>
            </w:pPr>
            <w:r>
              <w:rPr>
                <w:rFonts w:ascii="Arial" w:cs="Arial" w:eastAsia="Arial" w:hAnsi="Arial"/>
                <w:sz w:val="18"/>
                <w:szCs w:val="18"/>
                <w:color w:val="auto"/>
                <w:w w:val="95"/>
              </w:rPr>
              <w:t>(Principal Accounting Officer)</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783"/>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783"/>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783"/>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783"/>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783"/>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783"/>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r>
        <w:trPr>
          <w:trHeight w:val="783"/>
        </w:trPr>
        <w:tc>
          <w:tcPr>
            <w:tcW w:w="296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760"/>
              <w:spacing w:after="0"/>
              <w:rPr>
                <w:sz w:val="20"/>
                <w:szCs w:val="20"/>
                <w:color w:val="auto"/>
              </w:rPr>
            </w:pPr>
            <w:r>
              <w:rPr>
                <w:rFonts w:ascii="Arial" w:cs="Arial" w:eastAsia="Arial" w:hAnsi="Arial"/>
                <w:sz w:val="18"/>
                <w:szCs w:val="18"/>
                <w:color w:val="auto"/>
                <w:w w:val="88"/>
              </w:rPr>
              <w:t>November 10, 2016</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4320" w:space="720"/>
            <w:col w:w="6380"/>
          </w:cols>
          <w:pgMar w:left="240" w:top="125"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260" w:type="dxa"/>
            <w:vAlign w:val="bottom"/>
            <w:gridSpan w:val="2"/>
          </w:tcPr>
          <w:p>
            <w:pPr>
              <w:jc w:val="center"/>
              <w:ind w:right="20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260" w:type="dxa"/>
            <w:vAlign w:val="bottom"/>
            <w:gridSpan w:val="2"/>
          </w:tcPr>
          <w:p>
            <w:pPr>
              <w:jc w:val="center"/>
              <w:ind w:right="2080"/>
              <w:spacing w:after="0"/>
              <w:rPr>
                <w:sz w:val="20"/>
                <w:szCs w:val="20"/>
                <w:color w:val="auto"/>
              </w:rPr>
            </w:pPr>
            <w:r>
              <w:rPr>
                <w:rFonts w:ascii="Arial" w:cs="Arial" w:eastAsia="Arial" w:hAnsi="Arial"/>
                <w:sz w:val="18"/>
                <w:szCs w:val="18"/>
                <w:b w:val="1"/>
                <w:bCs w:val="1"/>
                <w:color w:val="auto"/>
                <w:w w:val="92"/>
              </w:rPr>
              <w:t>To Fair Isaac Corporation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jc w:val="center"/>
              <w:ind w:left="1650"/>
              <w:spacing w:after="0"/>
              <w:rPr>
                <w:sz w:val="20"/>
                <w:szCs w:val="20"/>
                <w:color w:val="auto"/>
              </w:rPr>
            </w:pPr>
            <w:r>
              <w:rPr>
                <w:rFonts w:ascii="Arial" w:cs="Arial" w:eastAsia="Arial" w:hAnsi="Arial"/>
                <w:sz w:val="18"/>
                <w:szCs w:val="18"/>
                <w:b w:val="1"/>
                <w:bCs w:val="1"/>
                <w:color w:val="auto"/>
                <w:w w:val="91"/>
              </w:rPr>
              <w:t>Annual Report On Form 10-K For The Fiscal Year Ended September 30, 2016</w:t>
            </w:r>
          </w:p>
        </w:tc>
        <w:tc>
          <w:tcPr>
            <w:tcW w:w="0" w:type="dxa"/>
            <w:vAlign w:val="bottom"/>
          </w:tcPr>
          <w:p>
            <w:pPr>
              <w:spacing w:after="0"/>
              <w:rPr>
                <w:sz w:val="1"/>
                <w:szCs w:val="1"/>
                <w:color w:val="auto"/>
              </w:rPr>
            </w:pPr>
          </w:p>
        </w:tc>
      </w:tr>
      <w:tr>
        <w:trPr>
          <w:trHeight w:val="477"/>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0" w:type="dxa"/>
            <w:vAlign w:val="bottom"/>
          </w:tcPr>
          <w:p>
            <w:pPr>
              <w:spacing w:after="0"/>
              <w:rPr>
                <w:sz w:val="24"/>
                <w:szCs w:val="24"/>
                <w:color w:val="auto"/>
              </w:rPr>
            </w:pPr>
          </w:p>
        </w:tc>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3800" w:type="dxa"/>
            <w:vAlign w:val="bottom"/>
          </w:tcPr>
          <w:p>
            <w:pPr>
              <w:spacing w:after="0"/>
              <w:rPr>
                <w:sz w:val="13"/>
                <w:szCs w:val="13"/>
                <w:color w:val="auto"/>
              </w:rPr>
            </w:pPr>
          </w:p>
        </w:tc>
        <w:tc>
          <w:tcPr>
            <w:tcW w:w="4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3"/>
              </w:rPr>
              <w:t>Bylaws of Fair Isaac Corporation. (Incorporated by reference to Exhibit 3.1 to the Company’s Form 10-Q</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for the quarter ended December 31, 2009 (file no. 001-11689))</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4"/>
              </w:rPr>
              <w:t>Composite Restated Certificate of Incorporation of Fair Isaac Corporation.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4"/>
              </w:rPr>
              <w:t>Exhibit 3.2 to the Company’s Form 10-Q for the quarter ended December 31, 2009 (file no. 001-11689))</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0"/>
              </w:rPr>
              <w:t>Form of Note Purchase Agreement, dated May 7, 2008, between Fair Isaac Corporation and the Purchasers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3"/>
              </w:rPr>
              <w:t>listed on Schedule A thereto, which includes as Exhibits 1-4 the form of Senior Note for each of Series 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0"/>
              </w:rPr>
              <w:t>B, C and D (excluding certain schedules and exhibits thereto, which Fair Isaac Corporation agrees to furnish</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0"/>
              </w:rPr>
              <w:t>to the Securities and Exchange Commission upon request). (Incorporated by reference to Exhibit 10.1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Company's Form 10-Q for the quarter ended June 30, 2008 (file no. 001-11689))</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89"/>
              </w:rPr>
              <w:t>Form of Note Purchase Agreement, dated July 14, 2010, between Fair Isaac Corporation and the Purchasers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0"/>
              </w:rPr>
              <w:t>listed on Schedule A thereto, which includes as Exhibits 1-4 the form of Senior Note for each of Series E, 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0"/>
              </w:rPr>
              <w:t>G and H (excluding certain schedules and exhibits thereto, which Fair Isaac Corporation agrees to furnish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2"/>
              </w:rPr>
              <w:t>the Securities and Exchange Commission upon request). (Incorporated by reference to Exhibit 10.1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Company’s Form 8-K filed on July 19, 2010 (file no. 001-11689))</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3"/>
              </w:rPr>
              <w:t>Fair Isaac Corporation 1992 Long-Term Incentive Plan, as amended effective May 4, 2010.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1"/>
              </w:rPr>
              <w:t>by reference to Exhibit 10.1 to the Company’s Form 10-Q for the quarter ended June 30, 2010 (file no. 001-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11689)) (1)</w:t>
            </w:r>
          </w:p>
        </w:tc>
        <w:tc>
          <w:tcPr>
            <w:tcW w:w="7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8"/>
              </w:rPr>
              <w:t>Form of Non-Qualified Stock Option Agreement under 1992 Long-term Incentive Plan, as amended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4"/>
              </w:rPr>
              <w:t>effective July 18, 2007. (Incorporated by reference to Exhibit 10.42 to the Company’s Form 10-Q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quarter ended December 31, 2007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4"/>
              </w:rPr>
              <w:t>Form of Nonstatutory Stock Option Agreement for Initial Grants to Non-Employee Directors under 1992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3"/>
              </w:rPr>
              <w:t>Long-term Incentive Plan. (Incorporated by reference to Exhibit 10.3 to the Company’s Form 10-Q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quarter ended December 31, 2008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1"/>
              </w:rPr>
              <w:t>Form of Restricted Stock Unit Agreement under 1992 Long-term Incentive Plan, as amended effective July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3"/>
              </w:rPr>
              <w:t>18, 2007. (Incorporated by reference to Exhibit 10.49 to the Company’s Form 10-Q for the quarter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December 31, 2007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2"/>
              </w:rPr>
              <w:t>Form of Restricted Stock Agreement under 1992 Long-Term Incentive Plan. (Incorporated by reference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2"/>
              </w:rPr>
              <w:t>Exhibit 10.43 to the Company’s Form 10-K for the period ended September 30, 2006 (file no. 001-11689))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0"/>
              </w:rPr>
              <w:t>Fair, Isaac Supplemental Retirement and Savings Plan, as amended and restated effective January 1, 2009.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(Incorporated by reference to Exhibit 10.10 of the Company’s Form 10-K for the fiscal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September 30, 2008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4"/>
              </w:rPr>
              <w:t>Form of Indemnity Agreement entered into by the Company with the Company’s directors and executive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2"/>
              </w:rPr>
              <w:t>officers. (Incorporated by reference to Exhibit 10.49 to the Company’s Form 10-K for the fiscal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September 30, 2002 (file no. 001-11689)) (1)</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w w:val="91"/>
              </w:rPr>
              <w:t>Form of Management Agreement entered into with each of the Company’s executive officers.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60" w:type="dxa"/>
            <w:vAlign w:val="bottom"/>
            <w:gridSpan w:val="3"/>
          </w:tcPr>
          <w:p>
            <w:pPr>
              <w:ind w:left="260"/>
              <w:spacing w:after="0"/>
              <w:rPr>
                <w:sz w:val="20"/>
                <w:szCs w:val="20"/>
                <w:color w:val="auto"/>
              </w:rPr>
            </w:pPr>
            <w:r>
              <w:rPr>
                <w:rFonts w:ascii="Arial" w:cs="Arial" w:eastAsia="Arial" w:hAnsi="Arial"/>
                <w:sz w:val="18"/>
                <w:szCs w:val="18"/>
                <w:color w:val="auto"/>
              </w:rPr>
              <w:t>by reference to Exhibit 10.4 to the Company’s Form 8-K filed on February 10, 2012.) (1)</w:t>
            </w:r>
          </w:p>
        </w:tc>
        <w:tc>
          <w:tcPr>
            <w:tcW w:w="0" w:type="dxa"/>
            <w:vAlign w:val="bottom"/>
          </w:tcPr>
          <w:p>
            <w:pPr>
              <w:spacing w:after="0"/>
              <w:rPr>
                <w:sz w:val="1"/>
                <w:szCs w:val="1"/>
                <w:color w:val="auto"/>
              </w:rPr>
            </w:pPr>
          </w:p>
        </w:tc>
      </w:tr>
      <w:tr>
        <w:trPr>
          <w:trHeight w:val="608"/>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6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ectPr>
          <w:pgSz w:w="11900" w:h="16838" w:orient="portrait"/>
          <w:cols w:equalWidth="0" w:num="2">
            <w:col w:w="8880" w:space="600"/>
            <w:col w:w="192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10.11</w:t>
            </w: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Form of Amendment to Management Agreement entered into with certain of the Company’s executive</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officers. (Incorporated by reference to Exhibit 10.2 to the Company’s Form 10-Q for the quarter ended</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December 31, 2014)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10.12</w:t>
            </w:r>
          </w:p>
        </w:tc>
        <w:tc>
          <w:tcPr>
            <w:tcW w:w="8120" w:type="dxa"/>
            <w:vAlign w:val="bottom"/>
          </w:tcPr>
          <w:p>
            <w:pPr>
              <w:ind w:left="320"/>
              <w:spacing w:after="0"/>
              <w:rPr>
                <w:sz w:val="20"/>
                <w:szCs w:val="20"/>
                <w:color w:val="auto"/>
              </w:rPr>
            </w:pPr>
            <w:r>
              <w:rPr>
                <w:rFonts w:ascii="Arial" w:cs="Arial" w:eastAsia="Arial" w:hAnsi="Arial"/>
                <w:sz w:val="18"/>
                <w:szCs w:val="18"/>
                <w:color w:val="auto"/>
                <w:w w:val="97"/>
              </w:rPr>
              <w:t>Form of Amendment to Management Agreement entered into with each of the Company’s executive</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officers. (Incorporated by reference to Exhibit 10.1 to the Company’s Form 10-Q for the quarter ended</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June 30, 2016.)</w:t>
            </w:r>
          </w:p>
        </w:tc>
      </w:tr>
      <w:tr>
        <w:trPr>
          <w:trHeight w:val="391"/>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10.13</w:t>
            </w: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Offer Letter entered into on May 29, 2007 with Mark R. Scadina. (Incorporated by reference to Exhibit</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2"/>
              </w:rPr>
              <w:t>10.61 to the Company’s Form 10-K for the fiscal year ended September 30, 2008 (file no. 001-11689))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10.14</w:t>
            </w:r>
          </w:p>
        </w:tc>
        <w:tc>
          <w:tcPr>
            <w:tcW w:w="8120" w:type="dxa"/>
            <w:vAlign w:val="bottom"/>
          </w:tcPr>
          <w:p>
            <w:pPr>
              <w:ind w:left="320"/>
              <w:spacing w:after="0"/>
              <w:rPr>
                <w:sz w:val="20"/>
                <w:szCs w:val="20"/>
                <w:color w:val="auto"/>
              </w:rPr>
            </w:pPr>
            <w:r>
              <w:rPr>
                <w:rFonts w:ascii="Arial" w:cs="Arial" w:eastAsia="Arial" w:hAnsi="Arial"/>
                <w:sz w:val="18"/>
                <w:szCs w:val="18"/>
                <w:color w:val="auto"/>
              </w:rPr>
              <w:t>Letter Agreement dated January 24, 2012 by and between the Company and William J. Lansing.</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7"/>
              </w:rPr>
              <w:t>(Incorporated by reference to Exhibit 10.2 to the Company’s Form 8-K filed on January 26, 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10.15</w:t>
            </w:r>
          </w:p>
        </w:tc>
        <w:tc>
          <w:tcPr>
            <w:tcW w:w="8120" w:type="dxa"/>
            <w:vAlign w:val="bottom"/>
          </w:tcPr>
          <w:p>
            <w:pPr>
              <w:ind w:left="320"/>
              <w:spacing w:after="0"/>
              <w:rPr>
                <w:sz w:val="20"/>
                <w:szCs w:val="20"/>
                <w:color w:val="auto"/>
              </w:rPr>
            </w:pPr>
            <w:r>
              <w:rPr>
                <w:rFonts w:ascii="Arial" w:cs="Arial" w:eastAsia="Arial" w:hAnsi="Arial"/>
                <w:sz w:val="18"/>
                <w:szCs w:val="18"/>
                <w:color w:val="auto"/>
                <w:w w:val="92"/>
              </w:rPr>
              <w:t>Letter Agreement dated February 6, 2012 by and between the Company and Michael Pung. (Incorporated</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by reference to Exhibit 10.1 to the Company’s Form 8-K filed on February 10, 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10.16</w:t>
            </w:r>
          </w:p>
        </w:tc>
        <w:tc>
          <w:tcPr>
            <w:tcW w:w="8120" w:type="dxa"/>
            <w:vAlign w:val="bottom"/>
          </w:tcPr>
          <w:p>
            <w:pPr>
              <w:ind w:left="320"/>
              <w:spacing w:after="0"/>
              <w:rPr>
                <w:sz w:val="20"/>
                <w:szCs w:val="20"/>
                <w:color w:val="auto"/>
              </w:rPr>
            </w:pPr>
            <w:r>
              <w:rPr>
                <w:rFonts w:ascii="Arial" w:cs="Arial" w:eastAsia="Arial" w:hAnsi="Arial"/>
                <w:sz w:val="18"/>
                <w:szCs w:val="18"/>
                <w:color w:val="auto"/>
                <w:w w:val="92"/>
              </w:rPr>
              <w:t>Letter Agreement dated February 6, 2012 by and between the Company and Mark Scadina. (Incorporated</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by reference to Exhibit 10.3 to the Company’s Form 8-K filed on February 10, 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10.17</w:t>
            </w:r>
          </w:p>
        </w:tc>
        <w:tc>
          <w:tcPr>
            <w:tcW w:w="8120" w:type="dxa"/>
            <w:vAlign w:val="bottom"/>
          </w:tcPr>
          <w:p>
            <w:pPr>
              <w:ind w:left="320"/>
              <w:spacing w:after="0"/>
              <w:rPr>
                <w:sz w:val="20"/>
                <w:szCs w:val="20"/>
                <w:color w:val="auto"/>
              </w:rPr>
            </w:pPr>
            <w:r>
              <w:rPr>
                <w:rFonts w:ascii="Arial" w:cs="Arial" w:eastAsia="Arial" w:hAnsi="Arial"/>
                <w:sz w:val="18"/>
                <w:szCs w:val="18"/>
                <w:color w:val="auto"/>
              </w:rPr>
              <w:t>Letter Agreement dated March 7, 2012 by and between the Company and James M. Wehmann.</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0"/>
              </w:rPr>
              <w:t>(Incorporated by reference to Exhibit 10.1 to the Company’s Form 10-Q for the quarter ended December 31,</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10.18</w:t>
            </w:r>
          </w:p>
        </w:tc>
        <w:tc>
          <w:tcPr>
            <w:tcW w:w="8120" w:type="dxa"/>
            <w:vAlign w:val="bottom"/>
          </w:tcPr>
          <w:p>
            <w:pPr>
              <w:ind w:left="320"/>
              <w:spacing w:after="0"/>
              <w:rPr>
                <w:sz w:val="20"/>
                <w:szCs w:val="20"/>
                <w:color w:val="auto"/>
              </w:rPr>
            </w:pPr>
            <w:r>
              <w:rPr>
                <w:rFonts w:ascii="Arial" w:cs="Arial" w:eastAsia="Arial" w:hAnsi="Arial"/>
                <w:sz w:val="18"/>
                <w:szCs w:val="18"/>
                <w:color w:val="auto"/>
                <w:w w:val="91"/>
              </w:rPr>
              <w:t>Letter Agreement dated April 24, 2012 by and between the Company and Stuart C. Wells. (Incorporated by</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reference to Exhibit 10.2 to the Company’s Form 10-Q for the quarter ended December 31, 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10.19</w:t>
            </w:r>
          </w:p>
        </w:tc>
        <w:tc>
          <w:tcPr>
            <w:tcW w:w="8120" w:type="dxa"/>
            <w:vAlign w:val="bottom"/>
          </w:tcPr>
          <w:p>
            <w:pPr>
              <w:ind w:left="320"/>
              <w:spacing w:after="0"/>
              <w:rPr>
                <w:sz w:val="20"/>
                <w:szCs w:val="20"/>
                <w:color w:val="auto"/>
              </w:rPr>
            </w:pPr>
            <w:r>
              <w:rPr>
                <w:rFonts w:ascii="Arial" w:cs="Arial" w:eastAsia="Arial" w:hAnsi="Arial"/>
                <w:sz w:val="18"/>
                <w:szCs w:val="18"/>
                <w:color w:val="auto"/>
                <w:w w:val="90"/>
              </w:rPr>
              <w:t>Letter Agreement dated November 5, 2014 by and between the Company and Wayne Huyard. (Incorporated</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by reference to the Company’s Form 10-Q for the quarter ended December 31, 2014.)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10.20</w:t>
            </w: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Form of Amendment to Letter Agreement entered into with each of the Company’s executive officers.</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5"/>
              </w:rPr>
              <w:t>(Incorporated by reference to Exhibit 10.2 to the Company’s Form 10-Q for the quarter ended June 30,</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2016.)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10.21</w:t>
            </w:r>
          </w:p>
        </w:tc>
        <w:tc>
          <w:tcPr>
            <w:tcW w:w="8120" w:type="dxa"/>
            <w:vAlign w:val="bottom"/>
          </w:tcPr>
          <w:p>
            <w:pPr>
              <w:ind w:left="320"/>
              <w:spacing w:after="0"/>
              <w:rPr>
                <w:sz w:val="20"/>
                <w:szCs w:val="20"/>
                <w:color w:val="auto"/>
              </w:rPr>
            </w:pPr>
            <w:r>
              <w:rPr>
                <w:rFonts w:ascii="Arial" w:cs="Arial" w:eastAsia="Arial" w:hAnsi="Arial"/>
                <w:sz w:val="18"/>
                <w:szCs w:val="18"/>
                <w:color w:val="auto"/>
              </w:rPr>
              <w:t>Fair Isaac Corporation 2012 Long-Term Incentive Plan, as amended through February 24, 2016.</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4"/>
              </w:rPr>
              <w:t>(Incorporated by reference to Exhibit A of the Company’s definitive proxy statement for the 2016 Annual</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Meeting of Stockholders, filed with the SEC on January 20, 2016.)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10.22</w:t>
            </w:r>
          </w:p>
        </w:tc>
        <w:tc>
          <w:tcPr>
            <w:tcW w:w="8120" w:type="dxa"/>
            <w:vAlign w:val="bottom"/>
          </w:tcPr>
          <w:p>
            <w:pPr>
              <w:ind w:left="320"/>
              <w:spacing w:after="0"/>
              <w:rPr>
                <w:sz w:val="20"/>
                <w:szCs w:val="20"/>
                <w:color w:val="auto"/>
              </w:rPr>
            </w:pPr>
            <w:r>
              <w:rPr>
                <w:rFonts w:ascii="Arial" w:cs="Arial" w:eastAsia="Arial" w:hAnsi="Arial"/>
                <w:sz w:val="18"/>
                <w:szCs w:val="18"/>
                <w:color w:val="auto"/>
                <w:w w:val="95"/>
              </w:rPr>
              <w:t>Form of Employee Non-Statutory Stock Option Agreement (U.S.) under the 2012 Long-Term Incentive</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2"/>
              </w:rPr>
              <w:t>Plan. (Incorporated by reference to Exhibit 10.2 to the Company’s Form 10-Q for the quarter ended March</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31, 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10.23</w:t>
            </w:r>
          </w:p>
        </w:tc>
        <w:tc>
          <w:tcPr>
            <w:tcW w:w="8120" w:type="dxa"/>
            <w:vAlign w:val="bottom"/>
          </w:tcPr>
          <w:p>
            <w:pPr>
              <w:ind w:left="320"/>
              <w:spacing w:after="0"/>
              <w:rPr>
                <w:sz w:val="20"/>
                <w:szCs w:val="20"/>
                <w:color w:val="auto"/>
              </w:rPr>
            </w:pPr>
            <w:r>
              <w:rPr>
                <w:rFonts w:ascii="Arial" w:cs="Arial" w:eastAsia="Arial" w:hAnsi="Arial"/>
                <w:sz w:val="18"/>
                <w:szCs w:val="18"/>
                <w:color w:val="auto"/>
                <w:w w:val="95"/>
              </w:rPr>
              <w:t>Form of Employee Restricted Stock Unit Award Agreement (U.S.) under the 2012 Long-Term Incentive</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2"/>
              </w:rPr>
              <w:t>Plan. (Incorporated by reference to Exhibit 10.3 to the Company’s Form 10-Q for the quarter ended March</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31, 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10.24</w:t>
            </w:r>
          </w:p>
        </w:tc>
        <w:tc>
          <w:tcPr>
            <w:tcW w:w="8120" w:type="dxa"/>
            <w:vAlign w:val="bottom"/>
          </w:tcPr>
          <w:p>
            <w:pPr>
              <w:ind w:left="320"/>
              <w:spacing w:after="0"/>
              <w:rPr>
                <w:sz w:val="20"/>
                <w:szCs w:val="20"/>
                <w:color w:val="auto"/>
              </w:rPr>
            </w:pPr>
            <w:r>
              <w:rPr>
                <w:rFonts w:ascii="Arial" w:cs="Arial" w:eastAsia="Arial" w:hAnsi="Arial"/>
                <w:sz w:val="18"/>
                <w:szCs w:val="18"/>
                <w:color w:val="auto"/>
                <w:w w:val="97"/>
              </w:rPr>
              <w:t>Form of Employee Non-Statutory Stock Option Agreement (International) under the 2012 Long-Term</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Incentive Plan. (Incorporated by reference to Exhibit 10.4 to the Company’s Form 10-Q for the quarter</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ended March 31, 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10.25</w:t>
            </w: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Form of Employee Restricted Stock Unit Award Agreement (International) under the 2012 Long-Term</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6"/>
              </w:rPr>
              <w:t>Incentive Plan. (Incorporated by reference to Exhibit 10.5 to the Company’s Form 10-Q for the quarter</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ended March 31, 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10.26</w:t>
            </w:r>
          </w:p>
        </w:tc>
        <w:tc>
          <w:tcPr>
            <w:tcW w:w="8120" w:type="dxa"/>
            <w:vAlign w:val="bottom"/>
          </w:tcPr>
          <w:p>
            <w:pPr>
              <w:ind w:left="320"/>
              <w:spacing w:after="0"/>
              <w:rPr>
                <w:sz w:val="20"/>
                <w:szCs w:val="20"/>
                <w:color w:val="auto"/>
              </w:rPr>
            </w:pPr>
            <w:r>
              <w:rPr>
                <w:rFonts w:ascii="Arial" w:cs="Arial" w:eastAsia="Arial" w:hAnsi="Arial"/>
                <w:sz w:val="18"/>
                <w:szCs w:val="18"/>
                <w:color w:val="auto"/>
                <w:w w:val="98"/>
              </w:rPr>
              <w:t>Form of Director Non-Statutory Stock Option Agreement under the 2012 Long-Term Incentive Plan.</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4"/>
              </w:rPr>
              <w:t>(Incorporated by reference to Exhibit 10.6 to the Company’s Form 10-Q for the quarter ended March 31,</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2012.) (1)</w:t>
            </w:r>
          </w:p>
        </w:tc>
      </w:tr>
      <w:tr>
        <w:trPr>
          <w:trHeight w:val="37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10.27</w:t>
            </w:r>
          </w:p>
        </w:tc>
        <w:tc>
          <w:tcPr>
            <w:tcW w:w="8120" w:type="dxa"/>
            <w:vAlign w:val="bottom"/>
          </w:tcPr>
          <w:p>
            <w:pPr>
              <w:ind w:left="320"/>
              <w:spacing w:after="0"/>
              <w:rPr>
                <w:sz w:val="20"/>
                <w:szCs w:val="20"/>
                <w:color w:val="auto"/>
              </w:rPr>
            </w:pPr>
            <w:r>
              <w:rPr>
                <w:rFonts w:ascii="Arial" w:cs="Arial" w:eastAsia="Arial" w:hAnsi="Arial"/>
                <w:sz w:val="18"/>
                <w:szCs w:val="18"/>
                <w:color w:val="auto"/>
                <w:w w:val="97"/>
              </w:rPr>
              <w:t>Form of Director Restricted Stock Unit Award Agreement under the 2012 Long-Term Incentive Plan.</w:t>
            </w:r>
          </w:p>
        </w:tc>
      </w:tr>
      <w:tr>
        <w:trPr>
          <w:trHeight w:val="216"/>
        </w:trPr>
        <w:tc>
          <w:tcPr>
            <w:tcW w:w="7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w w:val="94"/>
              </w:rPr>
              <w:t>(Incorporated by reference to Exhibit 10.7 to the Company’s Form 10-Q for the quarter ended March 31,</w:t>
            </w:r>
          </w:p>
        </w:tc>
      </w:tr>
      <w:tr>
        <w:trPr>
          <w:trHeight w:val="230"/>
        </w:trPr>
        <w:tc>
          <w:tcPr>
            <w:tcW w:w="720" w:type="dxa"/>
            <w:vAlign w:val="bottom"/>
          </w:tcPr>
          <w:p>
            <w:pPr>
              <w:spacing w:after="0"/>
              <w:rPr>
                <w:sz w:val="20"/>
                <w:szCs w:val="20"/>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2012.) (1)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678" w:lineRule="exact"/>
        <w:rPr>
          <w:sz w:val="20"/>
          <w:szCs w:val="20"/>
          <w:color w:val="auto"/>
        </w:rPr>
      </w:pPr>
    </w:p>
    <w:p>
      <w:pPr>
        <w:sectPr>
          <w:pgSz w:w="11900" w:h="16838" w:orient="portrait"/>
          <w:cols w:equalWidth="0" w:num="2">
            <w:col w:w="8880" w:space="600"/>
            <w:col w:w="1920"/>
          </w:cols>
          <w:pgMar w:left="240" w:top="125"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125"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10.28</w:t>
            </w:r>
          </w:p>
        </w:tc>
        <w:tc>
          <w:tcPr>
            <w:tcW w:w="7980" w:type="dxa"/>
            <w:vAlign w:val="bottom"/>
          </w:tcPr>
          <w:p>
            <w:pPr>
              <w:ind w:left="180"/>
              <w:spacing w:after="0"/>
              <w:rPr>
                <w:sz w:val="20"/>
                <w:szCs w:val="20"/>
                <w:color w:val="auto"/>
              </w:rPr>
            </w:pPr>
            <w:r>
              <w:rPr>
                <w:rFonts w:ascii="Arial" w:cs="Arial" w:eastAsia="Arial" w:hAnsi="Arial"/>
                <w:sz w:val="18"/>
                <w:szCs w:val="18"/>
                <w:color w:val="auto"/>
                <w:w w:val="98"/>
              </w:rPr>
              <w:t>Form of Performance Share Unit Award Agreement (fiscal 2012 grants) under the 2012 Long-Term</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w w:val="96"/>
              </w:rPr>
              <w:t>Incentive Plan. (Incorporated by reference to Exhibit 10.8 to the Company’s Form 10-Q for the quarter</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ended March 31, 2012.) (1)</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10.29</w:t>
            </w:r>
          </w:p>
        </w:tc>
        <w:tc>
          <w:tcPr>
            <w:tcW w:w="7980" w:type="dxa"/>
            <w:vAlign w:val="bottom"/>
          </w:tcPr>
          <w:p>
            <w:pPr>
              <w:ind w:left="180"/>
              <w:spacing w:after="0"/>
              <w:rPr>
                <w:sz w:val="20"/>
                <w:szCs w:val="20"/>
                <w:color w:val="auto"/>
              </w:rPr>
            </w:pPr>
            <w:r>
              <w:rPr>
                <w:rFonts w:ascii="Arial" w:cs="Arial" w:eastAsia="Arial" w:hAnsi="Arial"/>
                <w:sz w:val="18"/>
                <w:szCs w:val="18"/>
                <w:color w:val="auto"/>
                <w:w w:val="98"/>
              </w:rPr>
              <w:t>Form of Performance Share Unit Award Agreement (fiscal 2013 grants) under the 2012 Long-Term</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w w:val="96"/>
              </w:rPr>
              <w:t>Incentive Plan. (Incorporated by reference to Exhibit 10.3 to the Company’s Form 10-Q for the quarter</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ended December 31, 2012.) (1)</w:t>
            </w:r>
          </w:p>
        </w:tc>
      </w:tr>
      <w:tr>
        <w:trPr>
          <w:trHeight w:val="391"/>
        </w:trPr>
        <w:tc>
          <w:tcPr>
            <w:tcW w:w="860" w:type="dxa"/>
            <w:vAlign w:val="bottom"/>
          </w:tcPr>
          <w:p>
            <w:pPr>
              <w:spacing w:after="0"/>
              <w:rPr>
                <w:sz w:val="20"/>
                <w:szCs w:val="20"/>
                <w:color w:val="auto"/>
              </w:rPr>
            </w:pPr>
            <w:r>
              <w:rPr>
                <w:rFonts w:ascii="Arial" w:cs="Arial" w:eastAsia="Arial" w:hAnsi="Arial"/>
                <w:sz w:val="18"/>
                <w:szCs w:val="18"/>
                <w:color w:val="auto"/>
              </w:rPr>
              <w:t>10.30</w:t>
            </w:r>
          </w:p>
        </w:tc>
        <w:tc>
          <w:tcPr>
            <w:tcW w:w="7980" w:type="dxa"/>
            <w:vAlign w:val="bottom"/>
          </w:tcPr>
          <w:p>
            <w:pPr>
              <w:ind w:left="180"/>
              <w:spacing w:after="0"/>
              <w:rPr>
                <w:sz w:val="20"/>
                <w:szCs w:val="20"/>
                <w:color w:val="auto"/>
              </w:rPr>
            </w:pPr>
            <w:r>
              <w:rPr>
                <w:rFonts w:ascii="Arial" w:cs="Arial" w:eastAsia="Arial" w:hAnsi="Arial"/>
                <w:sz w:val="18"/>
                <w:szCs w:val="18"/>
                <w:color w:val="auto"/>
                <w:w w:val="98"/>
              </w:rPr>
              <w:t>Form of Performance Share Unit Award Agreement (fiscal 2014 grants) under the 2012 Long-Term</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w w:val="96"/>
              </w:rPr>
              <w:t>Incentive Plan. (Incorporated by reference to Exhibit 10.1 to the Company’s Form 10-Q for the quarter</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ended December 31, 2013.) (1)</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10.31</w:t>
            </w:r>
          </w:p>
        </w:tc>
        <w:tc>
          <w:tcPr>
            <w:tcW w:w="7980" w:type="dxa"/>
            <w:vAlign w:val="bottom"/>
          </w:tcPr>
          <w:p>
            <w:pPr>
              <w:ind w:left="180"/>
              <w:spacing w:after="0"/>
              <w:rPr>
                <w:sz w:val="20"/>
                <w:szCs w:val="20"/>
                <w:color w:val="auto"/>
              </w:rPr>
            </w:pPr>
            <w:r>
              <w:rPr>
                <w:rFonts w:ascii="Arial" w:cs="Arial" w:eastAsia="Arial" w:hAnsi="Arial"/>
                <w:sz w:val="18"/>
                <w:szCs w:val="18"/>
                <w:color w:val="auto"/>
                <w:w w:val="98"/>
              </w:rPr>
              <w:t>Form of Performance Share Unit Award Agreement (fiscal 2015 grants) under the 2012 Long-Term</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w w:val="92"/>
              </w:rPr>
              <w:t>Incentive Plan. (Incorporated by reference to Exhibit 10.29 to the Company’s Form 10-K for the fiscal year</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ended September 30, 2015.) (1)</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10.32</w:t>
            </w:r>
          </w:p>
        </w:tc>
        <w:tc>
          <w:tcPr>
            <w:tcW w:w="7980" w:type="dxa"/>
            <w:vAlign w:val="bottom"/>
          </w:tcPr>
          <w:p>
            <w:pPr>
              <w:ind w:left="180"/>
              <w:spacing w:after="0"/>
              <w:rPr>
                <w:sz w:val="20"/>
                <w:szCs w:val="20"/>
                <w:color w:val="auto"/>
              </w:rPr>
            </w:pPr>
            <w:r>
              <w:rPr>
                <w:rFonts w:ascii="Arial" w:cs="Arial" w:eastAsia="Arial" w:hAnsi="Arial"/>
                <w:sz w:val="18"/>
                <w:szCs w:val="18"/>
                <w:color w:val="auto"/>
                <w:w w:val="98"/>
              </w:rPr>
              <w:t>Form of Performance Share Unit Award Agreement (fiscal 2016 grants) under the 2012 Long-Term</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w w:val="96"/>
              </w:rPr>
              <w:t>Incentive Plan. (Incorporated by reference to Exhibit 10.1 to the Company’s Form 10-Q for the quarter</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ended December 31, 2015.) (1)</w:t>
            </w:r>
          </w:p>
        </w:tc>
      </w:tr>
      <w:tr>
        <w:trPr>
          <w:trHeight w:val="391"/>
        </w:trPr>
        <w:tc>
          <w:tcPr>
            <w:tcW w:w="860" w:type="dxa"/>
            <w:vAlign w:val="bottom"/>
          </w:tcPr>
          <w:p>
            <w:pPr>
              <w:spacing w:after="0"/>
              <w:rPr>
                <w:sz w:val="20"/>
                <w:szCs w:val="20"/>
                <w:color w:val="auto"/>
              </w:rPr>
            </w:pPr>
            <w:r>
              <w:rPr>
                <w:rFonts w:ascii="Arial" w:cs="Arial" w:eastAsia="Arial" w:hAnsi="Arial"/>
                <w:sz w:val="18"/>
                <w:szCs w:val="18"/>
                <w:color w:val="auto"/>
              </w:rPr>
              <w:t>10.33</w:t>
            </w:r>
          </w:p>
        </w:tc>
        <w:tc>
          <w:tcPr>
            <w:tcW w:w="7980" w:type="dxa"/>
            <w:vAlign w:val="bottom"/>
          </w:tcPr>
          <w:p>
            <w:pPr>
              <w:ind w:left="180"/>
              <w:spacing w:after="0"/>
              <w:rPr>
                <w:sz w:val="20"/>
                <w:szCs w:val="20"/>
                <w:color w:val="auto"/>
              </w:rPr>
            </w:pPr>
            <w:r>
              <w:rPr>
                <w:rFonts w:ascii="Arial" w:cs="Arial" w:eastAsia="Arial" w:hAnsi="Arial"/>
                <w:sz w:val="18"/>
                <w:szCs w:val="18"/>
                <w:color w:val="auto"/>
                <w:w w:val="96"/>
              </w:rPr>
              <w:t>Form of Market Share Unit Agreement (fiscal 2014 grants) under the 2012 Long-Term Incentive Plan.</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w w:val="90"/>
              </w:rPr>
              <w:t>(Incorporated by reference to Exhibit 10.2 to the Company’s Form 10-Q for the quarter ended December 31,</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2013.) (1)</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10.34</w:t>
            </w:r>
          </w:p>
        </w:tc>
        <w:tc>
          <w:tcPr>
            <w:tcW w:w="7980" w:type="dxa"/>
            <w:vAlign w:val="bottom"/>
          </w:tcPr>
          <w:p>
            <w:pPr>
              <w:ind w:left="180"/>
              <w:spacing w:after="0"/>
              <w:rPr>
                <w:sz w:val="20"/>
                <w:szCs w:val="20"/>
                <w:color w:val="auto"/>
              </w:rPr>
            </w:pPr>
            <w:r>
              <w:rPr>
                <w:rFonts w:ascii="Arial" w:cs="Arial" w:eastAsia="Arial" w:hAnsi="Arial"/>
                <w:sz w:val="18"/>
                <w:szCs w:val="18"/>
                <w:color w:val="auto"/>
                <w:w w:val="96"/>
              </w:rPr>
              <w:t>Form of Market Share Unit Agreement (fiscal 2015 grants) under the 2012 Long-Term Incentive Plan.</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10.31 to the Company’s Form 10-K for the fiscal year ended</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September 30, 2015.) (1)</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10.35</w:t>
            </w:r>
          </w:p>
        </w:tc>
        <w:tc>
          <w:tcPr>
            <w:tcW w:w="7980" w:type="dxa"/>
            <w:vAlign w:val="bottom"/>
          </w:tcPr>
          <w:p>
            <w:pPr>
              <w:ind w:left="180"/>
              <w:spacing w:after="0"/>
              <w:rPr>
                <w:sz w:val="20"/>
                <w:szCs w:val="20"/>
                <w:color w:val="auto"/>
              </w:rPr>
            </w:pPr>
            <w:r>
              <w:rPr>
                <w:rFonts w:ascii="Arial" w:cs="Arial" w:eastAsia="Arial" w:hAnsi="Arial"/>
                <w:sz w:val="18"/>
                <w:szCs w:val="18"/>
                <w:color w:val="auto"/>
                <w:w w:val="95"/>
              </w:rPr>
              <w:t>Form of Market Share Unit Award Agreement (fiscal 2016 grants) under the 2012 Long-Term Incentive</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w w:val="98"/>
              </w:rPr>
              <w:t>Plan. (Incorporated by reference to Exhibit 10.2 to the Company’s Form 10-Q for the quarter ended</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December 31, 2015.) (1)</w:t>
            </w:r>
          </w:p>
        </w:tc>
      </w:tr>
      <w:tr>
        <w:trPr>
          <w:trHeight w:val="391"/>
        </w:trPr>
        <w:tc>
          <w:tcPr>
            <w:tcW w:w="860" w:type="dxa"/>
            <w:vAlign w:val="bottom"/>
          </w:tcPr>
          <w:p>
            <w:pPr>
              <w:spacing w:after="0"/>
              <w:rPr>
                <w:sz w:val="20"/>
                <w:szCs w:val="20"/>
                <w:color w:val="auto"/>
              </w:rPr>
            </w:pPr>
            <w:r>
              <w:rPr>
                <w:rFonts w:ascii="Arial" w:cs="Arial" w:eastAsia="Arial" w:hAnsi="Arial"/>
                <w:sz w:val="18"/>
                <w:szCs w:val="18"/>
                <w:color w:val="auto"/>
              </w:rPr>
              <w:t>10.36</w:t>
            </w:r>
          </w:p>
        </w:tc>
        <w:tc>
          <w:tcPr>
            <w:tcW w:w="7980" w:type="dxa"/>
            <w:vAlign w:val="bottom"/>
          </w:tcPr>
          <w:p>
            <w:pPr>
              <w:ind w:left="180"/>
              <w:spacing w:after="0"/>
              <w:rPr>
                <w:sz w:val="20"/>
                <w:szCs w:val="20"/>
                <w:color w:val="auto"/>
              </w:rPr>
            </w:pPr>
            <w:r>
              <w:rPr>
                <w:rFonts w:ascii="Arial" w:cs="Arial" w:eastAsia="Arial" w:hAnsi="Arial"/>
                <w:sz w:val="18"/>
                <w:szCs w:val="18"/>
                <w:color w:val="auto"/>
                <w:w w:val="94"/>
              </w:rPr>
              <w:t>Amended and Restated Credit Agreement dated December 31, 2014 among the Company, Wells Fargo</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Securities, LLC, U.S. Bank National Association, and Wells Fargo Bank, National Association.</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w w:val="98"/>
              </w:rPr>
              <w:t>(Incorporated by reference to Exhibit 10.1 to the Company’s Form 8-K filed on December 31, 2014.)</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10.37</w:t>
            </w:r>
          </w:p>
        </w:tc>
        <w:tc>
          <w:tcPr>
            <w:tcW w:w="7980" w:type="dxa"/>
            <w:vAlign w:val="bottom"/>
          </w:tcPr>
          <w:p>
            <w:pPr>
              <w:ind w:left="180"/>
              <w:spacing w:after="0"/>
              <w:rPr>
                <w:sz w:val="20"/>
                <w:szCs w:val="20"/>
                <w:color w:val="auto"/>
              </w:rPr>
            </w:pPr>
            <w:r>
              <w:rPr>
                <w:rFonts w:ascii="Arial" w:cs="Arial" w:eastAsia="Arial" w:hAnsi="Arial"/>
                <w:sz w:val="18"/>
                <w:szCs w:val="18"/>
                <w:color w:val="auto"/>
                <w:w w:val="94"/>
              </w:rPr>
              <w:t>First Amendment to Amended and Restated Credit Agreement among the Company, Wells Fargo Bank,</w:t>
            </w:r>
          </w:p>
        </w:tc>
      </w:tr>
      <w:tr>
        <w:trPr>
          <w:trHeight w:val="216"/>
        </w:trPr>
        <w:tc>
          <w:tcPr>
            <w:tcW w:w="86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National Association as administrative agent and the lenders thereto dated as of April 16, 2015.</w:t>
            </w:r>
          </w:p>
        </w:tc>
      </w:tr>
      <w:tr>
        <w:trPr>
          <w:trHeight w:val="230"/>
        </w:trPr>
        <w:tc>
          <w:tcPr>
            <w:tcW w:w="86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(Incorporated by reference to the Exhibit 10.1 to the Company's Form 8-K filed on April 17, 2015)</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12.1</w:t>
            </w:r>
          </w:p>
        </w:tc>
        <w:tc>
          <w:tcPr>
            <w:tcW w:w="7980" w:type="dxa"/>
            <w:vAlign w:val="bottom"/>
          </w:tcPr>
          <w:p>
            <w:pPr>
              <w:ind w:left="180"/>
              <w:spacing w:after="0"/>
              <w:rPr>
                <w:sz w:val="20"/>
                <w:szCs w:val="20"/>
                <w:color w:val="auto"/>
              </w:rPr>
            </w:pPr>
            <w:r>
              <w:rPr>
                <w:rFonts w:ascii="Arial" w:cs="Arial" w:eastAsia="Arial" w:hAnsi="Arial"/>
                <w:sz w:val="18"/>
                <w:szCs w:val="18"/>
                <w:color w:val="auto"/>
              </w:rPr>
              <w:t>Computations of ratios of earnings to fixed charges.</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7980" w:type="dxa"/>
            <w:vAlign w:val="bottom"/>
          </w:tcPr>
          <w:p>
            <w:pPr>
              <w:ind w:left="180"/>
              <w:spacing w:after="0"/>
              <w:rPr>
                <w:sz w:val="20"/>
                <w:szCs w:val="20"/>
                <w:color w:val="auto"/>
              </w:rPr>
            </w:pPr>
            <w:r>
              <w:rPr>
                <w:rFonts w:ascii="Arial" w:cs="Arial" w:eastAsia="Arial" w:hAnsi="Arial"/>
                <w:sz w:val="18"/>
                <w:szCs w:val="18"/>
                <w:color w:val="auto"/>
              </w:rPr>
              <w:t>List of Company’s subsidiaries.</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7980" w:type="dxa"/>
            <w:vAlign w:val="bottom"/>
          </w:tcPr>
          <w:p>
            <w:pPr>
              <w:ind w:left="18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7980" w:type="dxa"/>
            <w:vAlign w:val="bottom"/>
          </w:tcPr>
          <w:p>
            <w:pPr>
              <w:ind w:left="180"/>
              <w:spacing w:after="0"/>
              <w:rPr>
                <w:sz w:val="20"/>
                <w:szCs w:val="20"/>
                <w:color w:val="auto"/>
              </w:rPr>
            </w:pPr>
            <w:r>
              <w:rPr>
                <w:rFonts w:ascii="Arial" w:cs="Arial" w:eastAsia="Arial" w:hAnsi="Arial"/>
                <w:sz w:val="18"/>
                <w:szCs w:val="18"/>
                <w:color w:val="auto"/>
              </w:rPr>
              <w:t>Rule 13a-14(a)/15d-14(a) Certifications of CEO.</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7980" w:type="dxa"/>
            <w:vAlign w:val="bottom"/>
          </w:tcPr>
          <w:p>
            <w:pPr>
              <w:ind w:left="180"/>
              <w:spacing w:after="0"/>
              <w:rPr>
                <w:sz w:val="20"/>
                <w:szCs w:val="20"/>
                <w:color w:val="auto"/>
              </w:rPr>
            </w:pPr>
            <w:r>
              <w:rPr>
                <w:rFonts w:ascii="Arial" w:cs="Arial" w:eastAsia="Arial" w:hAnsi="Arial"/>
                <w:sz w:val="18"/>
                <w:szCs w:val="18"/>
                <w:color w:val="auto"/>
              </w:rPr>
              <w:t>Rule 13a-14(a)/15d-14(a) Certifications of CFO.</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7980" w:type="dxa"/>
            <w:vAlign w:val="bottom"/>
          </w:tcPr>
          <w:p>
            <w:pPr>
              <w:ind w:left="180"/>
              <w:spacing w:after="0"/>
              <w:rPr>
                <w:sz w:val="20"/>
                <w:szCs w:val="20"/>
                <w:color w:val="auto"/>
              </w:rPr>
            </w:pPr>
            <w:r>
              <w:rPr>
                <w:rFonts w:ascii="Arial" w:cs="Arial" w:eastAsia="Arial" w:hAnsi="Arial"/>
                <w:sz w:val="18"/>
                <w:szCs w:val="18"/>
                <w:color w:val="auto"/>
              </w:rPr>
              <w:t>Section 1350 Certification of CEO.</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7980" w:type="dxa"/>
            <w:vAlign w:val="bottom"/>
          </w:tcPr>
          <w:p>
            <w:pPr>
              <w:ind w:left="180"/>
              <w:spacing w:after="0"/>
              <w:rPr>
                <w:sz w:val="20"/>
                <w:szCs w:val="20"/>
                <w:color w:val="auto"/>
              </w:rPr>
            </w:pPr>
            <w:r>
              <w:rPr>
                <w:rFonts w:ascii="Arial" w:cs="Arial" w:eastAsia="Arial" w:hAnsi="Arial"/>
                <w:sz w:val="18"/>
                <w:szCs w:val="18"/>
                <w:color w:val="auto"/>
              </w:rPr>
              <w:t>Section 1350 Certification of CFO.</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79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79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79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79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79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79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Electronically</w:t>
      </w:r>
    </w:p>
    <w:p>
      <w:pPr>
        <w:spacing w:after="0" w:line="223" w:lineRule="exact"/>
        <w:rPr>
          <w:sz w:val="20"/>
          <w:szCs w:val="20"/>
          <w:color w:val="auto"/>
        </w:rPr>
      </w:pPr>
    </w:p>
    <w:p>
      <w:pPr>
        <w:sectPr>
          <w:pgSz w:w="11900" w:h="16838" w:orient="portrait"/>
          <w:cols w:equalWidth="0" w:num="2">
            <w:col w:w="8880" w:space="600"/>
            <w:col w:w="192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125" w:right="25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12.1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COMPUTATIONS OF RATIOS OF EARNINGS TO FIXED CHARGES - 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ratio data)</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Year Ended September 30,</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5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136,243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131,984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133,131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109,238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144,569</w:t>
            </w:r>
          </w:p>
        </w:tc>
        <w:tc>
          <w:tcPr>
            <w:tcW w:w="0" w:type="dxa"/>
            <w:vAlign w:val="bottom"/>
          </w:tcPr>
          <w:p>
            <w:pPr>
              <w:spacing w:after="0"/>
              <w:rPr>
                <w:sz w:val="1"/>
                <w:szCs w:val="1"/>
                <w:color w:val="auto"/>
              </w:rPr>
            </w:pPr>
          </w:p>
        </w:tc>
      </w:tr>
      <w:tr>
        <w:trPr>
          <w:trHeight w:val="27"/>
        </w:trPr>
        <w:tc>
          <w:tcPr>
            <w:tcW w:w="558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31,734</w:t>
            </w:r>
          </w:p>
        </w:tc>
        <w:tc>
          <w:tcPr>
            <w:tcW w:w="3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30,281</w:t>
            </w:r>
          </w:p>
        </w:tc>
        <w:tc>
          <w:tcPr>
            <w:tcW w:w="3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28,594</w:t>
            </w:r>
          </w:p>
        </w:tc>
        <w:tc>
          <w:tcPr>
            <w:tcW w:w="3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29,254</w:t>
            </w:r>
          </w:p>
        </w:tc>
        <w:tc>
          <w:tcPr>
            <w:tcW w:w="3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26,791</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Rent expense (Interest factor)</w:t>
            </w:r>
          </w:p>
        </w:tc>
        <w:tc>
          <w:tcPr>
            <w:tcW w:w="2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7,100</w:t>
            </w:r>
          </w:p>
        </w:tc>
        <w:tc>
          <w:tcPr>
            <w:tcW w:w="3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7,359</w:t>
            </w:r>
          </w:p>
        </w:tc>
        <w:tc>
          <w:tcPr>
            <w:tcW w:w="3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6,480</w:t>
            </w:r>
          </w:p>
        </w:tc>
        <w:tc>
          <w:tcPr>
            <w:tcW w:w="3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6,892</w:t>
            </w:r>
          </w:p>
        </w:tc>
        <w:tc>
          <w:tcPr>
            <w:tcW w:w="3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TOTAL FIXED CHARGES</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38,834</w:t>
            </w:r>
          </w:p>
        </w:tc>
        <w:tc>
          <w:tcPr>
            <w:tcW w:w="3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37,640</w:t>
            </w:r>
          </w:p>
        </w:tc>
        <w:tc>
          <w:tcPr>
            <w:tcW w:w="3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35,074</w:t>
            </w:r>
          </w:p>
        </w:tc>
        <w:tc>
          <w:tcPr>
            <w:tcW w:w="3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36,146</w:t>
            </w:r>
          </w:p>
        </w:tc>
        <w:tc>
          <w:tcPr>
            <w:tcW w:w="3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32,666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1"/>
        </w:trPr>
        <w:tc>
          <w:tcPr>
            <w:tcW w:w="5580" w:type="dxa"/>
            <w:vAlign w:val="bottom"/>
          </w:tcPr>
          <w:p>
            <w:pPr>
              <w:spacing w:after="0"/>
              <w:rPr>
                <w:sz w:val="20"/>
                <w:szCs w:val="20"/>
                <w:color w:val="auto"/>
              </w:rPr>
            </w:pPr>
            <w:r>
              <w:rPr>
                <w:rFonts w:ascii="Arial" w:cs="Arial" w:eastAsia="Arial" w:hAnsi="Arial"/>
                <w:sz w:val="18"/>
                <w:szCs w:val="18"/>
                <w:color w:val="auto"/>
              </w:rPr>
              <w:t>EARNINGS AVAILABLE FOR FIXED CHARGES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175,077</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169,624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168,205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145,384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177,235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580" w:type="dxa"/>
            <w:vAlign w:val="bottom"/>
          </w:tcPr>
          <w:p>
            <w:pPr>
              <w:spacing w:after="0"/>
              <w:rPr>
                <w:sz w:val="20"/>
                <w:szCs w:val="20"/>
                <w:color w:val="auto"/>
              </w:rPr>
            </w:pPr>
            <w:r>
              <w:rPr>
                <w:rFonts w:ascii="Arial" w:cs="Arial" w:eastAsia="Arial" w:hAnsi="Arial"/>
                <w:sz w:val="18"/>
                <w:szCs w:val="18"/>
                <w:color w:val="auto"/>
              </w:rPr>
              <w:t>Ratio of earnings to fixed charges (1)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4.02</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ratio of earnings to fixed charges has been computed by dividing earnings available for fixed charges (earnings before income taxes plus fixed charges) by fixed charges (interest expense plus portion of rental expense that represents interest).</w:t>
      </w:r>
    </w:p>
    <w:p>
      <w:pPr>
        <w:sectPr>
          <w:pgSz w:w="11900" w:h="16838" w:orient="portrait"/>
          <w:cols w:equalWidth="0" w:num="1">
            <w:col w:w="11420"/>
          </w:cols>
          <w:pgMar w:left="240" w:top="58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860" w:type="dxa"/>
            <w:vAlign w:val="bottom"/>
          </w:tcPr>
          <w:p>
            <w:pPr>
              <w:spacing w:after="0"/>
              <w:rPr>
                <w:sz w:val="22"/>
                <w:szCs w:val="22"/>
                <w:color w:val="auto"/>
              </w:rPr>
            </w:pPr>
          </w:p>
        </w:tc>
        <w:tc>
          <w:tcPr>
            <w:tcW w:w="4440" w:type="dxa"/>
            <w:vAlign w:val="bottom"/>
            <w:gridSpan w:val="5"/>
          </w:tcPr>
          <w:p>
            <w:pPr>
              <w:jc w:val="center"/>
              <w:ind w:left="141"/>
              <w:spacing w:after="0"/>
              <w:rPr>
                <w:sz w:val="20"/>
                <w:szCs w:val="20"/>
                <w:color w:val="auto"/>
              </w:rPr>
            </w:pPr>
            <w:r>
              <w:rPr>
                <w:rFonts w:ascii="Arial" w:cs="Arial" w:eastAsia="Arial" w:hAnsi="Arial"/>
                <w:sz w:val="20"/>
                <w:szCs w:val="20"/>
                <w:b w:val="1"/>
                <w:bCs w:val="1"/>
                <w:color w:val="auto"/>
                <w:w w:val="92"/>
              </w:rPr>
              <w:t>Fair Isaac Corporation</w:t>
            </w: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0"/>
                <w:szCs w:val="20"/>
                <w:b w:val="1"/>
                <w:bCs w:val="1"/>
                <w:color w:val="auto"/>
                <w:w w:val="87"/>
              </w:rPr>
              <w:t>Subsidiaries</w:t>
            </w: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2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860" w:type="dxa"/>
            <w:vAlign w:val="bottom"/>
            <w:tcBorders>
              <w:left w:val="single" w:sz="8" w:color="auto"/>
            </w:tcBorders>
          </w:tcPr>
          <w:p>
            <w:pPr>
              <w:spacing w:after="0"/>
              <w:rPr>
                <w:sz w:val="19"/>
                <w:szCs w:val="19"/>
                <w:color w:val="auto"/>
              </w:rPr>
            </w:pPr>
          </w:p>
        </w:tc>
        <w:tc>
          <w:tcPr>
            <w:tcW w:w="30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Name of Company</w:t>
            </w:r>
          </w:p>
        </w:tc>
        <w:tc>
          <w:tcPr>
            <w:tcW w:w="14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740" w:type="dxa"/>
            <w:vAlign w:val="bottom"/>
            <w:tcBorders>
              <w:right w:val="single" w:sz="8" w:color="auto"/>
            </w:tcBorders>
            <w:gridSpan w:val="2"/>
          </w:tcPr>
          <w:p>
            <w:pPr>
              <w:jc w:val="center"/>
              <w:ind w:right="380"/>
              <w:spacing w:after="0" w:line="228" w:lineRule="exact"/>
              <w:rPr>
                <w:sz w:val="20"/>
                <w:szCs w:val="20"/>
                <w:color w:val="auto"/>
              </w:rPr>
            </w:pPr>
            <w:r>
              <w:rPr>
                <w:rFonts w:ascii="Arial" w:cs="Arial" w:eastAsia="Arial" w:hAnsi="Arial"/>
                <w:sz w:val="20"/>
                <w:szCs w:val="20"/>
                <w:b w:val="1"/>
                <w:bCs w:val="1"/>
                <w:color w:val="auto"/>
                <w:w w:val="89"/>
              </w:rPr>
              <w:t>Jurisdiction of</w:t>
            </w:r>
          </w:p>
        </w:tc>
        <w:tc>
          <w:tcPr>
            <w:tcW w:w="0" w:type="dxa"/>
            <w:vAlign w:val="bottom"/>
          </w:tcPr>
          <w:p>
            <w:pPr>
              <w:spacing w:after="0"/>
              <w:rPr>
                <w:sz w:val="1"/>
                <w:szCs w:val="1"/>
                <w:color w:val="auto"/>
              </w:rPr>
            </w:pPr>
          </w:p>
        </w:tc>
      </w:tr>
      <w:tr>
        <w:trPr>
          <w:trHeight w:val="90"/>
        </w:trPr>
        <w:tc>
          <w:tcPr>
            <w:tcW w:w="2860" w:type="dxa"/>
            <w:vAlign w:val="bottom"/>
            <w:tcBorders>
              <w:left w:val="single" w:sz="8" w:color="auto"/>
            </w:tcBorders>
          </w:tcPr>
          <w:p>
            <w:pPr>
              <w:spacing w:after="0"/>
              <w:rPr>
                <w:sz w:val="7"/>
                <w:szCs w:val="7"/>
                <w:color w:val="auto"/>
              </w:rPr>
            </w:pPr>
          </w:p>
        </w:tc>
        <w:tc>
          <w:tcPr>
            <w:tcW w:w="3040" w:type="dxa"/>
            <w:vAlign w:val="bottom"/>
            <w:gridSpan w:val="4"/>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100" w:type="dxa"/>
            <w:vAlign w:val="bottom"/>
            <w:tcBorders>
              <w:right w:val="single" w:sz="8" w:color="auto"/>
            </w:tcBorders>
            <w:gridSpan w:val="3"/>
            <w:vMerge w:val="restart"/>
          </w:tcPr>
          <w:p>
            <w:pPr>
              <w:jc w:val="center"/>
              <w:ind w:right="20"/>
              <w:spacing w:after="0" w:line="212" w:lineRule="exact"/>
              <w:rPr>
                <w:sz w:val="20"/>
                <w:szCs w:val="20"/>
                <w:color w:val="auto"/>
              </w:rPr>
            </w:pPr>
            <w:r>
              <w:rPr>
                <w:rFonts w:ascii="Arial" w:cs="Arial" w:eastAsia="Arial" w:hAnsi="Arial"/>
                <w:sz w:val="20"/>
                <w:szCs w:val="20"/>
                <w:b w:val="1"/>
                <w:bCs w:val="1"/>
                <w:color w:val="auto"/>
                <w:w w:val="91"/>
              </w:rPr>
              <w:t>Incorporation/Organization</w:t>
            </w:r>
          </w:p>
        </w:tc>
        <w:tc>
          <w:tcPr>
            <w:tcW w:w="0" w:type="dxa"/>
            <w:vAlign w:val="bottom"/>
          </w:tcPr>
          <w:p>
            <w:pPr>
              <w:spacing w:after="0"/>
              <w:rPr>
                <w:sz w:val="1"/>
                <w:szCs w:val="1"/>
                <w:color w:val="auto"/>
              </w:rPr>
            </w:pPr>
          </w:p>
        </w:tc>
      </w:tr>
      <w:tr>
        <w:trPr>
          <w:trHeight w:val="102"/>
        </w:trPr>
        <w:tc>
          <w:tcPr>
            <w:tcW w:w="2860" w:type="dxa"/>
            <w:vAlign w:val="bottom"/>
            <w:tcBorders>
              <w:left w:val="single" w:sz="8" w:color="auto"/>
            </w:tcBorders>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31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2860" w:type="dxa"/>
            <w:vAlign w:val="bottom"/>
            <w:tcBorders>
              <w:left w:val="single" w:sz="8" w:color="auto"/>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0"/>
              <w:spacing w:after="0" w:line="277" w:lineRule="exact"/>
              <w:rPr>
                <w:sz w:val="20"/>
                <w:szCs w:val="20"/>
                <w:color w:val="auto"/>
              </w:rPr>
            </w:pPr>
            <w:r>
              <w:rPr>
                <w:rFonts w:ascii="Arial" w:cs="Arial" w:eastAsia="Arial" w:hAnsi="Arial"/>
                <w:sz w:val="20"/>
                <w:szCs w:val="20"/>
                <w:color w:val="auto"/>
              </w:rPr>
              <w:t xml:space="preserve">QuadMetrics, Inc. </w:t>
            </w:r>
            <w:r>
              <w:rPr>
                <w:rFonts w:ascii="Arial" w:cs="Arial" w:eastAsia="Arial" w:hAnsi="Arial"/>
                <w:sz w:val="25"/>
                <w:szCs w:val="25"/>
                <w:color w:val="auto"/>
                <w:vertAlign w:val="superscript"/>
              </w:rPr>
              <w:t>(1)</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0"/>
              <w:spacing w:after="0" w:line="277" w:lineRule="exact"/>
              <w:rPr>
                <w:sz w:val="20"/>
                <w:szCs w:val="20"/>
                <w:color w:val="auto"/>
              </w:rPr>
            </w:pPr>
            <w:r>
              <w:rPr>
                <w:rFonts w:ascii="Arial" w:cs="Arial" w:eastAsia="Arial" w:hAnsi="Arial"/>
                <w:sz w:val="20"/>
                <w:szCs w:val="20"/>
                <w:color w:val="auto"/>
              </w:rPr>
              <w:t xml:space="preserve">HNC Software LLC </w:t>
            </w:r>
            <w:r>
              <w:rPr>
                <w:rFonts w:ascii="Arial" w:cs="Arial" w:eastAsia="Arial" w:hAnsi="Arial"/>
                <w:sz w:val="25"/>
                <w:szCs w:val="25"/>
                <w:color w:val="auto"/>
                <w:vertAlign w:val="superscript"/>
              </w:rPr>
              <w:t>(1)</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0"/>
              <w:spacing w:after="0" w:line="277" w:lineRule="exact"/>
              <w:rPr>
                <w:sz w:val="20"/>
                <w:szCs w:val="20"/>
                <w:color w:val="auto"/>
              </w:rPr>
            </w:pPr>
            <w:r>
              <w:rPr>
                <w:rFonts w:ascii="Arial" w:cs="Arial" w:eastAsia="Arial" w:hAnsi="Arial"/>
                <w:sz w:val="20"/>
                <w:szCs w:val="20"/>
                <w:color w:val="auto"/>
              </w:rPr>
              <w:t xml:space="preserve">Infoglide Software Corporation </w:t>
            </w:r>
            <w:r>
              <w:rPr>
                <w:rFonts w:ascii="Arial" w:cs="Arial" w:eastAsia="Arial" w:hAnsi="Arial"/>
                <w:sz w:val="25"/>
                <w:szCs w:val="25"/>
                <w:color w:val="auto"/>
                <w:vertAlign w:val="superscript"/>
              </w:rPr>
              <w:t>(1)</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0"/>
              <w:spacing w:after="0" w:line="277" w:lineRule="exact"/>
              <w:rPr>
                <w:sz w:val="20"/>
                <w:szCs w:val="20"/>
                <w:color w:val="auto"/>
              </w:rPr>
            </w:pPr>
            <w:r>
              <w:rPr>
                <w:rFonts w:ascii="Arial" w:cs="Arial" w:eastAsia="Arial" w:hAnsi="Arial"/>
                <w:sz w:val="20"/>
                <w:szCs w:val="20"/>
                <w:color w:val="auto"/>
              </w:rPr>
              <w:t xml:space="preserve">Fair Isaac Holdings, Inc. </w:t>
            </w:r>
            <w:r>
              <w:rPr>
                <w:rFonts w:ascii="Arial" w:cs="Arial" w:eastAsia="Arial" w:hAnsi="Arial"/>
                <w:sz w:val="25"/>
                <w:szCs w:val="25"/>
                <w:color w:val="auto"/>
                <w:vertAlign w:val="superscript"/>
              </w:rPr>
              <w:t>(1)</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Data Research Technologies, Inc. </w:t>
            </w:r>
            <w:r>
              <w:rPr>
                <w:rFonts w:ascii="Arial" w:cs="Arial" w:eastAsia="Arial" w:hAnsi="Arial"/>
                <w:sz w:val="25"/>
                <w:szCs w:val="25"/>
                <w:color w:val="auto"/>
                <w:vertAlign w:val="superscript"/>
              </w:rPr>
              <w:t>(2)</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0"/>
              </w:rPr>
              <w:t>Minnesota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Credit Services, Inc. </w:t>
            </w:r>
            <w:r>
              <w:rPr>
                <w:rFonts w:ascii="Arial" w:cs="Arial" w:eastAsia="Arial" w:hAnsi="Arial"/>
                <w:sz w:val="25"/>
                <w:szCs w:val="25"/>
                <w:color w:val="auto"/>
                <w:vertAlign w:val="superscript"/>
              </w:rPr>
              <w:t>(2)</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Network, Inc. </w:t>
            </w:r>
            <w:r>
              <w:rPr>
                <w:rFonts w:ascii="Arial" w:cs="Arial" w:eastAsia="Arial" w:hAnsi="Arial"/>
                <w:sz w:val="25"/>
                <w:szCs w:val="25"/>
                <w:color w:val="auto"/>
                <w:vertAlign w:val="superscript"/>
              </w:rPr>
              <w:t>(2)</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CR Software, LLC </w:t>
            </w:r>
            <w:r>
              <w:rPr>
                <w:rFonts w:ascii="Arial" w:cs="Arial" w:eastAsia="Arial" w:hAnsi="Arial"/>
                <w:sz w:val="25"/>
                <w:szCs w:val="25"/>
                <w:color w:val="auto"/>
                <w:vertAlign w:val="superscript"/>
              </w:rPr>
              <w:t>(2)</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5"/>
              </w:rPr>
              <w:t>Virginia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myFICO Consumer Services Inc. </w:t>
            </w:r>
            <w:r>
              <w:rPr>
                <w:rFonts w:ascii="Arial" w:cs="Arial" w:eastAsia="Arial" w:hAnsi="Arial"/>
                <w:sz w:val="25"/>
                <w:szCs w:val="25"/>
                <w:color w:val="auto"/>
                <w:vertAlign w:val="superscript"/>
              </w:rPr>
              <w:t>(2)</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Blade, Inc. </w:t>
            </w:r>
            <w:r>
              <w:rPr>
                <w:rFonts w:ascii="Arial" w:cs="Arial" w:eastAsia="Arial" w:hAnsi="Arial"/>
                <w:sz w:val="25"/>
                <w:szCs w:val="25"/>
                <w:color w:val="auto"/>
                <w:vertAlign w:val="superscript"/>
              </w:rPr>
              <w:t>(2)</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0"/>
              <w:spacing w:after="0" w:line="277" w:lineRule="exact"/>
              <w:rPr>
                <w:sz w:val="20"/>
                <w:szCs w:val="20"/>
                <w:color w:val="auto"/>
              </w:rPr>
            </w:pPr>
            <w:r>
              <w:rPr>
                <w:rFonts w:ascii="Arial" w:cs="Arial" w:eastAsia="Arial" w:hAnsi="Arial"/>
                <w:sz w:val="20"/>
                <w:szCs w:val="20"/>
                <w:color w:val="auto"/>
              </w:rPr>
              <w:t xml:space="preserve">Entiera, Inc. </w:t>
            </w:r>
            <w:r>
              <w:rPr>
                <w:rFonts w:ascii="Arial" w:cs="Arial" w:eastAsia="Arial" w:hAnsi="Arial"/>
                <w:sz w:val="25"/>
                <w:szCs w:val="25"/>
                <w:color w:val="auto"/>
                <w:vertAlign w:val="superscript"/>
              </w:rPr>
              <w:t>(1)</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Entiera Solutions Company Limited </w:t>
            </w:r>
            <w:r>
              <w:rPr>
                <w:rFonts w:ascii="Arial" w:cs="Arial" w:eastAsia="Arial" w:hAnsi="Arial"/>
                <w:sz w:val="25"/>
                <w:szCs w:val="25"/>
                <w:color w:val="auto"/>
                <w:vertAlign w:val="superscript"/>
              </w:rPr>
              <w:t>(3)</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3"/>
              </w:rPr>
              <w:t>Thailand</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0"/>
              <w:spacing w:after="0" w:line="277" w:lineRule="exact"/>
              <w:rPr>
                <w:sz w:val="20"/>
                <w:szCs w:val="20"/>
                <w:color w:val="auto"/>
              </w:rPr>
            </w:pPr>
            <w:r>
              <w:rPr>
                <w:rFonts w:ascii="Arial" w:cs="Arial" w:eastAsia="Arial" w:hAnsi="Arial"/>
                <w:sz w:val="20"/>
                <w:szCs w:val="20"/>
                <w:color w:val="auto"/>
              </w:rPr>
              <w:t xml:space="preserve">Fair Isaac International Corporation </w:t>
            </w:r>
            <w:r>
              <w:rPr>
                <w:rFonts w:ascii="Arial" w:cs="Arial" w:eastAsia="Arial" w:hAnsi="Arial"/>
                <w:sz w:val="25"/>
                <w:szCs w:val="25"/>
                <w:color w:val="auto"/>
                <w:vertAlign w:val="superscript"/>
              </w:rPr>
              <w:t>(1)</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4"/>
              </w:rPr>
              <w:t>California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Hong Kong Limited </w:t>
            </w:r>
            <w:r>
              <w:rPr>
                <w:rFonts w:ascii="Arial" w:cs="Arial" w:eastAsia="Arial" w:hAnsi="Arial"/>
                <w:sz w:val="25"/>
                <w:szCs w:val="25"/>
                <w:color w:val="auto"/>
                <w:vertAlign w:val="superscript"/>
              </w:rPr>
              <w:t>(4)</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1"/>
              </w:rPr>
              <w:t>Hong Kong</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Canada, Ltd. </w:t>
            </w:r>
            <w:r>
              <w:rPr>
                <w:rFonts w:ascii="Arial" w:cs="Arial" w:eastAsia="Arial" w:hAnsi="Arial"/>
                <w:sz w:val="25"/>
                <w:szCs w:val="25"/>
                <w:color w:val="auto"/>
                <w:vertAlign w:val="superscript"/>
              </w:rPr>
              <w:t>(4)</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5"/>
              </w:rPr>
              <w:t>Canada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Asia Pacific Corp. </w:t>
            </w:r>
            <w:r>
              <w:rPr>
                <w:rFonts w:ascii="Arial" w:cs="Arial" w:eastAsia="Arial" w:hAnsi="Arial"/>
                <w:sz w:val="25"/>
                <w:szCs w:val="25"/>
                <w:color w:val="auto"/>
                <w:vertAlign w:val="superscript"/>
              </w:rPr>
              <w:t>(4)</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40"/>
              <w:spacing w:after="0" w:line="277" w:lineRule="exact"/>
              <w:rPr>
                <w:sz w:val="20"/>
                <w:szCs w:val="20"/>
                <w:color w:val="auto"/>
              </w:rPr>
            </w:pPr>
            <w:r>
              <w:rPr>
                <w:rFonts w:ascii="Arial" w:cs="Arial" w:eastAsia="Arial" w:hAnsi="Arial"/>
                <w:sz w:val="20"/>
                <w:szCs w:val="20"/>
                <w:color w:val="auto"/>
              </w:rPr>
              <w:t xml:space="preserve">Fair Isaac Japan G.K. </w:t>
            </w:r>
            <w:r>
              <w:rPr>
                <w:rFonts w:ascii="Arial" w:cs="Arial" w:eastAsia="Arial" w:hAnsi="Arial"/>
                <w:sz w:val="25"/>
                <w:szCs w:val="25"/>
                <w:color w:val="auto"/>
                <w:vertAlign w:val="superscript"/>
              </w:rPr>
              <w:t>(5)</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0"/>
              </w:rPr>
              <w:t>Japan</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Brazil, LLC </w:t>
            </w:r>
            <w:r>
              <w:rPr>
                <w:rFonts w:ascii="Arial" w:cs="Arial" w:eastAsia="Arial" w:hAnsi="Arial"/>
                <w:sz w:val="25"/>
                <w:szCs w:val="25"/>
                <w:color w:val="auto"/>
                <w:vertAlign w:val="superscript"/>
              </w:rPr>
              <w:t>(4)</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40"/>
              <w:spacing w:after="0" w:line="277" w:lineRule="exact"/>
              <w:rPr>
                <w:sz w:val="20"/>
                <w:szCs w:val="20"/>
                <w:color w:val="auto"/>
              </w:rPr>
            </w:pPr>
            <w:r>
              <w:rPr>
                <w:rFonts w:ascii="Arial" w:cs="Arial" w:eastAsia="Arial" w:hAnsi="Arial"/>
                <w:sz w:val="20"/>
                <w:szCs w:val="20"/>
                <w:color w:val="auto"/>
              </w:rPr>
              <w:t xml:space="preserve">Fair Isaac do Brasil Ltda. </w:t>
            </w:r>
            <w:r>
              <w:rPr>
                <w:rFonts w:ascii="Arial" w:cs="Arial" w:eastAsia="Arial" w:hAnsi="Arial"/>
                <w:sz w:val="25"/>
                <w:szCs w:val="25"/>
                <w:color w:val="auto"/>
                <w:vertAlign w:val="superscript"/>
              </w:rPr>
              <w:t>(6)</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5"/>
              </w:rPr>
              <w:t>Brazil</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Asia Holdings, Inc. </w:t>
            </w:r>
            <w:r>
              <w:rPr>
                <w:rFonts w:ascii="Arial" w:cs="Arial" w:eastAsia="Arial" w:hAnsi="Arial"/>
                <w:sz w:val="25"/>
                <w:szCs w:val="25"/>
                <w:color w:val="auto"/>
                <w:vertAlign w:val="superscript"/>
              </w:rPr>
              <w:t>(4)</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0"/>
              </w:rPr>
              <w:t>Minnesota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40"/>
              <w:spacing w:after="0" w:line="277" w:lineRule="exact"/>
              <w:rPr>
                <w:sz w:val="20"/>
                <w:szCs w:val="20"/>
                <w:color w:val="auto"/>
              </w:rPr>
            </w:pPr>
            <w:r>
              <w:rPr>
                <w:rFonts w:ascii="Arial" w:cs="Arial" w:eastAsia="Arial" w:hAnsi="Arial"/>
                <w:sz w:val="20"/>
                <w:szCs w:val="20"/>
                <w:color w:val="auto"/>
              </w:rPr>
              <w:t xml:space="preserve">Fair Isaac Information Technology (Beijing) Co., Ltd. </w:t>
            </w:r>
            <w:r>
              <w:rPr>
                <w:rFonts w:ascii="Arial" w:cs="Arial" w:eastAsia="Arial" w:hAnsi="Arial"/>
                <w:sz w:val="25"/>
                <w:szCs w:val="25"/>
                <w:color w:val="auto"/>
                <w:vertAlign w:val="superscript"/>
              </w:rPr>
              <w:t>(7)</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1"/>
              </w:rPr>
              <w:t>China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India Software Private Limited </w:t>
            </w:r>
            <w:r>
              <w:rPr>
                <w:rFonts w:ascii="Arial" w:cs="Arial" w:eastAsia="Arial" w:hAnsi="Arial"/>
                <w:sz w:val="25"/>
                <w:szCs w:val="25"/>
                <w:color w:val="auto"/>
                <w:vertAlign w:val="superscript"/>
              </w:rPr>
              <w:t>(8)</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2"/>
              </w:rPr>
              <w:t>India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Sales and Services (India) Private Limited </w:t>
            </w:r>
            <w:r>
              <w:rPr>
                <w:rFonts w:ascii="Arial" w:cs="Arial" w:eastAsia="Arial" w:hAnsi="Arial"/>
                <w:sz w:val="25"/>
                <w:szCs w:val="25"/>
                <w:color w:val="auto"/>
                <w:vertAlign w:val="superscript"/>
              </w:rPr>
              <w:t>(9)</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2"/>
              </w:rPr>
              <w:t>India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280"/>
              <w:spacing w:after="0" w:line="277" w:lineRule="exact"/>
              <w:rPr>
                <w:sz w:val="20"/>
                <w:szCs w:val="20"/>
                <w:color w:val="auto"/>
              </w:rPr>
            </w:pPr>
            <w:r>
              <w:rPr>
                <w:rFonts w:ascii="Arial" w:cs="Arial" w:eastAsia="Arial" w:hAnsi="Arial"/>
                <w:sz w:val="20"/>
                <w:szCs w:val="20"/>
                <w:color w:val="auto"/>
              </w:rPr>
              <w:t xml:space="preserve">Fair Isaac UK Holdings, Inc. </w:t>
            </w:r>
            <w:r>
              <w:rPr>
                <w:rFonts w:ascii="Arial" w:cs="Arial" w:eastAsia="Arial" w:hAnsi="Arial"/>
                <w:sz w:val="25"/>
                <w:szCs w:val="25"/>
                <w:color w:val="auto"/>
                <w:vertAlign w:val="superscript"/>
              </w:rPr>
              <w:t>(4)</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40"/>
              <w:spacing w:after="0" w:line="277" w:lineRule="exact"/>
              <w:rPr>
                <w:sz w:val="20"/>
                <w:szCs w:val="20"/>
                <w:color w:val="auto"/>
              </w:rPr>
            </w:pPr>
            <w:r>
              <w:rPr>
                <w:rFonts w:ascii="Arial" w:cs="Arial" w:eastAsia="Arial" w:hAnsi="Arial"/>
                <w:sz w:val="20"/>
                <w:szCs w:val="20"/>
                <w:color w:val="auto"/>
              </w:rPr>
              <w:t xml:space="preserve">Fair Isaac (Luxembourg) S.a.r.l </w:t>
            </w:r>
            <w:r>
              <w:rPr>
                <w:rFonts w:ascii="Arial" w:cs="Arial" w:eastAsia="Arial" w:hAnsi="Arial"/>
                <w:sz w:val="25"/>
                <w:szCs w:val="25"/>
                <w:color w:val="auto"/>
                <w:vertAlign w:val="superscript"/>
              </w:rPr>
              <w:t>(10)</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60"/>
              <w:spacing w:after="0"/>
              <w:rPr>
                <w:sz w:val="20"/>
                <w:szCs w:val="20"/>
                <w:color w:val="auto"/>
              </w:rPr>
            </w:pPr>
            <w:r>
              <w:rPr>
                <w:rFonts w:ascii="Arial" w:cs="Arial" w:eastAsia="Arial" w:hAnsi="Arial"/>
                <w:sz w:val="20"/>
                <w:szCs w:val="20"/>
                <w:color w:val="auto"/>
                <w:w w:val="91"/>
              </w:rPr>
              <w:t>Luxembourg</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440"/>
              <w:spacing w:after="0" w:line="277" w:lineRule="exact"/>
              <w:rPr>
                <w:sz w:val="20"/>
                <w:szCs w:val="20"/>
                <w:color w:val="auto"/>
              </w:rPr>
            </w:pPr>
            <w:r>
              <w:rPr>
                <w:rFonts w:ascii="Arial" w:cs="Arial" w:eastAsia="Arial" w:hAnsi="Arial"/>
                <w:sz w:val="20"/>
                <w:szCs w:val="20"/>
                <w:color w:val="auto"/>
              </w:rPr>
              <w:t xml:space="preserve">Fair Isaac UK Group Limited </w:t>
            </w:r>
            <w:r>
              <w:rPr>
                <w:rFonts w:ascii="Arial" w:cs="Arial" w:eastAsia="Arial" w:hAnsi="Arial"/>
                <w:sz w:val="25"/>
                <w:szCs w:val="25"/>
                <w:color w:val="auto"/>
                <w:vertAlign w:val="superscript"/>
              </w:rPr>
              <w:t>(10)</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7"/>
              </w:rPr>
              <w:t>England and Wales</w:t>
            </w:r>
          </w:p>
        </w:tc>
        <w:tc>
          <w:tcPr>
            <w:tcW w:w="0" w:type="dxa"/>
            <w:vAlign w:val="bottom"/>
          </w:tcPr>
          <w:p>
            <w:pPr>
              <w:spacing w:after="0"/>
              <w:rPr>
                <w:sz w:val="1"/>
                <w:szCs w:val="1"/>
                <w:color w:val="auto"/>
              </w:rPr>
            </w:pPr>
          </w:p>
        </w:tc>
      </w:tr>
      <w:tr>
        <w:trPr>
          <w:trHeight w:val="233"/>
        </w:trPr>
        <w:tc>
          <w:tcPr>
            <w:tcW w:w="5900" w:type="dxa"/>
            <w:vAlign w:val="bottom"/>
            <w:tcBorders>
              <w:left w:val="single" w:sz="8" w:color="auto"/>
            </w:tcBorders>
            <w:gridSpan w:val="5"/>
          </w:tcPr>
          <w:p>
            <w:pPr>
              <w:ind w:left="580"/>
              <w:spacing w:after="0" w:line="233" w:lineRule="exact"/>
              <w:rPr>
                <w:sz w:val="20"/>
                <w:szCs w:val="20"/>
                <w:color w:val="auto"/>
              </w:rPr>
            </w:pPr>
            <w:r>
              <w:rPr>
                <w:rFonts w:ascii="Arial" w:cs="Arial" w:eastAsia="Arial" w:hAnsi="Arial"/>
                <w:sz w:val="20"/>
                <w:szCs w:val="20"/>
                <w:color w:val="auto"/>
              </w:rPr>
              <w:t xml:space="preserve">Fair Isaac UK International Holdings Ltd. </w:t>
            </w:r>
            <w:r>
              <w:rPr>
                <w:rFonts w:ascii="Arial" w:cs="Arial" w:eastAsia="Arial" w:hAnsi="Arial"/>
                <w:sz w:val="25"/>
                <w:szCs w:val="25"/>
                <w:color w:val="auto"/>
                <w:vertAlign w:val="superscript"/>
              </w:rPr>
              <w:t>(11)</w:t>
            </w:r>
          </w:p>
        </w:tc>
        <w:tc>
          <w:tcPr>
            <w:tcW w:w="14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tcBorders>
              <w:right w:val="single" w:sz="8" w:color="auto"/>
            </w:tcBorders>
            <w:gridSpan w:val="2"/>
            <w:vMerge w:val="restart"/>
          </w:tcPr>
          <w:p>
            <w:pPr>
              <w:jc w:val="center"/>
              <w:ind w:right="380"/>
              <w:spacing w:after="0"/>
              <w:rPr>
                <w:sz w:val="20"/>
                <w:szCs w:val="20"/>
                <w:color w:val="auto"/>
              </w:rPr>
            </w:pPr>
            <w:r>
              <w:rPr>
                <w:rFonts w:ascii="Arial" w:cs="Arial" w:eastAsia="Arial" w:hAnsi="Arial"/>
                <w:sz w:val="20"/>
                <w:szCs w:val="20"/>
                <w:color w:val="auto"/>
                <w:w w:val="87"/>
              </w:rPr>
              <w:t>England and Wales</w:t>
            </w:r>
          </w:p>
        </w:tc>
        <w:tc>
          <w:tcPr>
            <w:tcW w:w="0" w:type="dxa"/>
            <w:vAlign w:val="bottom"/>
          </w:tcPr>
          <w:p>
            <w:pPr>
              <w:spacing w:after="0"/>
              <w:rPr>
                <w:sz w:val="1"/>
                <w:szCs w:val="1"/>
                <w:color w:val="auto"/>
              </w:rPr>
            </w:pPr>
          </w:p>
        </w:tc>
      </w:tr>
      <w:tr>
        <w:trPr>
          <w:trHeight w:val="129"/>
        </w:trPr>
        <w:tc>
          <w:tcPr>
            <w:tcW w:w="5900" w:type="dxa"/>
            <w:vAlign w:val="bottom"/>
            <w:tcBorders>
              <w:left w:val="single" w:sz="8" w:color="auto"/>
            </w:tcBorders>
            <w:gridSpan w:val="5"/>
            <w:vMerge w:val="restart"/>
          </w:tcPr>
          <w:p>
            <w:pPr>
              <w:ind w:left="580"/>
              <w:spacing w:after="0"/>
              <w:rPr>
                <w:sz w:val="20"/>
                <w:szCs w:val="20"/>
                <w:color w:val="auto"/>
              </w:rPr>
            </w:pPr>
            <w:r>
              <w:rPr>
                <w:rFonts w:ascii="Arial" w:cs="Arial" w:eastAsia="Arial" w:hAnsi="Arial"/>
                <w:sz w:val="20"/>
                <w:szCs w:val="20"/>
                <w:color w:val="auto"/>
              </w:rPr>
              <w:t>(formerly, Fair Isaac Africa Ltd.)</w:t>
            </w:r>
          </w:p>
        </w:tc>
        <w:tc>
          <w:tcPr>
            <w:tcW w:w="14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900" w:type="dxa"/>
            <w:vAlign w:val="bottom"/>
            <w:tcBorders>
              <w:left w:val="single" w:sz="8" w:color="auto"/>
            </w:tcBorders>
            <w:gridSpan w:val="5"/>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86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740"/>
              <w:spacing w:after="0" w:line="277" w:lineRule="exact"/>
              <w:rPr>
                <w:sz w:val="20"/>
                <w:szCs w:val="20"/>
                <w:color w:val="auto"/>
              </w:rPr>
            </w:pPr>
            <w:r>
              <w:rPr>
                <w:rFonts w:ascii="Arial" w:cs="Arial" w:eastAsia="Arial" w:hAnsi="Arial"/>
                <w:sz w:val="20"/>
                <w:szCs w:val="20"/>
                <w:color w:val="auto"/>
              </w:rPr>
              <w:t xml:space="preserve">Fair Isaac Software Holdings Limited </w:t>
            </w:r>
            <w:r>
              <w:rPr>
                <w:rFonts w:ascii="Arial" w:cs="Arial" w:eastAsia="Arial" w:hAnsi="Arial"/>
                <w:sz w:val="25"/>
                <w:szCs w:val="25"/>
                <w:color w:val="auto"/>
                <w:vertAlign w:val="superscript"/>
              </w:rPr>
              <w:t>(12)</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7"/>
              </w:rPr>
              <w:t>England and Wales</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880"/>
              <w:spacing w:after="0" w:line="277" w:lineRule="exact"/>
              <w:rPr>
                <w:sz w:val="20"/>
                <w:szCs w:val="20"/>
                <w:color w:val="auto"/>
              </w:rPr>
            </w:pPr>
            <w:r>
              <w:rPr>
                <w:rFonts w:ascii="Arial" w:cs="Arial" w:eastAsia="Arial" w:hAnsi="Arial"/>
                <w:sz w:val="20"/>
                <w:szCs w:val="20"/>
                <w:color w:val="auto"/>
              </w:rPr>
              <w:t xml:space="preserve">Fair Isaac South Africa (Pty) Ltd </w:t>
            </w:r>
            <w:r>
              <w:rPr>
                <w:rFonts w:ascii="Arial" w:cs="Arial" w:eastAsia="Arial" w:hAnsi="Arial"/>
                <w:sz w:val="25"/>
                <w:szCs w:val="25"/>
                <w:color w:val="auto"/>
                <w:vertAlign w:val="superscript"/>
              </w:rPr>
              <w:t>(13)</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1"/>
              </w:rPr>
              <w:t>South Africa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880"/>
              <w:spacing w:after="0" w:line="277" w:lineRule="exact"/>
              <w:rPr>
                <w:sz w:val="20"/>
                <w:szCs w:val="20"/>
                <w:color w:val="auto"/>
              </w:rPr>
            </w:pPr>
            <w:r>
              <w:rPr>
                <w:rFonts w:ascii="Arial" w:cs="Arial" w:eastAsia="Arial" w:hAnsi="Arial"/>
                <w:sz w:val="20"/>
                <w:szCs w:val="20"/>
                <w:color w:val="auto"/>
              </w:rPr>
              <w:t xml:space="preserve">Fair Isaac (UK) LLP </w:t>
            </w:r>
            <w:r>
              <w:rPr>
                <w:rFonts w:ascii="Arial" w:cs="Arial" w:eastAsia="Arial" w:hAnsi="Arial"/>
                <w:sz w:val="25"/>
                <w:szCs w:val="25"/>
                <w:color w:val="auto"/>
                <w:vertAlign w:val="superscript"/>
              </w:rPr>
              <w:t>(13)</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1"/>
              </w:rPr>
              <w:t>England &amp; Wales</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880"/>
              <w:spacing w:after="0" w:line="277" w:lineRule="exact"/>
              <w:rPr>
                <w:sz w:val="20"/>
                <w:szCs w:val="20"/>
                <w:color w:val="auto"/>
              </w:rPr>
            </w:pPr>
            <w:r>
              <w:rPr>
                <w:rFonts w:ascii="Arial" w:cs="Arial" w:eastAsia="Arial" w:hAnsi="Arial"/>
                <w:sz w:val="20"/>
                <w:szCs w:val="20"/>
                <w:color w:val="auto"/>
              </w:rPr>
              <w:t xml:space="preserve">Fair Isaac Services Limited </w:t>
            </w:r>
            <w:r>
              <w:rPr>
                <w:rFonts w:ascii="Arial" w:cs="Arial" w:eastAsia="Arial" w:hAnsi="Arial"/>
                <w:sz w:val="25"/>
                <w:szCs w:val="25"/>
                <w:color w:val="auto"/>
                <w:vertAlign w:val="superscript"/>
              </w:rPr>
              <w:t>(13)</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7"/>
              </w:rPr>
              <w:t>England and Wales</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880"/>
              <w:spacing w:after="0" w:line="277" w:lineRule="exact"/>
              <w:rPr>
                <w:sz w:val="20"/>
                <w:szCs w:val="20"/>
                <w:color w:val="auto"/>
              </w:rPr>
            </w:pPr>
            <w:r>
              <w:rPr>
                <w:rFonts w:ascii="Arial" w:cs="Arial" w:eastAsia="Arial" w:hAnsi="Arial"/>
                <w:sz w:val="20"/>
                <w:szCs w:val="20"/>
                <w:color w:val="auto"/>
              </w:rPr>
              <w:t xml:space="preserve">Fair Isaac (Adeptra) Limited </w:t>
            </w:r>
            <w:r>
              <w:rPr>
                <w:rFonts w:ascii="Arial" w:cs="Arial" w:eastAsia="Arial" w:hAnsi="Arial"/>
                <w:sz w:val="25"/>
                <w:szCs w:val="25"/>
                <w:color w:val="auto"/>
                <w:vertAlign w:val="superscript"/>
              </w:rPr>
              <w:t>(13)</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7"/>
              </w:rPr>
              <w:t>England and Wales</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880"/>
              <w:spacing w:after="0" w:line="277" w:lineRule="exact"/>
              <w:rPr>
                <w:sz w:val="20"/>
                <w:szCs w:val="20"/>
                <w:color w:val="auto"/>
              </w:rPr>
            </w:pPr>
            <w:r>
              <w:rPr>
                <w:rFonts w:ascii="Arial" w:cs="Arial" w:eastAsia="Arial" w:hAnsi="Arial"/>
                <w:sz w:val="20"/>
                <w:szCs w:val="20"/>
                <w:color w:val="auto"/>
              </w:rPr>
              <w:t xml:space="preserve">Fair Isaac Europe Limited </w:t>
            </w:r>
            <w:r>
              <w:rPr>
                <w:rFonts w:ascii="Arial" w:cs="Arial" w:eastAsia="Arial" w:hAnsi="Arial"/>
                <w:sz w:val="25"/>
                <w:szCs w:val="25"/>
                <w:color w:val="auto"/>
                <w:vertAlign w:val="superscript"/>
              </w:rPr>
              <w:t>(13)</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87"/>
              </w:rPr>
              <w:t>England and Wales</w:t>
            </w:r>
          </w:p>
        </w:tc>
        <w:tc>
          <w:tcPr>
            <w:tcW w:w="0" w:type="dxa"/>
            <w:vAlign w:val="bottom"/>
          </w:tcPr>
          <w:p>
            <w:pPr>
              <w:spacing w:after="0"/>
              <w:rPr>
                <w:sz w:val="1"/>
                <w:szCs w:val="1"/>
                <w:color w:val="auto"/>
              </w:rPr>
            </w:pPr>
          </w:p>
        </w:tc>
      </w:tr>
      <w:tr>
        <w:trPr>
          <w:trHeight w:val="233"/>
        </w:trPr>
        <w:tc>
          <w:tcPr>
            <w:tcW w:w="5900" w:type="dxa"/>
            <w:vAlign w:val="bottom"/>
            <w:tcBorders>
              <w:left w:val="single" w:sz="8" w:color="auto"/>
            </w:tcBorders>
            <w:gridSpan w:val="5"/>
          </w:tcPr>
          <w:p>
            <w:pPr>
              <w:ind w:left="1040"/>
              <w:spacing w:after="0"/>
              <w:rPr>
                <w:sz w:val="20"/>
                <w:szCs w:val="20"/>
                <w:color w:val="auto"/>
              </w:rPr>
            </w:pPr>
            <w:r>
              <w:rPr>
                <w:rFonts w:ascii="Arial" w:cs="Arial" w:eastAsia="Arial" w:hAnsi="Arial"/>
                <w:sz w:val="20"/>
                <w:szCs w:val="20"/>
                <w:color w:val="auto"/>
              </w:rPr>
              <w:t>Fair Isaac Turkey Software and Consultancy Services</w:t>
            </w:r>
          </w:p>
        </w:tc>
        <w:tc>
          <w:tcPr>
            <w:tcW w:w="140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Limited</w:t>
            </w:r>
          </w:p>
        </w:tc>
        <w:tc>
          <w:tcPr>
            <w:tcW w:w="360" w:type="dxa"/>
            <w:vAlign w:val="bottom"/>
          </w:tcPr>
          <w:p>
            <w:pPr>
              <w:spacing w:after="0"/>
              <w:rPr>
                <w:sz w:val="20"/>
                <w:szCs w:val="20"/>
                <w:color w:val="auto"/>
              </w:rPr>
            </w:pPr>
          </w:p>
        </w:tc>
        <w:tc>
          <w:tcPr>
            <w:tcW w:w="2740" w:type="dxa"/>
            <w:vAlign w:val="bottom"/>
            <w:tcBorders>
              <w:right w:val="single" w:sz="8" w:color="auto"/>
            </w:tcBorders>
            <w:gridSpan w:val="2"/>
            <w:vMerge w:val="restart"/>
          </w:tcPr>
          <w:p>
            <w:pPr>
              <w:jc w:val="center"/>
              <w:ind w:right="380"/>
              <w:spacing w:after="0"/>
              <w:rPr>
                <w:sz w:val="20"/>
                <w:szCs w:val="20"/>
                <w:color w:val="auto"/>
              </w:rPr>
            </w:pPr>
            <w:r>
              <w:rPr>
                <w:rFonts w:ascii="Arial" w:cs="Arial" w:eastAsia="Arial" w:hAnsi="Arial"/>
                <w:sz w:val="20"/>
                <w:szCs w:val="20"/>
                <w:color w:val="auto"/>
                <w:w w:val="91"/>
              </w:rPr>
              <w:t>Turkey</w:t>
            </w:r>
          </w:p>
        </w:tc>
        <w:tc>
          <w:tcPr>
            <w:tcW w:w="0" w:type="dxa"/>
            <w:vAlign w:val="bottom"/>
          </w:tcPr>
          <w:p>
            <w:pPr>
              <w:spacing w:after="0"/>
              <w:rPr>
                <w:sz w:val="1"/>
                <w:szCs w:val="1"/>
                <w:color w:val="auto"/>
              </w:rPr>
            </w:pPr>
          </w:p>
        </w:tc>
      </w:tr>
      <w:tr>
        <w:trPr>
          <w:trHeight w:val="129"/>
        </w:trPr>
        <w:tc>
          <w:tcPr>
            <w:tcW w:w="5900" w:type="dxa"/>
            <w:vAlign w:val="bottom"/>
            <w:tcBorders>
              <w:left w:val="single" w:sz="8" w:color="auto"/>
            </w:tcBorders>
            <w:gridSpan w:val="5"/>
            <w:vMerge w:val="restart"/>
          </w:tcPr>
          <w:p>
            <w:pPr>
              <w:ind w:left="40"/>
              <w:spacing w:after="0" w:line="274" w:lineRule="exact"/>
              <w:rPr>
                <w:sz w:val="20"/>
                <w:szCs w:val="20"/>
                <w:color w:val="auto"/>
              </w:rPr>
            </w:pPr>
            <w:r>
              <w:rPr>
                <w:rFonts w:ascii="Arial" w:cs="Arial" w:eastAsia="Arial" w:hAnsi="Arial"/>
                <w:sz w:val="20"/>
                <w:szCs w:val="20"/>
                <w:color w:val="auto"/>
              </w:rPr>
              <w:t xml:space="preserve">Sirketi </w:t>
            </w:r>
            <w:r>
              <w:rPr>
                <w:rFonts w:ascii="Arial" w:cs="Arial" w:eastAsia="Arial" w:hAnsi="Arial"/>
                <w:sz w:val="25"/>
                <w:szCs w:val="25"/>
                <w:color w:val="auto"/>
                <w:vertAlign w:val="superscript"/>
              </w:rPr>
              <w:t>(14)</w:t>
            </w:r>
          </w:p>
        </w:tc>
        <w:tc>
          <w:tcPr>
            <w:tcW w:w="14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7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900" w:type="dxa"/>
            <w:vAlign w:val="bottom"/>
            <w:tcBorders>
              <w:left w:val="single" w:sz="8" w:color="auto"/>
              <w:bottom w:val="single" w:sz="8" w:color="auto"/>
            </w:tcBorders>
            <w:gridSpan w:val="5"/>
            <w:vMerge w:val="continue"/>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1040"/>
              <w:spacing w:after="0" w:line="277" w:lineRule="exact"/>
              <w:rPr>
                <w:sz w:val="20"/>
                <w:szCs w:val="20"/>
                <w:color w:val="auto"/>
              </w:rPr>
            </w:pPr>
            <w:r>
              <w:rPr>
                <w:rFonts w:ascii="Arial" w:cs="Arial" w:eastAsia="Arial" w:hAnsi="Arial"/>
                <w:sz w:val="20"/>
                <w:szCs w:val="20"/>
                <w:color w:val="auto"/>
              </w:rPr>
              <w:t xml:space="preserve">Fair Isaac Lithuania, UAB </w:t>
            </w:r>
            <w:r>
              <w:rPr>
                <w:rFonts w:ascii="Arial" w:cs="Arial" w:eastAsia="Arial" w:hAnsi="Arial"/>
                <w:sz w:val="25"/>
                <w:szCs w:val="25"/>
                <w:color w:val="auto"/>
                <w:vertAlign w:val="superscript"/>
              </w:rPr>
              <w:t>(14)</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3"/>
              </w:rPr>
              <w:t>Lithuania</w:t>
            </w:r>
          </w:p>
        </w:tc>
        <w:tc>
          <w:tcPr>
            <w:tcW w:w="0" w:type="dxa"/>
            <w:vAlign w:val="bottom"/>
          </w:tcPr>
          <w:p>
            <w:pPr>
              <w:spacing w:after="0"/>
              <w:rPr>
                <w:sz w:val="1"/>
                <w:szCs w:val="1"/>
                <w:color w:val="auto"/>
              </w:rPr>
            </w:pPr>
          </w:p>
        </w:tc>
      </w:tr>
      <w:tr>
        <w:trPr>
          <w:trHeight w:val="277"/>
        </w:trPr>
        <w:tc>
          <w:tcPr>
            <w:tcW w:w="5900" w:type="dxa"/>
            <w:vAlign w:val="bottom"/>
            <w:tcBorders>
              <w:left w:val="single" w:sz="8" w:color="auto"/>
              <w:bottom w:val="single" w:sz="8" w:color="auto"/>
            </w:tcBorders>
            <w:gridSpan w:val="5"/>
          </w:tcPr>
          <w:p>
            <w:pPr>
              <w:ind w:left="1040"/>
              <w:spacing w:after="0" w:line="277" w:lineRule="exact"/>
              <w:rPr>
                <w:sz w:val="20"/>
                <w:szCs w:val="20"/>
                <w:color w:val="auto"/>
              </w:rPr>
            </w:pPr>
            <w:r>
              <w:rPr>
                <w:rFonts w:ascii="Arial" w:cs="Arial" w:eastAsia="Arial" w:hAnsi="Arial"/>
                <w:sz w:val="20"/>
                <w:szCs w:val="20"/>
                <w:color w:val="auto"/>
              </w:rPr>
              <w:t xml:space="preserve">Fair Isaac Italy S.r.l. </w:t>
            </w:r>
            <w:r>
              <w:rPr>
                <w:rFonts w:ascii="Arial" w:cs="Arial" w:eastAsia="Arial" w:hAnsi="Arial"/>
                <w:sz w:val="25"/>
                <w:szCs w:val="25"/>
                <w:color w:val="auto"/>
                <w:vertAlign w:val="superscript"/>
              </w:rPr>
              <w:t>(14)</w:t>
            </w:r>
          </w:p>
        </w:tc>
        <w:tc>
          <w:tcPr>
            <w:tcW w:w="14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20"/>
                <w:szCs w:val="20"/>
                <w:color w:val="auto"/>
                <w:w w:val="98"/>
              </w:rPr>
              <w:t>Italy</w:t>
            </w:r>
          </w:p>
        </w:tc>
        <w:tc>
          <w:tcPr>
            <w:tcW w:w="0" w:type="dxa"/>
            <w:vAlign w:val="bottom"/>
          </w:tcPr>
          <w:p>
            <w:pPr>
              <w:spacing w:after="0"/>
              <w:rPr>
                <w:sz w:val="1"/>
                <w:szCs w:val="1"/>
                <w:color w:val="auto"/>
              </w:rPr>
            </w:pPr>
          </w:p>
        </w:tc>
      </w:tr>
    </w:tbl>
    <w:p>
      <w:pPr>
        <w:sectPr>
          <w:pgSz w:w="11900" w:h="16838" w:orient="portrait"/>
          <w:cols w:equalWidth="0" w:num="1">
            <w:col w:w="10900"/>
          </w:cols>
          <w:pgMar w:left="76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21.1</w:t>
      </w:r>
    </w:p>
    <w:p>
      <w:pPr>
        <w:spacing w:after="0" w:line="382" w:lineRule="exact"/>
        <w:rPr>
          <w:sz w:val="20"/>
          <w:szCs w:val="20"/>
          <w:color w:val="auto"/>
        </w:rPr>
      </w:pPr>
    </w:p>
    <w:tbl>
      <w:tblPr>
        <w:tblLayout w:type="fixed"/>
        <w:tblInd w:w="530" w:type="dxa"/>
        <w:tblCellMar>
          <w:top w:w="0" w:type="dxa"/>
          <w:left w:w="0" w:type="dxa"/>
          <w:bottom w:w="0" w:type="dxa"/>
          <w:right w:w="0" w:type="dxa"/>
        </w:tblCellMar>
      </w:tblPr>
      <w:tr>
        <w:trPr>
          <w:trHeight w:val="297"/>
        </w:trPr>
        <w:tc>
          <w:tcPr>
            <w:tcW w:w="7300" w:type="dxa"/>
            <w:vAlign w:val="bottom"/>
            <w:tcBorders>
              <w:top w:val="single" w:sz="8" w:color="auto"/>
              <w:left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20"/>
                <w:szCs w:val="20"/>
                <w:color w:val="auto"/>
              </w:rPr>
              <w:t xml:space="preserve">Fair Isaac Polska sp. z.o.o. </w:t>
            </w:r>
            <w:r>
              <w:rPr>
                <w:rFonts w:ascii="Arial" w:cs="Arial" w:eastAsia="Arial" w:hAnsi="Arial"/>
                <w:sz w:val="25"/>
                <w:szCs w:val="25"/>
                <w:color w:val="auto"/>
                <w:vertAlign w:val="superscript"/>
              </w:rPr>
              <w:t>(14)</w:t>
            </w:r>
          </w:p>
        </w:tc>
        <w:tc>
          <w:tcPr>
            <w:tcW w:w="3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Poland</w:t>
            </w:r>
          </w:p>
        </w:tc>
      </w:tr>
      <w:tr>
        <w:trPr>
          <w:trHeight w:val="277"/>
        </w:trPr>
        <w:tc>
          <w:tcPr>
            <w:tcW w:w="7300" w:type="dxa"/>
            <w:vAlign w:val="bottom"/>
            <w:tcBorders>
              <w:left w:val="single" w:sz="8" w:color="auto"/>
              <w:bottom w:val="single" w:sz="8" w:color="auto"/>
              <w:right w:val="single" w:sz="8" w:color="auto"/>
            </w:tcBorders>
          </w:tcPr>
          <w:p>
            <w:pPr>
              <w:ind w:left="980"/>
              <w:spacing w:after="0" w:line="277" w:lineRule="exact"/>
              <w:rPr>
                <w:sz w:val="20"/>
                <w:szCs w:val="20"/>
                <w:color w:val="auto"/>
              </w:rPr>
            </w:pPr>
            <w:r>
              <w:rPr>
                <w:rFonts w:ascii="Arial" w:cs="Arial" w:eastAsia="Arial" w:hAnsi="Arial"/>
                <w:sz w:val="20"/>
                <w:szCs w:val="20"/>
                <w:color w:val="auto"/>
              </w:rPr>
              <w:t xml:space="preserve">Fair Isaac Nordics AB </w:t>
            </w:r>
            <w:r>
              <w:rPr>
                <w:rFonts w:ascii="Arial" w:cs="Arial" w:eastAsia="Arial" w:hAnsi="Arial"/>
                <w:sz w:val="25"/>
                <w:szCs w:val="25"/>
                <w:color w:val="auto"/>
                <w:vertAlign w:val="superscript"/>
              </w:rPr>
              <w:t>(14)</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Sweden</w:t>
            </w:r>
          </w:p>
        </w:tc>
      </w:tr>
      <w:tr>
        <w:trPr>
          <w:trHeight w:val="277"/>
        </w:trPr>
        <w:tc>
          <w:tcPr>
            <w:tcW w:w="7300" w:type="dxa"/>
            <w:vAlign w:val="bottom"/>
            <w:tcBorders>
              <w:left w:val="single" w:sz="8" w:color="auto"/>
              <w:bottom w:val="single" w:sz="8" w:color="auto"/>
              <w:right w:val="single" w:sz="8" w:color="auto"/>
            </w:tcBorders>
          </w:tcPr>
          <w:p>
            <w:pPr>
              <w:ind w:left="840"/>
              <w:spacing w:after="0" w:line="277" w:lineRule="exact"/>
              <w:rPr>
                <w:sz w:val="20"/>
                <w:szCs w:val="20"/>
                <w:color w:val="auto"/>
              </w:rPr>
            </w:pPr>
            <w:r>
              <w:rPr>
                <w:rFonts w:ascii="Arial" w:cs="Arial" w:eastAsia="Arial" w:hAnsi="Arial"/>
                <w:sz w:val="20"/>
                <w:szCs w:val="20"/>
                <w:color w:val="auto"/>
              </w:rPr>
              <w:t xml:space="preserve">Fair Isaac (ASPAC) Pte. Ltd. </w:t>
            </w:r>
            <w:r>
              <w:rPr>
                <w:rFonts w:ascii="Arial" w:cs="Arial" w:eastAsia="Arial" w:hAnsi="Arial"/>
                <w:sz w:val="25"/>
                <w:szCs w:val="25"/>
                <w:color w:val="auto"/>
                <w:vertAlign w:val="superscript"/>
              </w:rPr>
              <w:t>(13)</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Singapore</w:t>
            </w:r>
          </w:p>
        </w:tc>
      </w:tr>
      <w:tr>
        <w:trPr>
          <w:trHeight w:val="277"/>
        </w:trPr>
        <w:tc>
          <w:tcPr>
            <w:tcW w:w="7300" w:type="dxa"/>
            <w:vAlign w:val="bottom"/>
            <w:tcBorders>
              <w:left w:val="single" w:sz="8" w:color="auto"/>
              <w:bottom w:val="single" w:sz="8" w:color="auto"/>
              <w:right w:val="single" w:sz="8" w:color="auto"/>
            </w:tcBorders>
          </w:tcPr>
          <w:p>
            <w:pPr>
              <w:ind w:left="980"/>
              <w:spacing w:after="0" w:line="277" w:lineRule="exact"/>
              <w:rPr>
                <w:sz w:val="20"/>
                <w:szCs w:val="20"/>
                <w:color w:val="auto"/>
              </w:rPr>
            </w:pPr>
            <w:r>
              <w:rPr>
                <w:rFonts w:ascii="Arial" w:cs="Arial" w:eastAsia="Arial" w:hAnsi="Arial"/>
                <w:sz w:val="20"/>
                <w:szCs w:val="20"/>
                <w:color w:val="auto"/>
              </w:rPr>
              <w:t xml:space="preserve">Fair Isaac (Australia) Pty Ltd </w:t>
            </w:r>
            <w:r>
              <w:rPr>
                <w:rFonts w:ascii="Arial" w:cs="Arial" w:eastAsia="Arial" w:hAnsi="Arial"/>
                <w:sz w:val="25"/>
                <w:szCs w:val="25"/>
                <w:color w:val="auto"/>
                <w:vertAlign w:val="superscript"/>
              </w:rPr>
              <w:t>(15)</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Australia</w:t>
            </w:r>
          </w:p>
        </w:tc>
      </w:tr>
      <w:tr>
        <w:trPr>
          <w:trHeight w:val="277"/>
        </w:trPr>
        <w:tc>
          <w:tcPr>
            <w:tcW w:w="7300" w:type="dxa"/>
            <w:vAlign w:val="bottom"/>
            <w:tcBorders>
              <w:left w:val="single" w:sz="8" w:color="auto"/>
              <w:bottom w:val="single" w:sz="8" w:color="auto"/>
              <w:right w:val="single" w:sz="8" w:color="auto"/>
            </w:tcBorders>
          </w:tcPr>
          <w:p>
            <w:pPr>
              <w:ind w:left="840"/>
              <w:spacing w:after="0" w:line="277" w:lineRule="exact"/>
              <w:rPr>
                <w:sz w:val="20"/>
                <w:szCs w:val="20"/>
                <w:color w:val="auto"/>
              </w:rPr>
            </w:pPr>
            <w:r>
              <w:rPr>
                <w:rFonts w:ascii="Arial" w:cs="Arial" w:eastAsia="Arial" w:hAnsi="Arial"/>
                <w:sz w:val="20"/>
                <w:szCs w:val="20"/>
                <w:color w:val="auto"/>
              </w:rPr>
              <w:t xml:space="preserve">Fair Isaac Holdings One GmbH </w:t>
            </w:r>
            <w:r>
              <w:rPr>
                <w:rFonts w:ascii="Arial" w:cs="Arial" w:eastAsia="Arial" w:hAnsi="Arial"/>
                <w:sz w:val="25"/>
                <w:szCs w:val="25"/>
                <w:color w:val="auto"/>
                <w:vertAlign w:val="superscript"/>
              </w:rPr>
              <w:t>(13)</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Germany</w:t>
            </w:r>
          </w:p>
        </w:tc>
      </w:tr>
      <w:tr>
        <w:trPr>
          <w:trHeight w:val="277"/>
        </w:trPr>
        <w:tc>
          <w:tcPr>
            <w:tcW w:w="7300" w:type="dxa"/>
            <w:vAlign w:val="bottom"/>
            <w:tcBorders>
              <w:left w:val="single" w:sz="8" w:color="auto"/>
              <w:bottom w:val="single" w:sz="8" w:color="auto"/>
              <w:right w:val="single" w:sz="8" w:color="auto"/>
            </w:tcBorders>
          </w:tcPr>
          <w:p>
            <w:pPr>
              <w:ind w:left="840"/>
              <w:spacing w:after="0" w:line="277" w:lineRule="exact"/>
              <w:rPr>
                <w:sz w:val="20"/>
                <w:szCs w:val="20"/>
                <w:color w:val="auto"/>
              </w:rPr>
            </w:pPr>
            <w:r>
              <w:rPr>
                <w:rFonts w:ascii="Arial" w:cs="Arial" w:eastAsia="Arial" w:hAnsi="Arial"/>
                <w:sz w:val="20"/>
                <w:szCs w:val="20"/>
                <w:color w:val="auto"/>
              </w:rPr>
              <w:t xml:space="preserve">Fair Isaac Holdings Two GmbH </w:t>
            </w:r>
            <w:r>
              <w:rPr>
                <w:rFonts w:ascii="Arial" w:cs="Arial" w:eastAsia="Arial" w:hAnsi="Arial"/>
                <w:sz w:val="25"/>
                <w:szCs w:val="25"/>
                <w:color w:val="auto"/>
                <w:vertAlign w:val="superscript"/>
              </w:rPr>
              <w:t>(13)</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Germany</w:t>
            </w:r>
          </w:p>
        </w:tc>
      </w:tr>
      <w:tr>
        <w:trPr>
          <w:trHeight w:val="277"/>
        </w:trPr>
        <w:tc>
          <w:tcPr>
            <w:tcW w:w="7300" w:type="dxa"/>
            <w:vAlign w:val="bottom"/>
            <w:tcBorders>
              <w:left w:val="single" w:sz="8" w:color="auto"/>
              <w:bottom w:val="single" w:sz="8" w:color="auto"/>
              <w:right w:val="single" w:sz="8" w:color="auto"/>
            </w:tcBorders>
          </w:tcPr>
          <w:p>
            <w:pPr>
              <w:ind w:left="980"/>
              <w:spacing w:after="0" w:line="277" w:lineRule="exact"/>
              <w:rPr>
                <w:sz w:val="20"/>
                <w:szCs w:val="20"/>
                <w:color w:val="auto"/>
              </w:rPr>
            </w:pPr>
            <w:r>
              <w:rPr>
                <w:rFonts w:ascii="Arial" w:cs="Arial" w:eastAsia="Arial" w:hAnsi="Arial"/>
                <w:sz w:val="20"/>
                <w:szCs w:val="20"/>
                <w:color w:val="auto"/>
              </w:rPr>
              <w:t xml:space="preserve">Fair Isaac Germany GmbH </w:t>
            </w:r>
            <w:r>
              <w:rPr>
                <w:rFonts w:ascii="Arial" w:cs="Arial" w:eastAsia="Arial" w:hAnsi="Arial"/>
                <w:sz w:val="25"/>
                <w:szCs w:val="25"/>
                <w:color w:val="auto"/>
                <w:vertAlign w:val="superscript"/>
              </w:rPr>
              <w:t>(16)</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Germany</w:t>
            </w:r>
          </w:p>
        </w:tc>
      </w:tr>
      <w:tr>
        <w:trPr>
          <w:trHeight w:val="277"/>
        </w:trPr>
        <w:tc>
          <w:tcPr>
            <w:tcW w:w="7300" w:type="dxa"/>
            <w:vAlign w:val="bottom"/>
            <w:tcBorders>
              <w:left w:val="single" w:sz="8" w:color="auto"/>
              <w:bottom w:val="single" w:sz="8" w:color="auto"/>
              <w:right w:val="single" w:sz="8" w:color="auto"/>
            </w:tcBorders>
          </w:tcPr>
          <w:p>
            <w:pPr>
              <w:ind w:left="280"/>
              <w:spacing w:after="0" w:line="277" w:lineRule="exact"/>
              <w:rPr>
                <w:sz w:val="20"/>
                <w:szCs w:val="20"/>
                <w:color w:val="auto"/>
              </w:rPr>
            </w:pPr>
            <w:r>
              <w:rPr>
                <w:rFonts w:ascii="Arial" w:cs="Arial" w:eastAsia="Arial" w:hAnsi="Arial"/>
                <w:sz w:val="20"/>
                <w:szCs w:val="20"/>
                <w:color w:val="auto"/>
              </w:rPr>
              <w:t xml:space="preserve">Fair Isaac (Thailand) Co., Ltd. </w:t>
            </w:r>
            <w:r>
              <w:rPr>
                <w:rFonts w:ascii="Arial" w:cs="Arial" w:eastAsia="Arial" w:hAnsi="Arial"/>
                <w:sz w:val="25"/>
                <w:szCs w:val="25"/>
                <w:color w:val="auto"/>
                <w:vertAlign w:val="superscript"/>
              </w:rPr>
              <w:t>(17)</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Thailand</w:t>
            </w:r>
          </w:p>
        </w:tc>
      </w:tr>
      <w:tr>
        <w:trPr>
          <w:trHeight w:val="277"/>
        </w:trPr>
        <w:tc>
          <w:tcPr>
            <w:tcW w:w="7300" w:type="dxa"/>
            <w:vAlign w:val="bottom"/>
            <w:tcBorders>
              <w:left w:val="single" w:sz="8" w:color="auto"/>
              <w:bottom w:val="single" w:sz="8" w:color="auto"/>
              <w:right w:val="single" w:sz="8" w:color="auto"/>
            </w:tcBorders>
          </w:tcPr>
          <w:p>
            <w:pPr>
              <w:ind w:left="280"/>
              <w:spacing w:after="0" w:line="277" w:lineRule="exact"/>
              <w:rPr>
                <w:sz w:val="20"/>
                <w:szCs w:val="20"/>
                <w:color w:val="auto"/>
              </w:rPr>
            </w:pPr>
            <w:r>
              <w:rPr>
                <w:rFonts w:ascii="Arial" w:cs="Arial" w:eastAsia="Arial" w:hAnsi="Arial"/>
                <w:sz w:val="20"/>
                <w:szCs w:val="20"/>
                <w:color w:val="auto"/>
              </w:rPr>
              <w:t xml:space="preserve">Fair Isaac WBR Limited Liability Company </w:t>
            </w:r>
            <w:r>
              <w:rPr>
                <w:rFonts w:ascii="Arial" w:cs="Arial" w:eastAsia="Arial" w:hAnsi="Arial"/>
                <w:sz w:val="25"/>
                <w:szCs w:val="25"/>
                <w:color w:val="auto"/>
                <w:vertAlign w:val="superscript"/>
              </w:rPr>
              <w:t>(18)</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Russia</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Footnotes: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w:t>
            </w:r>
          </w:p>
        </w:tc>
        <w:tc>
          <w:tcPr>
            <w:tcW w:w="6820" w:type="dxa"/>
            <w:vAlign w:val="bottom"/>
          </w:tcPr>
          <w:p>
            <w:pPr>
              <w:ind w:left="100"/>
              <w:spacing w:after="0"/>
              <w:rPr>
                <w:sz w:val="20"/>
                <w:szCs w:val="20"/>
                <w:color w:val="auto"/>
              </w:rPr>
            </w:pPr>
            <w:r>
              <w:rPr>
                <w:rFonts w:ascii="Arial" w:cs="Arial" w:eastAsia="Arial" w:hAnsi="Arial"/>
                <w:sz w:val="11"/>
                <w:szCs w:val="11"/>
                <w:color w:val="auto"/>
              </w:rPr>
              <w:t>100% owned by Fair Isaac Corporation</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(2)</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Holdings, Inc.</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(3)</w:t>
            </w:r>
          </w:p>
        </w:tc>
        <w:tc>
          <w:tcPr>
            <w:tcW w:w="6820" w:type="dxa"/>
            <w:vAlign w:val="bottom"/>
          </w:tcPr>
          <w:p>
            <w:pPr>
              <w:ind w:left="260"/>
              <w:spacing w:after="0"/>
              <w:rPr>
                <w:sz w:val="20"/>
                <w:szCs w:val="20"/>
                <w:color w:val="auto"/>
              </w:rPr>
            </w:pPr>
            <w:r>
              <w:rPr>
                <w:rFonts w:ascii="Arial" w:cs="Arial" w:eastAsia="Arial" w:hAnsi="Arial"/>
                <w:sz w:val="11"/>
                <w:szCs w:val="11"/>
                <w:color w:val="auto"/>
              </w:rPr>
              <w:t>99.99% owned by Entiera, Inc., .005% owned by Fair Isaac Asia Holdings, Inc. and .005% owned by Fair Isaac Asia Pacific Corp.</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(4)</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International Corporation</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(5)</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Asia Pacific Corp.</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(6)</w:t>
            </w:r>
          </w:p>
        </w:tc>
        <w:tc>
          <w:tcPr>
            <w:tcW w:w="6820" w:type="dxa"/>
            <w:vAlign w:val="bottom"/>
          </w:tcPr>
          <w:p>
            <w:pPr>
              <w:ind w:left="260"/>
              <w:spacing w:after="0"/>
              <w:rPr>
                <w:sz w:val="20"/>
                <w:szCs w:val="20"/>
                <w:color w:val="auto"/>
              </w:rPr>
            </w:pPr>
            <w:r>
              <w:rPr>
                <w:rFonts w:ascii="Arial" w:cs="Arial" w:eastAsia="Arial" w:hAnsi="Arial"/>
                <w:sz w:val="11"/>
                <w:szCs w:val="11"/>
                <w:color w:val="auto"/>
              </w:rPr>
              <w:t>99% owned by Fair Isaac International Corporation and 1% owned by Fair Isaac Brazil, LLC</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(7)</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Asia Holdings, Inc.</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(8)</w:t>
            </w:r>
          </w:p>
        </w:tc>
        <w:tc>
          <w:tcPr>
            <w:tcW w:w="6820" w:type="dxa"/>
            <w:vAlign w:val="bottom"/>
          </w:tcPr>
          <w:p>
            <w:pPr>
              <w:ind w:left="260"/>
              <w:spacing w:after="0"/>
              <w:rPr>
                <w:sz w:val="20"/>
                <w:szCs w:val="20"/>
                <w:color w:val="auto"/>
              </w:rPr>
            </w:pPr>
            <w:r>
              <w:rPr>
                <w:rFonts w:ascii="Arial" w:cs="Arial" w:eastAsia="Arial" w:hAnsi="Arial"/>
                <w:sz w:val="11"/>
                <w:szCs w:val="11"/>
                <w:color w:val="auto"/>
              </w:rPr>
              <w:t>99.99% owned by Fair Isaac International Corporation and .01% owned by Fair Isaac Corporation</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(9)</w:t>
            </w:r>
          </w:p>
        </w:tc>
        <w:tc>
          <w:tcPr>
            <w:tcW w:w="6820" w:type="dxa"/>
            <w:vAlign w:val="bottom"/>
          </w:tcPr>
          <w:p>
            <w:pPr>
              <w:ind w:left="260"/>
              <w:spacing w:after="0"/>
              <w:rPr>
                <w:sz w:val="20"/>
                <w:szCs w:val="20"/>
                <w:color w:val="auto"/>
              </w:rPr>
            </w:pPr>
            <w:r>
              <w:rPr>
                <w:rFonts w:ascii="Arial" w:cs="Arial" w:eastAsia="Arial" w:hAnsi="Arial"/>
                <w:sz w:val="11"/>
                <w:szCs w:val="11"/>
                <w:color w:val="auto"/>
              </w:rPr>
              <w:t>90% owned by Fair Isaac International Corporation and 10% owned by Fair Isaac Corporation</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(10)</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UK Holdings, Inc.</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(11)</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UK Group Limited</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(12)</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UK International Holdings Ltd.</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(13)</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Software Holding Limited</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(14)</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Europe Limited</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(15)</w:t>
            </w:r>
          </w:p>
        </w:tc>
        <w:tc>
          <w:tcPr>
            <w:tcW w:w="6820" w:type="dxa"/>
            <w:vAlign w:val="bottom"/>
          </w:tcPr>
          <w:p>
            <w:pPr>
              <w:ind w:left="260"/>
              <w:spacing w:after="0"/>
              <w:rPr>
                <w:sz w:val="20"/>
                <w:szCs w:val="20"/>
                <w:color w:val="auto"/>
              </w:rPr>
            </w:pPr>
            <w:r>
              <w:rPr>
                <w:rFonts w:ascii="Arial" w:cs="Arial" w:eastAsia="Arial" w:hAnsi="Arial"/>
                <w:sz w:val="11"/>
                <w:szCs w:val="11"/>
                <w:color w:val="auto"/>
              </w:rPr>
              <w:t>100% owned by Fair Isaac (ASPAC) Pte. Ltd.</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(16)</w:t>
            </w:r>
          </w:p>
        </w:tc>
        <w:tc>
          <w:tcPr>
            <w:tcW w:w="6820" w:type="dxa"/>
            <w:vAlign w:val="bottom"/>
          </w:tcPr>
          <w:p>
            <w:pPr>
              <w:ind w:left="260"/>
              <w:spacing w:after="0"/>
              <w:rPr>
                <w:sz w:val="20"/>
                <w:szCs w:val="20"/>
                <w:color w:val="auto"/>
              </w:rPr>
            </w:pPr>
            <w:r>
              <w:rPr>
                <w:rFonts w:ascii="Arial" w:cs="Arial" w:eastAsia="Arial" w:hAnsi="Arial"/>
                <w:sz w:val="11"/>
                <w:szCs w:val="11"/>
                <w:color w:val="auto"/>
              </w:rPr>
              <w:t>70% owned by Fair Isaac Holdings One GmbH and 30% owned by Fair Isaac Holdings Two GmbH</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(17)</w:t>
            </w:r>
          </w:p>
        </w:tc>
        <w:tc>
          <w:tcPr>
            <w:tcW w:w="6820" w:type="dxa"/>
            <w:vAlign w:val="bottom"/>
          </w:tcPr>
          <w:p>
            <w:pPr>
              <w:ind w:left="260"/>
              <w:spacing w:after="0"/>
              <w:rPr>
                <w:sz w:val="20"/>
                <w:szCs w:val="20"/>
                <w:color w:val="auto"/>
              </w:rPr>
            </w:pPr>
            <w:r>
              <w:rPr>
                <w:rFonts w:ascii="Arial" w:cs="Arial" w:eastAsia="Arial" w:hAnsi="Arial"/>
                <w:sz w:val="11"/>
                <w:szCs w:val="11"/>
                <w:color w:val="auto"/>
                <w:w w:val="89"/>
              </w:rPr>
              <w:t>99.98% owned by Fair Isaac International Corporation, .01% owned by Fair Isaac Asia Holdings, Inc. and .01% owned by Fair Isaac Asia Pacific Corp.</w:t>
            </w:r>
          </w:p>
        </w:tc>
        <w:tc>
          <w:tcPr>
            <w:tcW w:w="0" w:type="dxa"/>
            <w:vAlign w:val="bottom"/>
          </w:tcPr>
          <w:p>
            <w:pPr>
              <w:spacing w:after="0"/>
              <w:rPr>
                <w:sz w:val="1"/>
                <w:szCs w:val="1"/>
                <w:color w:val="auto"/>
              </w:rPr>
            </w:pPr>
          </w:p>
        </w:tc>
      </w:tr>
      <w:tr>
        <w:trPr>
          <w:trHeight w:val="75"/>
        </w:trPr>
        <w:tc>
          <w:tcPr>
            <w:tcW w:w="400" w:type="dxa"/>
            <w:vAlign w:val="bottom"/>
            <w:vMerge w:val="continue"/>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vMerge w:val="restart"/>
          </w:tcPr>
          <w:p>
            <w:pPr>
              <w:spacing w:after="0"/>
              <w:rPr>
                <w:sz w:val="20"/>
                <w:szCs w:val="20"/>
                <w:color w:val="auto"/>
              </w:rPr>
            </w:pPr>
            <w:r>
              <w:rPr>
                <w:rFonts w:ascii="Arial" w:cs="Arial" w:eastAsia="Arial" w:hAnsi="Arial"/>
                <w:sz w:val="18"/>
                <w:szCs w:val="18"/>
                <w:color w:val="auto"/>
              </w:rPr>
              <w:t>(18)</w:t>
            </w:r>
          </w:p>
        </w:tc>
        <w:tc>
          <w:tcPr>
            <w:tcW w:w="6820" w:type="dxa"/>
            <w:vAlign w:val="bottom"/>
          </w:tcPr>
          <w:p>
            <w:pPr>
              <w:ind w:left="260"/>
              <w:spacing w:after="0"/>
              <w:rPr>
                <w:sz w:val="20"/>
                <w:szCs w:val="20"/>
                <w:color w:val="auto"/>
              </w:rPr>
            </w:pPr>
            <w:r>
              <w:rPr>
                <w:rFonts w:ascii="Arial" w:cs="Arial" w:eastAsia="Arial" w:hAnsi="Arial"/>
                <w:sz w:val="11"/>
                <w:szCs w:val="11"/>
                <w:color w:val="auto"/>
              </w:rPr>
              <w:t>99% owned by Fair Isaac International Corporation and 1% owned by Fair Isaac Corporation</w:t>
            </w:r>
          </w:p>
        </w:tc>
        <w:tc>
          <w:tcPr>
            <w:tcW w:w="0" w:type="dxa"/>
            <w:vAlign w:val="bottom"/>
          </w:tcPr>
          <w:p>
            <w:pPr>
              <w:spacing w:after="0"/>
              <w:rPr>
                <w:sz w:val="1"/>
                <w:szCs w:val="1"/>
                <w:color w:val="auto"/>
              </w:rPr>
            </w:pPr>
          </w:p>
        </w:tc>
      </w:tr>
      <w:tr>
        <w:trPr>
          <w:trHeight w:val="90"/>
        </w:trPr>
        <w:tc>
          <w:tcPr>
            <w:tcW w:w="40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0"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We consent to the incorporation by reference in Registration Statements No. 333-194231, 333-114364, 333-133268, 333-179417, 333-123751, 333-123750, 333-114365, 333-66348, 333-32398, 333-95889, 333-83905, 333-65179, 333-02121, 333-102849, and 33-63426 on Form S-8 of our report dated November 10, 2016, relating to the consolidated financial statements of Fair Isaac Corporation and subsidiaries and the effectiveness of Fair Isaac Corporation’s internal control over financial reporting, appearing in this Annual Report on Form 10-K of Fair Isaac Corporation for the year ended September 30, 2016.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DELOITTE &amp; TOUCHE LLP</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San Diego, CA</w:t>
      </w:r>
    </w:p>
    <w:p>
      <w:pPr>
        <w:spacing w:after="0"/>
        <w:rPr>
          <w:sz w:val="20"/>
          <w:szCs w:val="20"/>
          <w:color w:val="auto"/>
        </w:rPr>
      </w:pPr>
      <w:r>
        <w:rPr>
          <w:rFonts w:ascii="Arial" w:cs="Arial" w:eastAsia="Arial" w:hAnsi="Arial"/>
          <w:sz w:val="20"/>
          <w:szCs w:val="20"/>
          <w:color w:val="auto"/>
        </w:rPr>
        <w:t>November 10, 2016</w:t>
      </w:r>
    </w:p>
    <w:p>
      <w:pPr>
        <w:sectPr>
          <w:pgSz w:w="11900" w:h="16838" w:orient="portrait"/>
          <w:cols w:equalWidth="0" w:num="1">
            <w:col w:w="11420"/>
          </w:cols>
          <w:pgMar w:left="240" w:top="58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7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Fair Isaac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360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J. Pung, certify that:</w:t>
      </w:r>
    </w:p>
    <w:p>
      <w:pPr>
        <w:spacing w:after="0" w:line="17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Fair Isaac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360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J. Pung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360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2016</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PUNG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360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J. Pung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lowerRoman"/>
      <w:start w:val="2"/>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lowerLetter"/>
      <w:start w:val="2"/>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2"/>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lowerRoman"/>
      <w:start w:val="3"/>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lowerRoman"/>
      <w:start w:val="3"/>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2"/>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2019-12-29T08:47:15Z</dcterms:created>
  <dcterms:modified xsi:type="dcterms:W3CDTF">2019-12-29T08:47:15Z</dcterms:modified>
</cp:coreProperties>
</file>