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158750</wp:posOffset>
            </wp:positionV>
            <wp:extent cx="1406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-127635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42" w:lineRule="exact"/>
        <w:rPr>
          <w:sz w:val="24"/>
          <w:szCs w:val="24"/>
          <w:color w:val="auto"/>
        </w:rPr>
      </w:pPr>
    </w:p>
    <w:p>
      <w:pPr>
        <w:ind w:left="380" w:right="60" w:hanging="345"/>
        <w:spacing w:after="0" w:line="248"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61" w:lineRule="exact"/>
        <w:rPr>
          <w:sz w:val="24"/>
          <w:szCs w:val="24"/>
          <w:color w:val="auto"/>
        </w:rPr>
      </w:pPr>
    </w:p>
    <w:p>
      <w:pPr>
        <w:ind w:left="380" w:right="6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3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1-11689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248920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330835</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43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ind w:left="1881"/>
              <w:spacing w:after="0"/>
              <w:rPr>
                <w:sz w:val="20"/>
                <w:szCs w:val="20"/>
                <w:color w:val="auto"/>
              </w:rPr>
            </w:pPr>
            <w:r>
              <w:rPr>
                <w:rFonts w:ascii="Arial" w:cs="Arial" w:eastAsia="Arial" w:hAnsi="Arial"/>
                <w:sz w:val="18"/>
                <w:szCs w:val="18"/>
                <w:b w:val="1"/>
                <w:bCs w:val="1"/>
                <w:color w:val="auto"/>
                <w:w w:val="89"/>
              </w:rPr>
              <w:t>94-1499887</w:t>
            </w:r>
          </w:p>
        </w:tc>
      </w:tr>
      <w:tr>
        <w:trPr>
          <w:trHeight w:val="218"/>
        </w:trPr>
        <w:tc>
          <w:tcPr>
            <w:tcW w:w="43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4"/>
              </w:rPr>
              <w:t>(I.R.S. Employer</w:t>
            </w:r>
          </w:p>
        </w:tc>
      </w:tr>
      <w:tr>
        <w:trPr>
          <w:trHeight w:val="203"/>
        </w:trPr>
        <w:tc>
          <w:tcPr>
            <w:tcW w:w="43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181 Metro Drive, Suite 700</w:t>
            </w:r>
          </w:p>
        </w:tc>
        <w:tc>
          <w:tcPr>
            <w:tcW w:w="3100" w:type="dxa"/>
            <w:vAlign w:val="bottom"/>
          </w:tcPr>
          <w:p>
            <w:pPr>
              <w:spacing w:after="0"/>
              <w:rPr>
                <w:sz w:val="24"/>
                <w:szCs w:val="24"/>
                <w:color w:val="auto"/>
              </w:rPr>
            </w:pPr>
          </w:p>
        </w:tc>
      </w:tr>
      <w:tr>
        <w:trPr>
          <w:trHeight w:val="234"/>
        </w:trPr>
        <w:tc>
          <w:tcPr>
            <w:tcW w:w="43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San Jose, California</w:t>
            </w:r>
          </w:p>
        </w:tc>
        <w:tc>
          <w:tcPr>
            <w:tcW w:w="3100" w:type="dxa"/>
            <w:vAlign w:val="bottom"/>
          </w:tcPr>
          <w:p>
            <w:pPr>
              <w:jc w:val="center"/>
              <w:ind w:left="1881"/>
              <w:spacing w:after="0"/>
              <w:rPr>
                <w:sz w:val="20"/>
                <w:szCs w:val="20"/>
                <w:color w:val="auto"/>
              </w:rPr>
            </w:pPr>
            <w:r>
              <w:rPr>
                <w:rFonts w:ascii="Arial" w:cs="Arial" w:eastAsia="Arial" w:hAnsi="Arial"/>
                <w:sz w:val="18"/>
                <w:szCs w:val="18"/>
                <w:b w:val="1"/>
                <w:bCs w:val="1"/>
                <w:color w:val="auto"/>
                <w:w w:val="89"/>
              </w:rPr>
              <w:t>95110-1346</w:t>
            </w:r>
          </w:p>
        </w:tc>
      </w:tr>
      <w:tr>
        <w:trPr>
          <w:trHeight w:val="218"/>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408-535-1500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343535</wp:posOffset>
            </wp:positionV>
            <wp:extent cx="1406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4560" w:space="720"/>
            <w:col w:w="160" w:space="300"/>
            <w:col w:w="4440" w:space="720"/>
            <w:col w:w="520"/>
          </w:cols>
          <w:pgMar w:left="240" w:top="233" w:right="23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56" w:lineRule="exact"/>
        <w:rPr>
          <w:sz w:val="24"/>
          <w:szCs w:val="24"/>
          <w:color w:val="auto"/>
        </w:rPr>
      </w:pPr>
    </w:p>
    <w:p>
      <w:pPr>
        <w:sectPr>
          <w:pgSz w:w="11900" w:h="16838" w:orient="portrait"/>
          <w:cols w:equalWidth="0" w:num="4">
            <w:col w:w="4560" w:space="720"/>
            <w:col w:w="80" w:space="380"/>
            <w:col w:w="4440" w:space="720"/>
            <w:col w:w="520"/>
          </w:cols>
          <w:pgMar w:left="240" w:top="233"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29" w:lineRule="exact"/>
        <w:rPr>
          <w:sz w:val="24"/>
          <w:szCs w:val="24"/>
          <w:color w:val="auto"/>
        </w:rPr>
      </w:pPr>
    </w:p>
    <w:p>
      <w:pPr>
        <w:sectPr>
          <w:pgSz w:w="11900" w:h="16838" w:orient="portrait"/>
          <w:cols w:equalWidth="0" w:num="5">
            <w:col w:w="8620" w:space="180"/>
            <w:col w:w="160" w:space="80"/>
            <w:col w:w="260" w:space="180"/>
            <w:col w:w="160" w:space="100"/>
            <w:col w:w="168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number of shares of common stock outstanding on April 17, 2015 was 31,051,574 (excluding 57,805,209 shares held by us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4"/>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9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5160" w:type="dxa"/>
            <w:vAlign w:val="bottom"/>
            <w:gridSpan w:val="4"/>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820" w:type="dxa"/>
            <w:vAlign w:val="bottom"/>
            <w:gridSpan w:val="8"/>
          </w:tcPr>
          <w:p>
            <w:pPr>
              <w:spacing w:after="0"/>
              <w:rPr>
                <w:sz w:val="24"/>
                <w:szCs w:val="24"/>
                <w:color w:val="auto"/>
              </w:rPr>
            </w:pPr>
          </w:p>
        </w:tc>
        <w:tc>
          <w:tcPr>
            <w:tcW w:w="20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14</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396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04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 OTHER INFORMATION</w:t>
              </w:r>
            </w:hyperlink>
          </w:p>
        </w:tc>
        <w:tc>
          <w:tcPr>
            <w:tcW w:w="546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04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7000" w:type="dxa"/>
            <w:vAlign w:val="bottom"/>
            <w:gridSpan w:val="9"/>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20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1"/>
                <w:szCs w:val="21"/>
                <w:color w:val="auto"/>
              </w:rPr>
            </w:pPr>
          </w:p>
        </w:tc>
        <w:tc>
          <w:tcPr>
            <w:tcW w:w="3980" w:type="dxa"/>
            <w:vAlign w:val="bottom"/>
            <w:gridSpan w:val="3"/>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20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6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1"/>
                <w:szCs w:val="21"/>
                <w:color w:val="auto"/>
              </w:rPr>
            </w:pPr>
          </w:p>
        </w:tc>
        <w:tc>
          <w:tcPr>
            <w:tcW w:w="7020" w:type="dxa"/>
            <w:vAlign w:val="bottom"/>
            <w:gridSpan w:val="10"/>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80"/>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rPr>
              <w:t>FAIR ISAAC CORPORATION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190"/>
        </w:trPr>
        <w:tc>
          <w:tcPr>
            <w:tcW w:w="12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9"/>
              </w:rPr>
              <w:t>(In thousands, except par value data)</w:t>
            </w:r>
          </w:p>
        </w:tc>
      </w:tr>
      <w:tr>
        <w:trPr>
          <w:trHeight w:val="256"/>
        </w:trPr>
        <w:tc>
          <w:tcPr>
            <w:tcW w:w="128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105,075</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169,932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155,295</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28,157</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301,755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288,527</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11,033</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36,677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809,117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779,928</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47,914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13,061</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6,407</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1,236,651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1,192,298</w:t>
            </w:r>
          </w:p>
        </w:tc>
      </w:tr>
      <w:tr>
        <w:trPr>
          <w:trHeight w:val="67"/>
        </w:trPr>
        <w:tc>
          <w:tcPr>
            <w:tcW w:w="1280" w:type="dxa"/>
            <w:vAlign w:val="bottom"/>
            <w:tcBorders>
              <w:bottom w:val="single" w:sz="8" w:color="CCEEFF"/>
            </w:tcBorders>
          </w:tcPr>
          <w:p>
            <w:pPr>
              <w:spacing w:after="0"/>
              <w:rPr>
                <w:sz w:val="5"/>
                <w:szCs w:val="5"/>
                <w:color w:val="auto"/>
              </w:rPr>
            </w:pPr>
          </w:p>
        </w:tc>
        <w:tc>
          <w:tcPr>
            <w:tcW w:w="70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128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jc w:val="center"/>
              <w:ind w:right="1190"/>
              <w:spacing w:after="0" w:line="196" w:lineRule="exact"/>
              <w:rPr>
                <w:sz w:val="20"/>
                <w:szCs w:val="20"/>
                <w:color w:val="auto"/>
              </w:rPr>
            </w:pPr>
            <w:r>
              <w:rPr>
                <w:rFonts w:ascii="Arial" w:cs="Arial" w:eastAsia="Arial" w:hAnsi="Arial"/>
                <w:sz w:val="18"/>
                <w:szCs w:val="18"/>
                <w:b w:val="1"/>
                <w:bCs w:val="1"/>
                <w:color w:val="auto"/>
                <w:w w:val="91"/>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22,000</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56,650</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36,235</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56,519</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maturities on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170,000</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256,083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341,404</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20,280</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855,489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737,684</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1280" w:type="dxa"/>
            <w:vAlign w:val="bottom"/>
          </w:tcPr>
          <w:p>
            <w:pPr>
              <w:spacing w:after="0"/>
              <w:rPr>
                <w:sz w:val="3"/>
                <w:szCs w:val="3"/>
                <w:color w:val="auto"/>
              </w:rPr>
            </w:pPr>
          </w:p>
        </w:tc>
        <w:tc>
          <w:tcPr>
            <w:tcW w:w="7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Common stock ($0.01 par value; 200,000 shares authorized, 88,857 shares issued and 31,368 and 32,047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shares outstanding at March 31, 2015 and September 30, 2014,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Paid-in-capital</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1,130,709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1,129,317</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(57,489 and 56,810 shares at March 31, 2015 and September 30, 2014,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(1,936,095)</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1,316,278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1,284,261</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454,614</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1,236,651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1,192,298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tbl>
      <w:tblPr>
        <w:tblLayout w:type="fixed"/>
        <w:tblInd w:w="3780" w:type="dxa"/>
        <w:tblCellMar>
          <w:top w:w="0" w:type="dxa"/>
          <w:left w:w="0" w:type="dxa"/>
          <w:bottom w:w="0" w:type="dxa"/>
          <w:right w:w="0" w:type="dxa"/>
        </w:tblCellMar>
      </w:tblPr>
      <w:tr>
        <w:trPr>
          <w:trHeight w:val="192"/>
        </w:trPr>
        <w:tc>
          <w:tcPr>
            <w:tcW w:w="10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w w:val="96"/>
              </w:rPr>
              <w:t>Quarter Ended March 31,</w:t>
            </w:r>
          </w:p>
        </w:tc>
      </w:tr>
      <w:tr>
        <w:trPr>
          <w:trHeight w:val="264"/>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7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2014</w:t>
            </w:r>
          </w:p>
        </w:tc>
      </w:tr>
    </w:tbl>
    <w:p>
      <w:pPr>
        <w:spacing w:after="0" w:line="72"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23495</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90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31115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45" w:lineRule="exact"/>
        <w:rPr>
          <w:sz w:val="20"/>
          <w:szCs w:val="20"/>
          <w:color w:val="auto"/>
        </w:rPr>
      </w:pPr>
    </w:p>
    <w:p>
      <w:pPr>
        <w:sectPr>
          <w:pgSz w:w="11900" w:h="16838" w:orient="portrait"/>
          <w:cols w:equalWidth="0" w:num="2">
            <w:col w:w="7720" w:space="720"/>
            <w:col w:w="29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138,683</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132,369</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270,093</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262,024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73,144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68,905</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30,480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18,474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53,422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38,876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207,109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185,462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396,659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369,805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 *</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115,502</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24,341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46,978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37,782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73,863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65,944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146,664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132,933</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Amortization of intangible assets *</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6,447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acquisition-related</w:t>
            </w:r>
          </w:p>
        </w:tc>
        <w:tc>
          <w:tcPr>
            <w:tcW w:w="6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37"/>
        </w:trPr>
        <w:tc>
          <w:tcPr>
            <w:tcW w:w="37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172,710</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146,725</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337,380</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295,798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38,737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59,279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(14,225)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6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26,033</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31,287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44,357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58,470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18,870</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33,277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37,728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(19,068)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(30,519)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31,335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34,500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31,639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80" w:right="200" w:hanging="172"/>
        <w:spacing w:after="0" w:line="277" w:lineRule="auto"/>
        <w:tabs>
          <w:tab w:leader="none" w:pos="15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revenues and selling, general and administrative expenses exclude the amortization of intangible assets. See Note 5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Paid-in-Capital</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30, 2014</w:t>
            </w:r>
          </w:p>
        </w:tc>
        <w:tc>
          <w:tcPr>
            <w:tcW w:w="10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32,047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1,129,317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(1,936,095)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1,284,261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(23,189)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454,614</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20,596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20,596</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Issuance of treasury stock under employee stock plans</w:t>
            </w:r>
          </w:p>
        </w:tc>
        <w:tc>
          <w:tcPr>
            <w:tcW w:w="10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(4,139)</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Tax effect from share-based payment arrangements</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9,306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9,306</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(100,713)</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33,277</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(30,519)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(30,519)</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2015</w:t>
            </w:r>
          </w:p>
        </w:tc>
        <w:tc>
          <w:tcPr>
            <w:tcW w:w="10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31,368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1,130,709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(2,012,431)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1,316,278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(53,708)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381,162</w:t>
            </w:r>
          </w:p>
        </w:tc>
        <w:tc>
          <w:tcPr>
            <w:tcW w:w="0" w:type="dxa"/>
            <w:vAlign w:val="bottom"/>
          </w:tcPr>
          <w:p>
            <w:pPr>
              <w:spacing w:after="0"/>
              <w:rPr>
                <w:sz w:val="1"/>
                <w:szCs w:val="1"/>
                <w:color w:val="auto"/>
              </w:rPr>
            </w:pPr>
          </w:p>
        </w:tc>
      </w:tr>
      <w:tr>
        <w:trPr>
          <w:trHeight w:val="60"/>
        </w:trPr>
        <w:tc>
          <w:tcPr>
            <w:tcW w:w="334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33,277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37,728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 on sales of 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4,127</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75,087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from cost method investees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revolving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on revolving line of credit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 payment arrangements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(46,768)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86,841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108,176</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income taxes, net of refunds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included in 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telecommunications providers, pharmaceutical companies, healthcare organizations, public agencies and organizations in other industries.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these condensed consolidated financial statements, Fair Isaac Corporation is referred to as “FICO,” “we,” “us,” “our,” or “the Company.”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in this Form 10-Q all information and footnotes required for audited financial statements. In our opinion, the accompanying unaudited interim condensed consolidated financial statements in this Form 10-Q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year ended September 30, 2014. The interim financial information contained in this report is not necessarily indicative of the results to be expected for any other interim period or for the entire fiscal year.</w:t>
      </w:r>
    </w:p>
    <w:p>
      <w:pPr>
        <w:spacing w:after="0" w:line="1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collectibility of accounts receivable; the appropriate levels of various accruals;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 Recently Issued or Adopted</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May 2014, the Financial Accounting Standards Board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Early adoption is not permitted. ASU 2014-09 is effective for fiscal years and interim periods within those years, beginning on or after December 15, 2016, which means it will be effective for our fiscal year beginning October 1, 2017. We have not yet selected a transition method and we are currently evaluating the impact that the updated standard will have on our consolidated financial statements.</w:t>
      </w:r>
    </w:p>
    <w:p>
      <w:pPr>
        <w:spacing w:after="0" w:line="17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In April 2015, the FASB issued ASU No. 2015-03, "Simplifying the Presentation of Debt Issuance" ("ASU 2015-03"), which changes the presentation of debt issuance costs in financial statements. Under ASU 2015-03, an entity presents such costs in the balance sheet as a direct deduction from the related debt liability rather than as an asset. Amortization of the costs is reported as interest expense. ASU 2015-03 is effective for fiscal years and interim periods within those fiscal years, beginning after December 15, 2015, which means it will be effective for our fiscal year beginning October 1, 2016. Early adoption is permitted. We do not believe that adoption of ASU 2015-03 will have a significant impact on our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12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On January 12, 2015, we acquired 100% of the equity of TONBELLER Aktiengesellschaft ("TONBELLER"). TONBELLER is an innovative provider of financial crime and compliance ("FCC") solutions that support the demanding regulatory compliance requirements of more than a thousand banks and commercial organizations. This acquisition will allow us to capitalize on the escalating demand for new, risk-based, integrated FCC solutions.</w:t>
      </w:r>
    </w:p>
    <w:p>
      <w:pPr>
        <w:spacing w:after="0" w:line="14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purchase price allocation as of the date of the acquisition was based on a preliminary valuation and is subject to revision as more detailed analyses are completed and additional information about the fair value of assets acquired and liabilities assumed become available. The major classes of assets and liabilities to which we have preliminarily allocated the purchase price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59,640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Acquisition-related costs (included in the company’s condensed consolidated statement of income for the quarter and six</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months ended March 31, 2015 as a component of selling, general and administrative expenses)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2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Accrued compensation and employee benefits</w:t>
            </w:r>
          </w:p>
        </w:tc>
        <w:tc>
          <w:tcPr>
            <w:tcW w:w="3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identifiable net assets</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13,452</w:t>
            </w:r>
          </w:p>
        </w:tc>
        <w:tc>
          <w:tcPr>
            <w:tcW w:w="0" w:type="dxa"/>
            <w:vAlign w:val="bottom"/>
          </w:tcPr>
          <w:p>
            <w:pPr>
              <w:spacing w:after="0"/>
              <w:rPr>
                <w:sz w:val="1"/>
                <w:szCs w:val="1"/>
                <w:color w:val="auto"/>
              </w:rPr>
            </w:pPr>
          </w:p>
        </w:tc>
      </w:tr>
      <w:tr>
        <w:trPr>
          <w:trHeight w:val="183"/>
        </w:trPr>
        <w:tc>
          <w:tcPr>
            <w:tcW w:w="90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46,188</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59,640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acquired identifiable intangible assets have a weighted average useful life of approximately 4.9 years and are being amortized using the straight-line method over their estimated useful lives as follows: completed technology, five years; customer relationships, five years; and trade names, three years. The goodwill of $46.2 million arising from the acquisition consists largely of the revenue synergies related to market expansion and more rapid innovation for our solutions. The goodwill was allocated to our Applications segment and is not deductible for tax purposes. TONBELLER has been included in our operating results since the acquisition date. The pro forma impact of this acquisition was not deemed material to our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0" w:lineRule="exact"/>
        <w:rPr>
          <w:sz w:val="20"/>
          <w:szCs w:val="20"/>
          <w:color w:val="auto"/>
        </w:rPr>
      </w:pPr>
    </w:p>
    <w:p>
      <w:pPr>
        <w:ind w:left="1300" w:hanging="56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equity securities.</w:t>
      </w:r>
    </w:p>
    <w:p>
      <w:pPr>
        <w:spacing w:after="0" w:line="62" w:lineRule="exact"/>
        <w:rPr>
          <w:rFonts w:ascii="Arial" w:cs="Arial" w:eastAsia="Arial" w:hAnsi="Arial"/>
          <w:sz w:val="18"/>
          <w:szCs w:val="18"/>
          <w:color w:val="auto"/>
        </w:rPr>
      </w:pPr>
    </w:p>
    <w:p>
      <w:pPr>
        <w:jc w:val="both"/>
        <w:ind w:left="1300" w:hanging="563"/>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do not have any assets that are valued using inputs identified under a Level 2 hierarchy as of March 31, 2015 and September 30, 2014.</w:t>
      </w:r>
    </w:p>
    <w:p>
      <w:pPr>
        <w:spacing w:after="0" w:line="50" w:lineRule="exact"/>
        <w:rPr>
          <w:rFonts w:ascii="Arial" w:cs="Arial" w:eastAsia="Arial" w:hAnsi="Arial"/>
          <w:sz w:val="16"/>
          <w:szCs w:val="16"/>
          <w:color w:val="auto"/>
        </w:rPr>
      </w:pPr>
    </w:p>
    <w:p>
      <w:pPr>
        <w:jc w:val="both"/>
        <w:ind w:left="1300" w:hanging="563"/>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 as of March 31, 2015 and September 30, 2014.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March 31, 2015 and September 30,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 as of March 31,</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Pr>
          <w:p>
            <w:pPr>
              <w:spacing w:after="0"/>
              <w:rPr>
                <w:sz w:val="12"/>
                <w:szCs w:val="12"/>
                <w:color w:val="auto"/>
              </w:rPr>
            </w:pP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216"/>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8"/>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10,145</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4"/>
              </w:rPr>
              <w:t>Fair Value as of</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2014</w:t>
            </w:r>
          </w:p>
        </w:tc>
        <w:tc>
          <w:tcPr>
            <w:tcW w:w="220" w:type="dxa"/>
            <w:vAlign w:val="bottom"/>
          </w:tcPr>
          <w:p>
            <w:pPr>
              <w:spacing w:after="0"/>
              <w:rPr>
                <w:sz w:val="12"/>
                <w:szCs w:val="12"/>
                <w:color w:val="auto"/>
              </w:rPr>
            </w:pP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September 30, 2014</w:t>
            </w: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216"/>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8"/>
              <w:spacing w:after="0"/>
              <w:rPr>
                <w:sz w:val="20"/>
                <w:szCs w:val="20"/>
                <w:color w:val="auto"/>
              </w:rPr>
            </w:pPr>
            <w:r>
              <w:rPr>
                <w:rFonts w:ascii="Arial" w:cs="Arial" w:eastAsia="Arial" w:hAnsi="Arial"/>
                <w:sz w:val="18"/>
                <w:szCs w:val="18"/>
                <w:color w:val="auto"/>
              </w:rPr>
              <w:t>10,326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10,326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8,751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8,751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19,077</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 at March 31, 2015 and September 30, 2014. Not included in these tables are cash deposits of $86.4 million and $94.7 million at March 31, 2015 and September 30, 2014,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senior management employees, which are distributed upon termination or retirement of the employees. Included in marketable securities available for sale on our condensed consolidated balance sheet at March 31, 2015 and September 30, 2014.</w:t>
      </w:r>
    </w:p>
    <w:p>
      <w:pPr>
        <w:spacing w:after="0" w:line="1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Where applicable, we use quoted prices in active markets for identical assets or liabilities to determine fair value. This pricing applies to our Level 1 investments. To the extent quoted prices in active markets for assets or liabilities are not available, the valuation techniques used to measure the fair values of our financial assets incorporate market inputs, which include reported trades, broker/dealer quotes, benchmark yields, issuer spreads, benchmark securities and other inputs derived from or corroborated by observable market data. This methodology would apply to our Level 2 investments. We have not changed our valuation techniques in measuring the fair value of any financial assets and liabilities during the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fair value of our derivative instruments and senior notes, see Note 4 and Note 8 to the condensed consolidated financial statements,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Canadian dollar.</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2015 and September 30,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March 31, 2015</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560" w:type="dxa"/>
            <w:vAlign w:val="bottom"/>
            <w:gridSpan w:val="3"/>
          </w:tcPr>
          <w:p>
            <w:pPr>
              <w:ind w:left="1100"/>
              <w:spacing w:after="0"/>
              <w:rPr>
                <w:sz w:val="20"/>
                <w:szCs w:val="20"/>
                <w:color w:val="auto"/>
              </w:rPr>
            </w:pPr>
            <w:r>
              <w:rPr>
                <w:rFonts w:ascii="Arial" w:cs="Arial" w:eastAsia="Arial" w:hAnsi="Arial"/>
                <w:sz w:val="18"/>
                <w:szCs w:val="18"/>
                <w:b w:val="1"/>
                <w:bCs w:val="1"/>
                <w:color w:val="auto"/>
                <w:w w:val="97"/>
              </w:rPr>
              <w:t>Contract Amount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140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Foreign</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140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Currency</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US$</w:t>
            </w:r>
          </w:p>
        </w:tc>
      </w:tr>
      <w:tr>
        <w:trPr>
          <w:trHeight w:val="27"/>
        </w:trPr>
        <w:tc>
          <w:tcPr>
            <w:tcW w:w="6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Canadian dollar (CAD)</w:t>
            </w:r>
          </w:p>
        </w:tc>
        <w:tc>
          <w:tcPr>
            <w:tcW w:w="1400" w:type="dxa"/>
            <w:vAlign w:val="bottom"/>
          </w:tcPr>
          <w:p>
            <w:pPr>
              <w:ind w:left="40"/>
              <w:spacing w:after="0"/>
              <w:rPr>
                <w:sz w:val="20"/>
                <w:szCs w:val="20"/>
                <w:color w:val="auto"/>
              </w:rPr>
            </w:pPr>
            <w:r>
              <w:rPr>
                <w:rFonts w:ascii="Arial" w:cs="Arial" w:eastAsia="Arial" w:hAnsi="Arial"/>
                <w:sz w:val="18"/>
                <w:szCs w:val="18"/>
                <w:color w:val="auto"/>
              </w:rPr>
              <w:t>CAD</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7,550</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 (EUR)</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6,050</w:t>
            </w:r>
          </w:p>
        </w:tc>
        <w:tc>
          <w:tcPr>
            <w:tcW w:w="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GBP</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6,366</w:t>
            </w:r>
          </w:p>
        </w:tc>
        <w:tc>
          <w:tcPr>
            <w:tcW w:w="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378"/>
        </w:trPr>
        <w:tc>
          <w:tcPr>
            <w:tcW w:w="6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2014</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6280" w:type="dxa"/>
            <w:vAlign w:val="bottom"/>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560" w:type="dxa"/>
            <w:vAlign w:val="bottom"/>
            <w:gridSpan w:val="3"/>
          </w:tcPr>
          <w:p>
            <w:pPr>
              <w:ind w:left="1100"/>
              <w:spacing w:after="0"/>
              <w:rPr>
                <w:sz w:val="20"/>
                <w:szCs w:val="20"/>
                <w:color w:val="auto"/>
              </w:rPr>
            </w:pPr>
            <w:r>
              <w:rPr>
                <w:rFonts w:ascii="Arial" w:cs="Arial" w:eastAsia="Arial" w:hAnsi="Arial"/>
                <w:sz w:val="18"/>
                <w:szCs w:val="18"/>
                <w:b w:val="1"/>
                <w:bCs w:val="1"/>
                <w:color w:val="auto"/>
                <w:w w:val="97"/>
              </w:rPr>
              <w:t>Contract Amount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140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Foreign</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140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Currency</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US$</w:t>
            </w:r>
          </w:p>
        </w:tc>
      </w:tr>
      <w:tr>
        <w:trPr>
          <w:trHeight w:val="27"/>
        </w:trPr>
        <w:tc>
          <w:tcPr>
            <w:tcW w:w="6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Canadian dollar (CAD)</w:t>
            </w:r>
          </w:p>
        </w:tc>
        <w:tc>
          <w:tcPr>
            <w:tcW w:w="1400" w:type="dxa"/>
            <w:vAlign w:val="bottom"/>
          </w:tcPr>
          <w:p>
            <w:pPr>
              <w:ind w:left="40"/>
              <w:spacing w:after="0"/>
              <w:rPr>
                <w:sz w:val="20"/>
                <w:szCs w:val="20"/>
                <w:color w:val="auto"/>
              </w:rPr>
            </w:pPr>
            <w:r>
              <w:rPr>
                <w:rFonts w:ascii="Arial" w:cs="Arial" w:eastAsia="Arial" w:hAnsi="Arial"/>
                <w:sz w:val="18"/>
                <w:szCs w:val="18"/>
                <w:color w:val="auto"/>
              </w:rPr>
              <w:t>CAD</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3,300</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 (EUR)</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3,800</w:t>
            </w:r>
          </w:p>
        </w:tc>
        <w:tc>
          <w:tcPr>
            <w:tcW w:w="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GBP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6,795</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March 31, 2015 and September 30, 2014, respectively; therefore, their fair value was $0 on each of these dates.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Gains (losses) on derivative financial instruments are recorded in our condensed consolidated statements of income and comprehensive income as a component of other income (expense), net, and consisted of the following: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Quarter Ended March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5"/>
              </w:rPr>
              <w:t>Six Months Ended March 31,</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 thousands)</w:t>
            </w: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Foreign currency forward contracts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r>
      <w:tr>
        <w:trPr>
          <w:trHeight w:val="459"/>
        </w:trPr>
        <w:tc>
          <w:tcPr>
            <w:tcW w:w="47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Amortization expense associated with our intangible assets, which has been reflected as a separate operating expense caption within the accompanying condensed consolidated statements of income and comprehensive income, consisted of the following: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Quarter Ended March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1"/>
              </w:rPr>
              <w:t>Six Months Ended March 31,</w:t>
            </w:r>
          </w:p>
        </w:tc>
      </w:tr>
      <w:tr>
        <w:trPr>
          <w:trHeight w:val="27"/>
        </w:trPr>
        <w:tc>
          <w:tcPr>
            <w:tcW w:w="4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4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1,614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1,085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2,299</w:t>
            </w:r>
          </w:p>
        </w:tc>
      </w:tr>
      <w:tr>
        <w:trPr>
          <w:trHeight w:val="27"/>
        </w:trPr>
        <w:tc>
          <w:tcPr>
            <w:tcW w:w="4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3,515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2,908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Cost of revenues reflects our amortization of completed technology and selling, general and administrative expenses reflects our amortization of other intangible assets. Intangible assets, gross were $152.6 million and $142.2 million as of March 31, 2015 and September 30, 2014,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Estimated future intangible asset amortization expense associated with intangible assets existing at March 31, 2015, was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Year Ended September 30,</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(excluding the six months ended March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13,953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5,898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8,405</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changes to goodwill during the six months ended March 31, 2015, both in total and as allocated to our segments: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Applications</w:t>
            </w: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Scores</w:t>
            </w:r>
          </w:p>
        </w:tc>
        <w:tc>
          <w:tcPr>
            <w:tcW w:w="46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Tools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560,295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146,648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779,928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 from acquisitions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46,188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46,188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591,788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146,648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809,117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Composition of Certain Financial Statement Captions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property and equipment, and the related accumulated depreciation and amortization at March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520" w:type="dxa"/>
            <w:vAlign w:val="bottom"/>
          </w:tcPr>
          <w:p>
            <w:pPr>
              <w:jc w:val="right"/>
              <w:ind w:right="493"/>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8"/>
                <w:szCs w:val="18"/>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80" w:type="dxa"/>
            <w:vAlign w:val="bottom"/>
          </w:tcPr>
          <w:p>
            <w:pPr>
              <w:spacing w:after="0"/>
              <w:rPr>
                <w:sz w:val="20"/>
                <w:szCs w:val="20"/>
                <w:color w:val="auto"/>
              </w:rPr>
            </w:pPr>
          </w:p>
        </w:tc>
        <w:tc>
          <w:tcPr>
            <w:tcW w:w="1520" w:type="dxa"/>
            <w:vAlign w:val="bottom"/>
          </w:tcPr>
          <w:p>
            <w:pPr>
              <w:jc w:val="right"/>
              <w:ind w:right="673"/>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7"/>
        </w:trPr>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r>
      <w:tr>
        <w:trPr>
          <w:trHeight w:val="184"/>
        </w:trPr>
        <w:tc>
          <w:tcPr>
            <w:tcW w:w="280" w:type="dxa"/>
            <w:vAlign w:val="bottom"/>
          </w:tcPr>
          <w:p>
            <w:pPr>
              <w:spacing w:after="0"/>
              <w:rPr>
                <w:sz w:val="16"/>
                <w:szCs w:val="16"/>
                <w:color w:val="auto"/>
              </w:rPr>
            </w:pPr>
          </w:p>
        </w:tc>
        <w:tc>
          <w:tcPr>
            <w:tcW w:w="370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(In thousands)</w:t>
            </w:r>
          </w:p>
        </w:tc>
      </w:tr>
      <w:tr>
        <w:trPr>
          <w:trHeight w:val="25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165,485</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164,548</w:t>
            </w:r>
          </w:p>
        </w:tc>
      </w:tr>
      <w:tr>
        <w:trPr>
          <w:trHeight w:val="270"/>
        </w:trPr>
        <w:tc>
          <w:tcPr>
            <w:tcW w:w="280" w:type="dxa"/>
            <w:vAlign w:val="bottom"/>
          </w:tcPr>
          <w:p>
            <w:pPr>
              <w:spacing w:after="0"/>
              <w:rPr>
                <w:sz w:val="23"/>
                <w:szCs w:val="23"/>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(125,474)</w:t>
            </w:r>
          </w:p>
        </w:tc>
        <w:tc>
          <w:tcPr>
            <w:tcW w:w="4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(127,871)</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b w:val="1"/>
                <w:bCs w:val="1"/>
                <w:color w:val="auto"/>
              </w:rPr>
              <w:t>40,011</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36,677</w:t>
            </w:r>
          </w:p>
        </w:tc>
      </w:tr>
      <w:tr>
        <w:trPr>
          <w:trHeight w:val="27"/>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-548005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Revolving Line of Credit</w:t>
      </w:r>
    </w:p>
    <w:p>
      <w:pPr>
        <w:spacing w:after="0" w:line="121" w:lineRule="exact"/>
        <w:rPr>
          <w:sz w:val="20"/>
          <w:szCs w:val="20"/>
          <w:color w:val="auto"/>
        </w:rPr>
      </w:pPr>
    </w:p>
    <w:p>
      <w:pPr>
        <w:ind w:right="180"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ind w:right="60" w:firstLine="8"/>
        <w:spacing w:after="0" w:line="252"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minimum fixed charge ratio of 2.5 and a maximum consolidated leverage ratio of 3.0, subject to a step up to 3.5 following certain permitted acquisitions. The credit agreement also contains other covenants typical of unsecured facilities. As of March 31, 2015, we had $211.0 million in borrowings outstanding at a weighted average interest rate of 1.555%, of which $200.0 million was classified as a long-term liability and recorded in long-term debt within the accompanying condensed consolidated balance sheets. We were in compliance with all financial covenants under this credit facility as of March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Notes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May 7, 2008, we issued $275 million of senior notes in a private placement to a group of institutional investors (the “2008 Senior Notes”). The 2008 Senior Notes were issued in four series with maturities ranging from 5 to 10 years. The outstanding 2008 Senior Notes’ weighted average interest rate is 7.0% and the weighted average maturity is 9.0 years. On July 14, 2010, we issued $245 million of senior notes in a private placement to a group of institutional investors (the “2010 Senior Notes” and, with the 2008 Senior Notes, the “Senior Notes”). The 2010 Senior Notes were issued in four series with maturities ranging from 6 to 10 years. The 2010 Senior Notes’ weighted average interest rate is 5.2% and the weighted average maturity is 8.0 years. The Senior Notes require interest payments semi-annually and also include certain restrictive covenants. As of March 31, 2015, we were in compliance with all financial covenants which include the maintenance of consolidated net debt to consolidated EBITDA ratio and a fixed charge coverage ratio. The issuance of the Senior Notes also required us to make certain covenants typical of unsecured facilities. The carrying value of the Senior Notes was $447.0 million as of March 31, 2015 and September 30, 2014. The fair value of the Senior Notes was $465.8 million and $462.7 million as of March 31, 2015 and September 30, 2014, respectively. We measure the fair value of the Senior Notes based on Level 2 inputs, which include quoted market prices and interest rate spreads of similar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restructuring accruals and certain FICO facility closures. There is no restructuring accrual as of March 31, 2015.</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760" w:type="dxa"/>
            <w:vAlign w:val="bottom"/>
          </w:tcPr>
          <w:p>
            <w:pPr>
              <w:jc w:val="right"/>
              <w:ind w:right="234"/>
              <w:spacing w:after="0"/>
              <w:rPr>
                <w:sz w:val="20"/>
                <w:szCs w:val="20"/>
                <w:color w:val="auto"/>
              </w:rPr>
            </w:pPr>
            <w:r>
              <w:rPr>
                <w:rFonts w:ascii="Arial" w:cs="Arial" w:eastAsia="Arial" w:hAnsi="Arial"/>
                <w:sz w:val="16"/>
                <w:szCs w:val="16"/>
                <w:b w:val="1"/>
                <w:bCs w:val="1"/>
                <w:color w:val="auto"/>
              </w:rPr>
              <w:t>Accrual at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Cash</w:t>
            </w:r>
          </w:p>
        </w:tc>
        <w:tc>
          <w:tcPr>
            <w:tcW w:w="360" w:type="dxa"/>
            <w:vAlign w:val="bottom"/>
          </w:tcPr>
          <w:p>
            <w:pPr>
              <w:spacing w:after="0"/>
              <w:rPr>
                <w:sz w:val="19"/>
                <w:szCs w:val="19"/>
                <w:color w:val="auto"/>
              </w:rPr>
            </w:pPr>
          </w:p>
        </w:tc>
        <w:tc>
          <w:tcPr>
            <w:tcW w:w="1920" w:type="dxa"/>
            <w:vAlign w:val="bottom"/>
          </w:tcPr>
          <w:p>
            <w:pPr>
              <w:jc w:val="center"/>
              <w:ind w:right="274"/>
              <w:spacing w:after="0"/>
              <w:rPr>
                <w:sz w:val="20"/>
                <w:szCs w:val="20"/>
                <w:color w:val="auto"/>
              </w:rPr>
            </w:pPr>
            <w:r>
              <w:rPr>
                <w:rFonts w:ascii="Arial" w:cs="Arial" w:eastAsia="Arial" w:hAnsi="Arial"/>
                <w:sz w:val="16"/>
                <w:szCs w:val="16"/>
                <w:b w:val="1"/>
                <w:bCs w:val="1"/>
                <w:color w:val="auto"/>
                <w:w w:val="93"/>
              </w:rPr>
              <w:t>Accrual at</w:t>
            </w:r>
          </w:p>
        </w:tc>
      </w:tr>
      <w:tr>
        <w:trPr>
          <w:trHeight w:val="251"/>
        </w:trPr>
        <w:tc>
          <w:tcPr>
            <w:tcW w:w="45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September 30, 2014</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Payments</w:t>
            </w:r>
          </w:p>
        </w:tc>
        <w:tc>
          <w:tcPr>
            <w:tcW w:w="360" w:type="dxa"/>
            <w:vAlign w:val="bottom"/>
          </w:tcPr>
          <w:p>
            <w:pPr>
              <w:spacing w:after="0"/>
              <w:rPr>
                <w:sz w:val="21"/>
                <w:szCs w:val="21"/>
                <w:color w:val="auto"/>
              </w:rPr>
            </w:pPr>
          </w:p>
        </w:tc>
        <w:tc>
          <w:tcPr>
            <w:tcW w:w="1920" w:type="dxa"/>
            <w:vAlign w:val="bottom"/>
          </w:tcPr>
          <w:p>
            <w:pPr>
              <w:jc w:val="center"/>
              <w:ind w:right="274"/>
              <w:spacing w:after="0"/>
              <w:rPr>
                <w:sz w:val="20"/>
                <w:szCs w:val="20"/>
                <w:color w:val="auto"/>
              </w:rPr>
            </w:pPr>
            <w:r>
              <w:rPr>
                <w:rFonts w:ascii="Arial" w:cs="Arial" w:eastAsia="Arial" w:hAnsi="Arial"/>
                <w:sz w:val="16"/>
                <w:szCs w:val="16"/>
                <w:b w:val="1"/>
                <w:bCs w:val="1"/>
                <w:color w:val="auto"/>
                <w:w w:val="94"/>
              </w:rPr>
              <w:t>March 31, 2015</w:t>
            </w:r>
          </w:p>
        </w:tc>
      </w:tr>
      <w:tr>
        <w:trPr>
          <w:trHeight w:val="33"/>
        </w:trPr>
        <w:tc>
          <w:tcPr>
            <w:tcW w:w="45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1760" w:type="dxa"/>
            <w:vAlign w:val="bottom"/>
            <w:tcBorders>
              <w:bottom w:val="single" w:sz="8" w:color="CCEEFF"/>
            </w:tcBorders>
            <w:shd w:val="clear" w:color="auto" w:fill="CCEEFF"/>
          </w:tcPr>
          <w:p>
            <w:pPr>
              <w:jc w:val="right"/>
              <w:ind w:right="15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Employee separation</w:t>
            </w:r>
          </w:p>
        </w:tc>
        <w:tc>
          <w:tcPr>
            <w:tcW w:w="1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Tax Rate</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effective income tax rate was 27.5% and 33.7% during the quarters ended March 31, 2015 and 2014, respectively and 25.0% and 35.5% during the six months ended March 31, 2015 and 2014, respectively. The provision for income taxes during interim quarterly reporting periods is based on our estimates of the effective tax rates for the respective full fiscal year. The effective tax rate in any quarter can also be affected positively or negatively by adjustments that are required to be reported in the specific quarter of resolution. The decrease in our effective tax rate year over year was primarily due to the retroactive extension of the U.S. Federal Research and Development Credit through 2014, which was enacted during the first quarter of our fiscal 2015, as well as a higher percentage of revenue expected in lower taxing jurisdictions.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unrecognized tax benefit for uncertain tax positions is estimated to be approximately $5.0 million and $4.6 million at March 31, 2015 and September 30, 2014, respectively. We recognize interest expense related to unrecognized tax benefits and penalties as part of the provision for income taxes in our condensed consolidated statements of income and comprehensive income. We have accrued interest of $0.6 million and $0.5 million, related to unrecognized tax benefits as of March 31, 2015 and September 30,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six months ended March 31, 2015 and 2014:</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0" w:type="dxa"/>
            <w:vAlign w:val="bottom"/>
            <w:gridSpan w:val="6"/>
          </w:tcPr>
          <w:p>
            <w:pPr>
              <w:ind w:left="760"/>
              <w:spacing w:after="0"/>
              <w:rPr>
                <w:sz w:val="20"/>
                <w:szCs w:val="20"/>
                <w:color w:val="auto"/>
              </w:rPr>
            </w:pPr>
            <w:r>
              <w:rPr>
                <w:rFonts w:ascii="Arial" w:cs="Arial" w:eastAsia="Arial" w:hAnsi="Arial"/>
                <w:sz w:val="14"/>
                <w:szCs w:val="14"/>
                <w:b w:val="1"/>
                <w:bCs w:val="1"/>
                <w:color w:val="auto"/>
              </w:rPr>
              <w:t>Quarter Ended March 31,</w:t>
            </w:r>
          </w:p>
        </w:tc>
        <w:tc>
          <w:tcPr>
            <w:tcW w:w="340" w:type="dxa"/>
            <w:vAlign w:val="bottom"/>
          </w:tcPr>
          <w:p>
            <w:pPr>
              <w:spacing w:after="0"/>
              <w:rPr>
                <w:sz w:val="16"/>
                <w:szCs w:val="16"/>
                <w:color w:val="auto"/>
              </w:rPr>
            </w:pPr>
          </w:p>
        </w:tc>
        <w:tc>
          <w:tcPr>
            <w:tcW w:w="27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196"/>
        </w:trPr>
        <w:tc>
          <w:tcPr>
            <w:tcW w:w="5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diluted and basic earnings per share: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18,870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20,751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33,277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37,728</w:t>
            </w:r>
          </w:p>
        </w:tc>
      </w:tr>
      <w:tr>
        <w:trPr>
          <w:trHeight w:val="67"/>
        </w:trPr>
        <w:tc>
          <w:tcPr>
            <w:tcW w:w="5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 - share: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Basic weighted-average shares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31,335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31,639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34,705</w:t>
            </w:r>
          </w:p>
        </w:tc>
      </w:tr>
      <w:tr>
        <w:trPr>
          <w:trHeight w:val="27"/>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w:t>
            </w: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Diluted weighted-average shares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32,448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35,311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35,670</w:t>
            </w:r>
          </w:p>
        </w:tc>
      </w:tr>
      <w:tr>
        <w:trPr>
          <w:trHeight w:val="67"/>
        </w:trPr>
        <w:tc>
          <w:tcPr>
            <w:tcW w:w="5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w:t>
            </w:r>
          </w:p>
        </w:tc>
      </w:tr>
      <w:tr>
        <w:trPr>
          <w:trHeight w:val="67"/>
        </w:trPr>
        <w:tc>
          <w:tcPr>
            <w:tcW w:w="5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1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exclude the options to purchase shares of common stock in the computation of the diluted EPS where the options’ exercise price exceeds the average market price of our common stock as their inclusion would be antidilutive. There were approximately 46,000 and 14,000 options excluded for the quarters ended March 31, 2015 and 2014, respectively. There were approximately 270,000 and 7,000 options excluded for the six months ended March 31, 2015 and 2014,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184" w:lineRule="exact"/>
        <w:rPr>
          <w:sz w:val="20"/>
          <w:szCs w:val="20"/>
          <w:color w:val="auto"/>
        </w:rPr>
      </w:pPr>
    </w:p>
    <w:p>
      <w:pPr>
        <w:jc w:val="both"/>
        <w:ind w:left="1300" w:right="20" w:hanging="563"/>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Applications</w:t>
      </w:r>
      <w:r>
        <w:rPr>
          <w:rFonts w:ascii="Arial" w:cs="Arial" w:eastAsia="Arial" w:hAnsi="Arial"/>
          <w:sz w:val="18"/>
          <w:szCs w:val="18"/>
          <w:color w:val="auto"/>
        </w:rPr>
        <w:t>. Our Applications products are pre-configured decision management applications and associated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a specific type of business problem or process, such as marketing, account origination, customer management, fraud and insurance claims management.</w:t>
      </w:r>
    </w:p>
    <w:p>
      <w:pPr>
        <w:spacing w:after="0" w:line="73" w:lineRule="exact"/>
        <w:rPr>
          <w:rFonts w:ascii="Arial" w:cs="Arial" w:eastAsia="Arial" w:hAnsi="Arial"/>
          <w:sz w:val="18"/>
          <w:szCs w:val="18"/>
          <w:color w:val="auto"/>
        </w:rPr>
      </w:pPr>
    </w:p>
    <w:p>
      <w:pPr>
        <w:jc w:val="both"/>
        <w:ind w:left="1300" w:hanging="563"/>
        <w:spacing w:after="0" w:line="23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Scores</w:t>
      </w:r>
      <w:r>
        <w:rPr>
          <w:rFonts w:ascii="Arial" w:cs="Arial" w:eastAsia="Arial" w:hAnsi="Arial"/>
          <w:sz w:val="18"/>
          <w:szCs w:val="18"/>
          <w:color w:val="auto"/>
        </w:rPr>
        <w:t>. This segment includes our business-to-business scoring solutions, our myFICO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consumers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94" w:lineRule="exact"/>
        <w:rPr>
          <w:rFonts w:ascii="Arial" w:cs="Arial" w:eastAsia="Arial" w:hAnsi="Arial"/>
          <w:sz w:val="18"/>
          <w:szCs w:val="18"/>
          <w:color w:val="auto"/>
        </w:rPr>
      </w:pPr>
    </w:p>
    <w:p>
      <w:pPr>
        <w:ind w:left="1300" w:hanging="563"/>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Tools</w:t>
      </w:r>
      <w:r>
        <w:rPr>
          <w:rFonts w:ascii="Arial" w:cs="Arial" w:eastAsia="Arial" w:hAnsi="Arial"/>
          <w:sz w:val="18"/>
          <w:szCs w:val="18"/>
          <w:color w:val="auto"/>
        </w:rPr>
        <w:t>. The Tools segment is composed of software tools and associated professional services that clients can use to create their own custom</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management applications.</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or capital expenditures; rather, depreciation amounts are allocated to the segments from their internal cost centers as described above.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segment information for the quarters and six months ended March 31, 2015 and 2014:</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2"/>
              </w:rPr>
              <w:t>Quarter Ended March 31, 2015</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Unallocated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Applications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Scores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Tools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Expenses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80,315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138,683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37,946</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License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23,081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30,480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207,109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(95,035)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(157,393)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operating income (loss)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39,353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34,399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Unallocated other expense,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expense</w:t>
            </w:r>
          </w:p>
        </w:tc>
        <w:tc>
          <w:tcPr>
            <w:tcW w:w="2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3,706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9"/>
          </w:tcPr>
          <w:p>
            <w:pPr>
              <w:jc w:val="center"/>
              <w:ind w:right="460"/>
              <w:spacing w:after="0"/>
              <w:rPr>
                <w:sz w:val="20"/>
                <w:szCs w:val="20"/>
                <w:color w:val="auto"/>
              </w:rPr>
            </w:pPr>
            <w:r>
              <w:rPr>
                <w:rFonts w:ascii="Arial" w:cs="Arial" w:eastAsia="Arial" w:hAnsi="Arial"/>
                <w:sz w:val="18"/>
                <w:szCs w:val="18"/>
                <w:b w:val="1"/>
                <w:bCs w:val="1"/>
                <w:color w:val="auto"/>
                <w:w w:val="92"/>
              </w:rPr>
              <w:t>Quarter Ended March 31, 2014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Unallocated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Applications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Scores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Tools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Expenses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76,898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46,560</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34,619</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License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10,339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185,462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(134,766)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38,737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Unallocated other expense,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expense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12"/>
          </w:tcPr>
          <w:p>
            <w:pPr>
              <w:jc w:val="center"/>
              <w:ind w:right="260"/>
              <w:spacing w:after="0"/>
              <w:rPr>
                <w:sz w:val="20"/>
                <w:szCs w:val="20"/>
                <w:color w:val="auto"/>
              </w:rPr>
            </w:pPr>
            <w:r>
              <w:rPr>
                <w:rFonts w:ascii="Arial" w:cs="Arial" w:eastAsia="Arial" w:hAnsi="Arial"/>
                <w:sz w:val="18"/>
                <w:szCs w:val="18"/>
                <w:b w:val="1"/>
                <w:bCs w:val="1"/>
                <w:color w:val="auto"/>
                <w:w w:val="91"/>
              </w:rPr>
              <w:t>Six Months Ended March 31, 2015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Unallocated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Applications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Scores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3"/>
              </w:rPr>
              <w:t>Tools</w:t>
            </w:r>
          </w:p>
        </w:tc>
        <w:tc>
          <w:tcPr>
            <w:tcW w:w="2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158,866</w:t>
            </w:r>
          </w:p>
        </w:tc>
        <w:tc>
          <w:tcPr>
            <w:tcW w:w="10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90,751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73,144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60"/>
              <w:spacing w:after="0"/>
              <w:rPr>
                <w:sz w:val="20"/>
                <w:szCs w:val="20"/>
                <w:color w:val="auto"/>
              </w:rPr>
            </w:pPr>
            <w:r>
              <w:rPr>
                <w:rFonts w:ascii="Arial" w:cs="Arial" w:eastAsia="Arial" w:hAnsi="Arial"/>
                <w:sz w:val="18"/>
                <w:szCs w:val="18"/>
                <w:color w:val="auto"/>
              </w:rPr>
              <w:t>License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Total segment revenues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Segment operating expense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(183,929)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(27,510)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Segment operating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65,957</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66,368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(20,596)</w:t>
            </w: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Unallocated other income, net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444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12"/>
          </w:tcPr>
          <w:p>
            <w:pPr>
              <w:jc w:val="center"/>
              <w:ind w:right="380"/>
              <w:spacing w:after="0"/>
              <w:rPr>
                <w:sz w:val="20"/>
                <w:szCs w:val="20"/>
                <w:color w:val="auto"/>
              </w:rPr>
            </w:pPr>
            <w:r>
              <w:rPr>
                <w:rFonts w:ascii="Arial" w:cs="Arial" w:eastAsia="Arial" w:hAnsi="Arial"/>
                <w:sz w:val="18"/>
                <w:szCs w:val="18"/>
                <w:b w:val="1"/>
                <w:bCs w:val="1"/>
                <w:color w:val="auto"/>
                <w:w w:val="91"/>
              </w:rPr>
              <w:t>Six Months Ended March 31, 2014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Unallocated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Applications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Scores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3"/>
              </w:rPr>
              <w:t>Tools</w:t>
            </w:r>
          </w:p>
        </w:tc>
        <w:tc>
          <w:tcPr>
            <w:tcW w:w="20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5"/>
          </w:tcPr>
          <w:p>
            <w:pPr>
              <w:ind w:left="4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154,677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89,878</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License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17,689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segment revenues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Segment operating expense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66,613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73,724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w w:val="89"/>
              </w:rPr>
              <w:t>Unallocated share-based compensation expense</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(16,286)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Unallocated restructuring and acquisition-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related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Unallocated interest expense, net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Unallocated other expense, net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1,347</w:t>
            </w:r>
          </w:p>
        </w:tc>
        <w:tc>
          <w:tcPr>
            <w:tcW w:w="2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7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i w:val="1"/>
          <w:iCs w:val="1"/>
          <w:color w:val="auto"/>
        </w:rPr>
        <w:t>Statements contained in this report that are not statements of historical fact should be considered forward-looking statements within the meaning of the Private Securities Litigation Reform Act of 1995 (the “Act”).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Act. Examples of forward-looking statements include, but are not limited to: (i) projections of revenue, income or loss,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business relationships with vendors, customers or collaborators, including the proportion of revenues generated from international as opposed to domestic customers; and (v) statements regarding products, their characteristics, performance, sales potential or effect in the hands of customers. Words such as “believes,” “anticipates,” “expects,” “intends,” “targeted,” “should,” “potential,” “goals,” “strategy,”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Risk Factors.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reports on Forms 10-Q and 8-K to be filed by us in fiscal 2015.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We provide products and services that enable businesses to automate, improve and connect decisions across the enterprise, an approach we commonly refer to as decision management. Our predictive analytics, which includes the industry-standard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Score, and our decision management systems power hundreds of billions of customer decisions each year. We help thousands of companies in over 100 countries use our decision management technology to target and acquire customers more efficiently, increase customer value, reduce fraud and credit losses, lower operating expenses, and enter new markets more profitably. Most leading banks and credit card issuers rely on our solutions, as do insurers, retailers, telecommunications providers,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Scores, the standard measure in the U.S. of consumer credit risk, empowering them to manage their financial health. Most of our solutions address customer engagement, including customer acquisition, customer servicing and management, and customer protection. We also help businesses improve noncustomer decisions such as transaction and claims processing.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derive a significant portion of our revenues from clients outside the U.S. International revenues accounted for 39% and 38% of total consolidated revenues for the quarters ended March 31, 2015 and 2014, respectively, and 39% of total consolidated revenues for the six months ended March 31, 2015 and 2014. A significant portion of our revenues are derived from the sale of products and services within the banking (including consumer credit) industry, and 68% and 74% of our revenues were derived from within this industry during the quarters ended March 31, 2015 and 2014, respectively, and 68% and 75% of our revenues were derived from within this industry during the six months ended March 31, 2015 and 2014, respectively. In addition, we derive a significant share of revenue from transactional or unit-based software license fees, transactional fees derived under scoring, network service or internal hosted software arrangements, annual software maintenance fees and annual license fees under long-term software license arrangements. Arrangements with transactional or unit-based pricing accounted for approximately 67% and 71% of our revenues during the quarters ended March 31, 2015 and 2014, respectively. Arrangements with transactional or unit-based pricing accounted for approximately 68% and 71% of our revenues during the six months ended March 31, 2015 and 2014, respectively.</w:t>
      </w:r>
    </w:p>
    <w:p>
      <w:pPr>
        <w:spacing w:after="0" w:line="178" w:lineRule="exact"/>
        <w:rPr>
          <w:sz w:val="20"/>
          <w:szCs w:val="20"/>
          <w:color w:val="auto"/>
        </w:rPr>
      </w:pPr>
    </w:p>
    <w:p>
      <w:pPr>
        <w:ind w:right="80" w:firstLine="405"/>
        <w:spacing w:after="0" w:line="255" w:lineRule="auto"/>
        <w:rPr>
          <w:sz w:val="20"/>
          <w:szCs w:val="20"/>
          <w:color w:val="auto"/>
        </w:rPr>
      </w:pPr>
      <w:r>
        <w:rPr>
          <w:rFonts w:ascii="Arial" w:cs="Arial" w:eastAsia="Arial" w:hAnsi="Arial"/>
          <w:sz w:val="16"/>
          <w:szCs w:val="16"/>
          <w:color w:val="auto"/>
        </w:rPr>
        <w:t>We continue to invest in growth initiatives that expand our addressable markets. For our Scores segment, we introduced the FICO® Score Open Access program in fiscal 2014 which allows our participating clients to provide their customers with a free FICO® Score along with materials to help them understand what affects their score. We now have more than 62 million consumer accounts with access to their free score through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Open Access program and with the addition of new participants we expect this to grow to more than 80 million. On December 29, 2014, we announced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is now available to consumers through Experian, a leading global information services provider. Consumers can go to Experian to access the credit score lenders use most when determining applicant eligibility for new credit cards, car loans, mortgages or other lines of credit.</w:t>
      </w:r>
    </w:p>
    <w:p>
      <w:pPr>
        <w:spacing w:after="0" w:line="193"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We introduced a full suite of applications for the FICO® Analytic Cloud in fiscal 2014 and continue to invest in the areas of cloud computing and software as a service (“SaaS”). Through the expansion of our product offerings in our Applications and Tools segments, we can accommodate small-to-midsize companies that benefit from the affordability and simplicity of cloud-based solutions.</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continue to make acquisitions that deliver solutions to the financial services industry and adjacent vertical industries; our latest acquisition of TONBELLER was consummated to address the rapidly growing demand for integrated, enterprise-class financial crime and compliance solutions. We also continue to enhance shareholder value by returning cash to shareholders through our stock repurchase program. During the quarter and six months ended March 31, 2015, we repurchased approximately 0.5 million shares for a total value of $40.1 million and 1.4 million shares for a total value of $100.7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Management uses bookings as an indicator of our business performance. Bookings represent contracts signed in the current reporting period that generate current and future revenue streams. We consider contract terms, knowledge of the marketplace and experience with our customers, among other factors, when determining the estimated value of contract bookings.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Bookings calculations have varying degrees of certainty depending on the revenue type and individual contract terms. Our revenue types are transactional and maintenance, professional services and license. Our estimate of bookings is as of the end of the period in which a contract is signed, and we do not update initial booking estimates in future periods for changes between estimated and actual results. Actual revenue and the timing thereof could differ materially from our initial estimates. The following paragraphs discuss the key assumptions used to calculate bookings and the susceptibility of these assumptions to variability.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Transactional and Maintenance Bookings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calculate transactional bookings as the total estimated volume of transactions or number of accounts under contract, multiplied by the contractual rate. Transactional contracts generally span multiple years and require us to make estimates about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following:</w:t>
      </w:r>
    </w:p>
    <w:p>
      <w:pPr>
        <w:spacing w:after="0" w:line="202" w:lineRule="exact"/>
        <w:rPr>
          <w:sz w:val="20"/>
          <w:szCs w:val="20"/>
          <w:color w:val="auto"/>
        </w:rPr>
      </w:pPr>
    </w:p>
    <w:p>
      <w:pPr>
        <w:ind w:left="1300" w:hanging="56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health of the economy and economic trends in our customers’ industries;</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Individual performance of our customers relative to their competitors;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right="3080" w:firstLine="297"/>
        <w:spacing w:after="0" w:line="573" w:lineRule="auto"/>
        <w:tabs>
          <w:tab w:leader="none" w:pos="130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Regulatory and other factors that affect the business environment in which our customers operate. We calculate maintenance bookings directly from the terms stated in the contract.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Professional Services Bookings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 These differences typically result from customer decisions to alter the mix of FICO and customer services resources used to complete a project.</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License Bookings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Licenses are sold on a perpetual or term basis and bookings generally equal the fixed amount stated in the contract.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880"/>
              <w:spacing w:after="0"/>
              <w:rPr>
                <w:sz w:val="20"/>
                <w:szCs w:val="20"/>
                <w:color w:val="auto"/>
              </w:rPr>
            </w:pPr>
            <w:r>
              <w:rPr>
                <w:rFonts w:ascii="Arial" w:cs="Arial" w:eastAsia="Arial" w:hAnsi="Arial"/>
                <w:sz w:val="18"/>
                <w:szCs w:val="18"/>
                <w:i w:val="1"/>
                <w:iCs w:val="1"/>
                <w:color w:val="auto"/>
              </w:rPr>
              <w:t>Bookings Trend Analysis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Bookings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Bookings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over $1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Bookings</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Yield (1)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Million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Term (2)</w:t>
            </w:r>
          </w:p>
        </w:tc>
      </w:tr>
      <w:tr>
        <w:trPr>
          <w:trHeight w:val="27"/>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(Months)</w:t>
            </w: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Quarter Ended March 31,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March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NM</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Six Months Ended March 31,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NM</w:t>
            </w:r>
          </w:p>
        </w:tc>
      </w:tr>
    </w:tbl>
    <w:p>
      <w:pPr>
        <w:spacing w:after="0" w:line="28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Transactional and maintenance bookings were 28% and 34% of total bookings for the quarters ended March 31, 2015 and 2014, respectively. Professional services bookings were 46% and 38% of total bookings for the quarters ended March 31, 2015 and 2014, respectively. License bookings were 26% and 28% of total bookings for the quarters ended March 31, 2015 and 2014, respectively.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Transactional and maintenance bookings were 25% and 31% of total bookings for the six months ended March 31, 2015 and 2014, respectively. Professional services bookings were 49% and 46% of total bookings for the six months ended March 31, 2015 and 2014, respectively. License bookings were 26% and 23% of total bookings for the six months ended March 31, 2015 and 2014, respectively.</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weighted-average term of bookings achieved measures the average term over which the bookings are expected to be recognized as revenue. As the weighted-average term increases, the average amount of revenues expected to be realized in a quarter decreases; however, the revenues are expected to be recognized over a longer period of time. As the weighted-average term decreases, the average amount of revenues expected to be realized in a quarter increases; however, the revenues are expected to be recognized over a shorter period of time.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Management regards the volume of bookings achieved, among other factors, as an important indicator of future revenues, but they are not comparable to, nor substituted for, an analysis of our revenues, and they are subject to a number of risks and uncertainties concerning timing and contingencies affecting product delivery and performance.</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Although many of our contracts contain non-cancelable terms, most of our bookings are transactional or service related and are dependent upon estimates such as volume of transactions, number of active accounts, or number of hours incurred. Since these estimates cannot be considered fixed or firm, we do not believe it is appropriate to characterize bookings as backlog.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and six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and 2014: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4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96"/>
              </w:rPr>
              <w:t>Quarter Ended March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vMerge w:val="restart"/>
          </w:tcPr>
          <w:p>
            <w:pPr>
              <w:ind w:left="440"/>
              <w:spacing w:after="0"/>
              <w:rPr>
                <w:sz w:val="20"/>
                <w:szCs w:val="20"/>
                <w:color w:val="auto"/>
              </w:rPr>
            </w:pPr>
            <w:r>
              <w:rPr>
                <w:rFonts w:ascii="Arial" w:cs="Arial" w:eastAsia="Arial" w:hAnsi="Arial"/>
                <w:sz w:val="14"/>
                <w:szCs w:val="14"/>
                <w:b w:val="1"/>
                <w:bCs w:val="1"/>
                <w:color w:val="auto"/>
              </w:rPr>
              <w:t>Percentage of Revenues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9"/>
        </w:trPr>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134,388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18,778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48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49,937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47,858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2,079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Tools</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22,784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207,109</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185,462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21,647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Six Months Ended March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6"/>
          </w:tcPr>
          <w:p>
            <w:pPr>
              <w:ind w:left="440"/>
              <w:spacing w:after="0"/>
              <w:rPr>
                <w:sz w:val="20"/>
                <w:szCs w:val="20"/>
                <w:color w:val="auto"/>
              </w:rPr>
            </w:pPr>
            <w:r>
              <w:rPr>
                <w:rFonts w:ascii="Arial" w:cs="Arial" w:eastAsia="Arial" w:hAnsi="Arial"/>
                <w:sz w:val="14"/>
                <w:szCs w:val="14"/>
                <w:b w:val="1"/>
                <w:bCs w:val="1"/>
                <w:color w:val="auto"/>
              </w:rPr>
              <w:t>Percentage of Revenues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9"/>
        </w:trPr>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249,886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227,526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22,360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48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93,878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95,038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Tools</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52,895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5,654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396,659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369,805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26,854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620" w:type="dxa"/>
            <w:vAlign w:val="bottom"/>
            <w:gridSpan w:val="14"/>
          </w:tcPr>
          <w:p>
            <w:pPr>
              <w:spacing w:after="0"/>
              <w:rPr>
                <w:sz w:val="20"/>
                <w:szCs w:val="20"/>
                <w:color w:val="auto"/>
              </w:rPr>
            </w:pPr>
            <w:r>
              <w:rPr>
                <w:rFonts w:ascii="Arial" w:cs="Arial" w:eastAsia="Arial" w:hAnsi="Arial"/>
                <w:sz w:val="18"/>
                <w:szCs w:val="18"/>
                <w:b w:val="1"/>
                <w:bCs w:val="1"/>
                <w:color w:val="auto"/>
              </w:rPr>
              <w:t>Quarter Ended March 31, 2015 Compared to Quarter Ended March 31, 2014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Applications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gridSpan w:val="6"/>
            <w:vMerge w:val="restart"/>
          </w:tcPr>
          <w:p>
            <w:pPr>
              <w:ind w:left="440"/>
              <w:spacing w:after="0"/>
              <w:rPr>
                <w:sz w:val="20"/>
                <w:szCs w:val="20"/>
                <w:color w:val="auto"/>
              </w:rPr>
            </w:pPr>
            <w:r>
              <w:rPr>
                <w:rFonts w:ascii="Arial" w:cs="Arial" w:eastAsia="Arial" w:hAnsi="Arial"/>
                <w:sz w:val="14"/>
                <w:szCs w:val="14"/>
                <w:b w:val="1"/>
                <w:bCs w:val="1"/>
                <w:color w:val="auto"/>
              </w:rPr>
              <w:t>Quarter Ended 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Period Change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5"/>
          </w:tcPr>
          <w:p>
            <w:pPr>
              <w:ind w:left="800"/>
              <w:spacing w:after="0"/>
              <w:rPr>
                <w:sz w:val="20"/>
                <w:szCs w:val="20"/>
                <w:color w:val="auto"/>
              </w:rPr>
            </w:pPr>
            <w:r>
              <w:rPr>
                <w:rFonts w:ascii="Arial" w:cs="Arial" w:eastAsia="Arial" w:hAnsi="Arial"/>
                <w:sz w:val="14"/>
                <w:szCs w:val="14"/>
                <w:b w:val="1"/>
                <w:bCs w:val="1"/>
                <w:color w:val="auto"/>
                <w:w w:val="97"/>
              </w:rPr>
              <w:t>(In thousands)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Transactional and maintenance</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76,898</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Professional services</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134,388</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115,610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18,778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Applications segment revenues increased $18.8 million primarily due to a $16.2 million increase in our </w:t>
      </w:r>
      <w:r>
        <w:rPr>
          <w:rFonts w:ascii="Arial" w:cs="Arial" w:eastAsia="Arial" w:hAnsi="Arial"/>
          <w:sz w:val="18"/>
          <w:szCs w:val="18"/>
          <w:i w:val="1"/>
          <w:iCs w:val="1"/>
          <w:color w:val="auto"/>
        </w:rPr>
        <w:t>fraud</w:t>
      </w:r>
      <w:r>
        <w:rPr>
          <w:rFonts w:ascii="Arial" w:cs="Arial" w:eastAsia="Arial" w:hAnsi="Arial"/>
          <w:sz w:val="18"/>
          <w:szCs w:val="18"/>
          <w:color w:val="auto"/>
        </w:rPr>
        <w:t xml:space="preserve"> solutions, driven by a couple of multi-year license transactions in the current quarter. In addition, we had a $3.2 million increase in our </w:t>
      </w:r>
      <w:r>
        <w:rPr>
          <w:rFonts w:ascii="Arial" w:cs="Arial" w:eastAsia="Arial" w:hAnsi="Arial"/>
          <w:sz w:val="18"/>
          <w:szCs w:val="18"/>
          <w:i w:val="1"/>
          <w:iCs w:val="1"/>
          <w:color w:val="auto"/>
        </w:rPr>
        <w:t>compliance</w:t>
      </w:r>
      <w:r>
        <w:rPr>
          <w:rFonts w:ascii="Arial" w:cs="Arial" w:eastAsia="Arial" w:hAnsi="Arial"/>
          <w:sz w:val="18"/>
          <w:szCs w:val="18"/>
          <w:color w:val="auto"/>
        </w:rPr>
        <w:t xml:space="preserve"> solutions which was attributable to our acquisition of TONBELLER in January 2015.</w:t>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vMerge w:val="restart"/>
          </w:tcPr>
          <w:p>
            <w:pPr>
              <w:jc w:val="right"/>
              <w:ind w:right="634"/>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Period-to-</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Period Change</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47,814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46,560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49,937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47,858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Scores segment revenues increased $2.1 million due to an increase of $2.9 million in our business-to-consumer services revenue, partially offset by a decrease of $0.8 million in our business-to-business Scores revenue. The increase in business-to-consumer services was primarily attributable to revenue generated from the agreement with Experian that launched in December 2014 and made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available to consumers on Experian.com. The decrease in our business-to-business Scores was primarily attributable to a royalty true-up during the quarter ended March 31, 2014, partially offset by an increase in our transactional scores driven by new originations.</w:t>
      </w:r>
    </w:p>
    <w:p>
      <w:pPr>
        <w:spacing w:after="0" w:line="20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quarters ended March 31, 2015 and 2014, revenues generated from our agreements with Equifax, TransUnion and Experian collectively accounted for approximately 14% and 16%, respectively, of our total revenues, including revenues from these customers recorded in our other segments.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Tools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00" w:type="dxa"/>
            <w:vAlign w:val="bottom"/>
            <w:gridSpan w:val="4"/>
            <w:vMerge w:val="restart"/>
          </w:tcPr>
          <w:p>
            <w:pPr>
              <w:jc w:val="right"/>
              <w:ind w:right="614"/>
              <w:spacing w:after="0"/>
              <w:rPr>
                <w:sz w:val="20"/>
                <w:szCs w:val="20"/>
                <w:color w:val="auto"/>
              </w:rPr>
            </w:pPr>
            <w:r>
              <w:rPr>
                <w:rFonts w:ascii="Arial" w:cs="Arial" w:eastAsia="Arial" w:hAnsi="Arial"/>
                <w:sz w:val="14"/>
                <w:szCs w:val="14"/>
                <w:b w:val="1"/>
                <w:bCs w:val="1"/>
                <w:color w:val="auto"/>
              </w:rPr>
              <w:t>Quarter Ended March 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Period-to-</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Period 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10,554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6,242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22,784</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21,994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Tools segment revenues increased $0.8 million primarily attributable to an increase in transactional and maintenance revenue.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2015 Compared to Six Months Ended March 31, 2014</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gridSpan w:val="4"/>
            <w:vMerge w:val="restart"/>
          </w:tcPr>
          <w:p>
            <w:pPr>
              <w:jc w:val="right"/>
              <w:ind w:right="414"/>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Period-to-</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Period Change</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158,866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154,677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4,189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59,491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55,160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249,886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227,526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22,360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Applications segment revenues increased $22.4 million primarily due to a $15.8 million increase in our </w:t>
      </w:r>
      <w:r>
        <w:rPr>
          <w:rFonts w:ascii="Arial" w:cs="Arial" w:eastAsia="Arial" w:hAnsi="Arial"/>
          <w:sz w:val="18"/>
          <w:szCs w:val="18"/>
          <w:i w:val="1"/>
          <w:iCs w:val="1"/>
          <w:color w:val="auto"/>
        </w:rPr>
        <w:t>fraud</w:t>
      </w:r>
      <w:r>
        <w:rPr>
          <w:rFonts w:ascii="Arial" w:cs="Arial" w:eastAsia="Arial" w:hAnsi="Arial"/>
          <w:sz w:val="18"/>
          <w:szCs w:val="18"/>
          <w:color w:val="auto"/>
        </w:rPr>
        <w:t xml:space="preserve"> solutions, driven by a couple of multi-year license transactions in the current quarter. In addition, we had a $3.2 million increase in our </w:t>
      </w:r>
      <w:r>
        <w:rPr>
          <w:rFonts w:ascii="Arial" w:cs="Arial" w:eastAsia="Arial" w:hAnsi="Arial"/>
          <w:sz w:val="18"/>
          <w:szCs w:val="18"/>
          <w:i w:val="1"/>
          <w:iCs w:val="1"/>
          <w:color w:val="auto"/>
        </w:rPr>
        <w:t>compliance</w:t>
      </w:r>
      <w:r>
        <w:rPr>
          <w:rFonts w:ascii="Arial" w:cs="Arial" w:eastAsia="Arial" w:hAnsi="Arial"/>
          <w:sz w:val="18"/>
          <w:szCs w:val="18"/>
          <w:color w:val="auto"/>
        </w:rPr>
        <w:t xml:space="preserve"> solutions which was attributable to our acquisition of TONBELLER in January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gridSpan w:val="4"/>
            <w:vMerge w:val="restart"/>
          </w:tcPr>
          <w:p>
            <w:pPr>
              <w:jc w:val="right"/>
              <w:ind w:right="414"/>
              <w:spacing w:after="0"/>
              <w:rPr>
                <w:sz w:val="20"/>
                <w:szCs w:val="20"/>
                <w:color w:val="auto"/>
              </w:rPr>
            </w:pPr>
            <w:r>
              <w:rPr>
                <w:rFonts w:ascii="Arial" w:cs="Arial" w:eastAsia="Arial" w:hAnsi="Arial"/>
                <w:sz w:val="16"/>
                <w:szCs w:val="16"/>
                <w:b w:val="1"/>
                <w:bCs w:val="1"/>
                <w:color w:val="auto"/>
              </w:rPr>
              <w:t>Six Months Ended March 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Period-to-</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Period 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90,751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89,878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93,878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95,038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7"/>
          <w:szCs w:val="17"/>
          <w:color w:val="auto"/>
        </w:rPr>
        <w:t>Scores segment revenues decreased $1.2 million due to a decrease of $3.5 million in our business-to-business Scores revenue, partially offset by an increase of $2.3 million in our business-to-consumer services revenue. The decrease in our business-to-business Scores was primarily attributable to decreased software revenue related to our Global FICO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Score, and a royalty true-up during the six months ended March 31, 2014, partially offset by an increase in our transactional scores driven by new originations. The increase in business-to-consumer services was primarily attributable to revenue generated from the agreement with Experian that launched in December 2014 and made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available to consumers on Experian.com.</w:t>
      </w:r>
    </w:p>
    <w:p>
      <w:pPr>
        <w:spacing w:after="0" w:line="8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March 31, 2015 and 2014, revenues generated from our agreements with Equifax, TransUnion and Experian collectively accounted for approximately 14% and 16%, respectively, of our total revenues, including revenues from these customers that are recorded in our other segments.</w:t>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Tools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00" w:type="dxa"/>
            <w:vAlign w:val="bottom"/>
            <w:gridSpan w:val="4"/>
            <w:vMerge w:val="restart"/>
          </w:tcPr>
          <w:p>
            <w:pPr>
              <w:jc w:val="right"/>
              <w:ind w:right="514"/>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Period-to-</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Period 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20,476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11,899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3,127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52,895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Tools segment revenues increased $5.7 million primarily attributable to a one-time settlement with a customer related to under-reported royalties from a multi-year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six months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8"/>
            <w:vMerge w:val="restart"/>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2460" w:type="dxa"/>
            <w:vAlign w:val="bottom"/>
            <w:gridSpan w:val="6"/>
            <w:vMerge w:val="restart"/>
          </w:tcPr>
          <w:p>
            <w:pPr>
              <w:jc w:val="right"/>
              <w:ind w:right="148"/>
              <w:spacing w:after="0"/>
              <w:rPr>
                <w:sz w:val="20"/>
                <w:szCs w:val="20"/>
                <w:color w:val="auto"/>
              </w:rPr>
            </w:pPr>
            <w:r>
              <w:rPr>
                <w:rFonts w:ascii="Arial" w:cs="Arial" w:eastAsia="Arial" w:hAnsi="Arial"/>
                <w:sz w:val="14"/>
                <w:szCs w:val="14"/>
                <w:b w:val="1"/>
                <w:bCs w:val="1"/>
                <w:color w:val="auto"/>
              </w:rPr>
              <w:t>Percentage of Revenues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8"/>
            <w:vMerge w:val="continue"/>
          </w:tcPr>
          <w:p>
            <w:pPr>
              <w:spacing w:after="0"/>
              <w:rPr>
                <w:sz w:val="16"/>
                <w:szCs w:val="16"/>
                <w:color w:val="auto"/>
              </w:rPr>
            </w:pPr>
          </w:p>
        </w:tc>
        <w:tc>
          <w:tcPr>
            <w:tcW w:w="2460" w:type="dxa"/>
            <w:vAlign w:val="bottom"/>
            <w:gridSpan w:val="6"/>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gridSpan w:val="2"/>
          </w:tcPr>
          <w:p>
            <w:pPr>
              <w:spacing w:after="0"/>
              <w:rPr>
                <w:sz w:val="22"/>
                <w:szCs w:val="22"/>
                <w:color w:val="auto"/>
              </w:rPr>
            </w:pPr>
          </w:p>
        </w:tc>
        <w:tc>
          <w:tcPr>
            <w:tcW w:w="100" w:type="dxa"/>
            <w:vAlign w:val="bottom"/>
            <w:tcBorders>
              <w:top w:val="single" w:sz="8" w:color="auto"/>
            </w:tcBorders>
            <w:gridSpan w:val="2"/>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Period Change</w:t>
            </w:r>
          </w:p>
        </w:tc>
        <w:tc>
          <w:tcPr>
            <w:tcW w:w="100" w:type="dxa"/>
            <w:vAlign w:val="bottom"/>
            <w:gridSpan w:val="2"/>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8"/>
          </w:tcPr>
          <w:p>
            <w:pPr>
              <w:jc w:val="center"/>
              <w:ind w:right="440"/>
              <w:spacing w:after="0" w:line="153" w:lineRule="exact"/>
              <w:rPr>
                <w:sz w:val="20"/>
                <w:szCs w:val="20"/>
                <w:color w:val="auto"/>
              </w:rPr>
            </w:pPr>
            <w:r>
              <w:rPr>
                <w:rFonts w:ascii="Arial" w:cs="Arial" w:eastAsia="Arial" w:hAnsi="Arial"/>
                <w:sz w:val="14"/>
                <w:szCs w:val="14"/>
                <w:b w:val="1"/>
                <w:bCs w:val="1"/>
                <w:color w:val="auto"/>
                <w:w w:val="91"/>
              </w:rPr>
              <w:t>(In thousands, except</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5"/>
          </w:tcPr>
          <w:p>
            <w:pPr>
              <w:jc w:val="center"/>
              <w:ind w:left="474"/>
              <w:spacing w:after="0"/>
              <w:rPr>
                <w:sz w:val="20"/>
                <w:szCs w:val="20"/>
                <w:color w:val="auto"/>
              </w:rPr>
            </w:pPr>
            <w:r>
              <w:rPr>
                <w:rFonts w:ascii="Arial" w:cs="Arial" w:eastAsia="Arial" w:hAnsi="Arial"/>
                <w:sz w:val="14"/>
                <w:szCs w:val="14"/>
                <w:b w:val="1"/>
                <w:bCs w:val="1"/>
                <w:color w:val="auto"/>
                <w:w w:val="88"/>
              </w:rPr>
              <w:t>employees)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except employees)</w:t>
            </w: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207,109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185,462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34 %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380" w:type="dxa"/>
            <w:vAlign w:val="bottom"/>
          </w:tcPr>
          <w:p>
            <w:pPr>
              <w:ind w:left="340"/>
              <w:spacing w:after="0"/>
              <w:rPr>
                <w:sz w:val="20"/>
                <w:szCs w:val="20"/>
                <w:color w:val="auto"/>
              </w:rPr>
            </w:pPr>
            <w:r>
              <w:rPr>
                <w:rFonts w:ascii="Arial" w:cs="Arial" w:eastAsia="Arial" w:hAnsi="Arial"/>
                <w:sz w:val="18"/>
                <w:szCs w:val="18"/>
                <w:color w:val="auto"/>
                <w:w w:val="91"/>
              </w:rPr>
              <w:t>Research and development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24,341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92"/>
              </w:rPr>
              <w:t>12 %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4,651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35 %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380" w:type="dxa"/>
            <w:vAlign w:val="bottom"/>
          </w:tcPr>
          <w:p>
            <w:pPr>
              <w:ind w:left="340"/>
              <w:spacing w:after="0"/>
              <w:rPr>
                <w:sz w:val="20"/>
                <w:szCs w:val="20"/>
                <w:color w:val="auto"/>
              </w:rPr>
            </w:pPr>
            <w:r>
              <w:rPr>
                <w:rFonts w:ascii="Arial" w:cs="Arial" w:eastAsia="Arial" w:hAnsi="Arial"/>
                <w:sz w:val="18"/>
                <w:szCs w:val="18"/>
                <w:color w:val="auto"/>
                <w:w w:val="99"/>
              </w:rPr>
              <w:t>Amortization of intangible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380" w:type="dxa"/>
            <w:vAlign w:val="bottom"/>
          </w:tcPr>
          <w:p>
            <w:pPr>
              <w:ind w:left="34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172,710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83 %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34,399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2"/>
              </w:rPr>
              <w:t>17 %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12 %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18,870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Number of employees at quarter</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end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4"/>
              </w:rPr>
              <w:t>Six Months Ended March 31,</w:t>
            </w:r>
          </w:p>
        </w:tc>
        <w:tc>
          <w:tcPr>
            <w:tcW w:w="2460" w:type="dxa"/>
            <w:vAlign w:val="bottom"/>
            <w:gridSpan w:val="6"/>
            <w:vMerge w:val="restart"/>
          </w:tcPr>
          <w:p>
            <w:pPr>
              <w:jc w:val="right"/>
              <w:ind w:right="148"/>
              <w:spacing w:after="0"/>
              <w:rPr>
                <w:sz w:val="20"/>
                <w:szCs w:val="20"/>
                <w:color w:val="auto"/>
              </w:rPr>
            </w:pPr>
            <w:r>
              <w:rPr>
                <w:rFonts w:ascii="Arial" w:cs="Arial" w:eastAsia="Arial" w:hAnsi="Arial"/>
                <w:sz w:val="14"/>
                <w:szCs w:val="14"/>
                <w:b w:val="1"/>
                <w:bCs w:val="1"/>
                <w:color w:val="auto"/>
              </w:rPr>
              <w:t>Percentage of Revenues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3"/>
              </w:rPr>
              <w:t>Period-to-</w:t>
            </w: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8"/>
            <w:vMerge w:val="continue"/>
          </w:tcPr>
          <w:p>
            <w:pPr>
              <w:spacing w:after="0"/>
              <w:rPr>
                <w:sz w:val="16"/>
                <w:szCs w:val="16"/>
                <w:color w:val="auto"/>
              </w:rPr>
            </w:pPr>
          </w:p>
        </w:tc>
        <w:tc>
          <w:tcPr>
            <w:tcW w:w="2460" w:type="dxa"/>
            <w:vAlign w:val="bottom"/>
            <w:gridSpan w:val="6"/>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gridSpan w:val="2"/>
          </w:tcPr>
          <w:p>
            <w:pPr>
              <w:spacing w:after="0"/>
              <w:rPr>
                <w:sz w:val="22"/>
                <w:szCs w:val="22"/>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Period Change</w:t>
            </w:r>
          </w:p>
        </w:tc>
        <w:tc>
          <w:tcPr>
            <w:tcW w:w="10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8"/>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(In thousands, except</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5"/>
          </w:tcPr>
          <w:p>
            <w:pPr>
              <w:jc w:val="center"/>
              <w:ind w:left="554"/>
              <w:spacing w:after="0"/>
              <w:rPr>
                <w:sz w:val="20"/>
                <w:szCs w:val="20"/>
                <w:color w:val="auto"/>
              </w:rPr>
            </w:pPr>
            <w:r>
              <w:rPr>
                <w:rFonts w:ascii="Arial" w:cs="Arial" w:eastAsia="Arial" w:hAnsi="Arial"/>
                <w:sz w:val="14"/>
                <w:szCs w:val="14"/>
                <w:b w:val="1"/>
                <w:bCs w:val="1"/>
                <w:color w:val="auto"/>
                <w:w w:val="88"/>
              </w:rPr>
              <w:t>employees)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except employees)</w:t>
            </w: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369,805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26,854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34 %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w w:val="89"/>
              </w:rPr>
              <w:t>Research and development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37,782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7"/>
              </w:rPr>
              <w:t>12 %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146,664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132,933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37 %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w w:val="97"/>
              </w:rPr>
              <w:t>Amortization of intangible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Restructuring and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337,380</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295,798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7"/>
              </w:rPr>
              <w:t>85 %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41,582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15 %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44,357</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7"/>
              </w:rPr>
              <w:t>11 %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33,277</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37,728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04"/>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 of revenues consists primarily of employee salaries and benefits for personnel directly involved in developing, installing and supporting revenue products; travel costs; overhead costs; outside services; costs of computer service bureaus; internal network hosting costs; amounts payable to credit reporting agencies for scores; software costs; and expenses related to our business-to-consumer services.</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Cost of revenues as a percentage of revenues increased to 34% for the quarter ended March 31, 2015 from 31% for the quarter ended March 31, 2014. The $12.8 million increase was primarily attributable to a $6.8 million increase in personnel and labor costs, a $3.4 million increase in outside services, and a $2.1 million increase in direct materials. The increase in personnel and labor costs was primarily attributable to an increase in professional services delivery cost, including a nonrecurring charge related to a large implementation project, as well as an increase in salaries and benefits cost as a result of our increased headcount. The increase in outside services was primarily attributable to an increase in our billable consulting projects utilizing temporary resources. The increase in direct materials was primarily attributable to an increase in third-party royalties cost associated with increased software license sales, as well as a nonrecurring charge in third-party data cost.</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Cost of revenues as a percentage of revenues increased to 34% for the six months ended March 31, 2015 from 31% for the six months ended March 31, 2014. The $21.8 million increase was primarily attributable to a $10.5 million increase in personnel and labor costs, an $8.4 million increase in outside services, and a $3.0 million increase in direct materials. The increase in personnel and labor costs was primarily attributable to an increase in professional services delivery cost, including a nonrecurring charge related to a large implementation project, as well as an increase in salaries and benefits cost as a result of our increased headcount. The increase in outside services was primarily attributable to an increase in our billable consulting projects utilizing temporary resources. The increase in direct materials was primarily attributable to an increase in third-party royalties cost associated with increased software license sales, as well as a nonrecurring charge in third-party data cost.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cost of revenues as a percentage of revenues will be consistent with or slightly lower than those incurred during the quarter ended March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expenses include personnel and related overhead costs incurred in the development of new products and services, including research of mathematical and statistical models and development of new versions of Applications and Tools products.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Research and development expenses as a percentage of revenues increased to 12% for the quarter ended March 31, 2015 from 10% for the quarter ended March 31, 2014. The $4.7 million increase was mainly due to a $3.8 million increase in personnel and labor costs, driven by our continued investment in the areas of cloud computing and SaaS, as well as our investment in several new products primarily in the Tools segment.</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as a percentage of revenues increased to 12% for the six months ended March 31, 2015 from 10% for the six months ended March 31, 2014. The $9.2 million increase was mainly due to a $7.0 million increase in personnel and labor costs and a $1.0 million increase in outside services, driven by our continued investment in the areas of cloud computing and SaaS, as well as our investment in several new products primarily in the Tools segment.</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that research and development expenditures as a percentage of revenues will be consistent with or slightly lower than those incurred during the quarter ended March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quarter over quarter increase of $7.9 million in selling, general and administrative expenses was primarily attributable to a $4.2 million increase in labor and personnel costs and a $1.3 million increase in marketing expenses. The increase in labor and personnel costs was primarily attributable to an increase in salaries and benefits as a result of our increased headcount, as well as an increase in commissions cost as a result of increased revenues. The increase in marketing expenses was primarily attributable to increased spending in advertising, sales meeting and conference events. Selling, general and administrative expenses as a percentage of revenues decreased to 35% for the quarter ended March 31, 2015 from 36% for the quarter ended March 31, 2014.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as a percentage of revenues increased to 37% for the six months ended March 31, 2015 from 36% for the six months ended March 31, 2014. The $13.7 million increase was primarily attributable to a $7.1 million increase in labor and personnel costs and a $4.1 million increase in marketing expenses. The increase in labor and personnel costs was primarily attributable to an increase in salaries and benefits as a result of our increased headcount, as well as an increase in commissions cost as a result of increased revenues. The increase in marketing expenses was primarily attributable to a company-wide marketing event during the six months ended March 31, 2015, as well as increased spending in advertising, sales meeting and conference events.</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that selling, general and administrative expenses as a percentage of revenues will be consistent with or slightly lower than those incurred during the quarter ended March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 over quarter increase of $0.6 million in amortization expense was primarily attributable to the addition of intangible assets associated with our TONBELLER acquisition in January 2015.</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year-to-date period over period increase of $0.5 million in amortization expense was primarily attributable to the addition of intangible assets associated with our TONBELLER acquisition in January 2015.</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several quarters we expect that amortization expense will be consistent with the amortization expense we recorded during the quarter ended March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and Acquisition-related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or acquisition-related charges during the quarter and six months ended March 31, 2015.</w:t>
      </w:r>
    </w:p>
    <w:p>
      <w:pPr>
        <w:spacing w:after="0" w:line="117"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There were no restructuring charges during the quarter ended March 31, 2014. During the six months ended March 31, 2014, we incurred $3.7 million in severance charges due to the elimination of 83 positions throughout the company. Cash payments for all the restructuring costs have been paid by the end of the second quarter of our fiscal 2015. There were no acquisition-related charges during the quarter and six months ended March 31, 2014.</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Interest expense included primarily interest on the senior notes issued in May 2008 and July 2010, as well as interest and credit facility fees on the revolving line of credit. Interest expense is netted with interest income, which is derived primarily from the investment of funds in excess of our immediate operating requirements, on our consolidated statements of income and comprehensive income.</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 over quarter increase in interest expense of $0.6 million was primarily attributable to a higher average balance on our revolving line of credit.</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year-to-date period over period increase in interest expense of $0.7 million was primarily attributable to a higher average balance on our revolving line of credit.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Over the next several quarters we expect net interest expense will be lower than the net interest expense incurred during the quarter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year-to-date period over period change in other income (expense), net of $1.3 million was primarily attributable to a nonrecurring charge related to our fixed assets balance during the six months ended March 31, 2014, as well as a decrease in foreign currency exchange loss during the six months ended March 31, 2015.</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effective income tax rate was 27.5% and 33.7% during the quarters ended March 31, 2015 and 2014, respectively, and 25.0% and 35.5% during the six months ended March 31, 2015 and 2014, respectively. The provision for income taxes during interim quarterly reporting periods is based on our estimates of the effective tax rates for the respective full fiscal year. The effective tax rate in any quarter can also be affected positively or negatively by adjustments that are required to be reported in the specific quarter of resolution. The decrease in our effective tax rate year over year was primarily due to the retroactive extension of the U.S. Federal Research and Development Credit through 2014, which was enacted during the first quarter of our fiscal 2015, as well as a higher percentage of revenue expected in lower taxing jurisdictions.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operating income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4"/>
            <w:vMerge w:val="restart"/>
          </w:tcPr>
          <w:p>
            <w:pPr>
              <w:jc w:val="center"/>
              <w:ind w:right="192"/>
              <w:spacing w:after="0"/>
              <w:rPr>
                <w:sz w:val="20"/>
                <w:szCs w:val="20"/>
                <w:color w:val="auto"/>
              </w:rPr>
            </w:pPr>
            <w:r>
              <w:rPr>
                <w:rFonts w:ascii="Arial" w:cs="Arial" w:eastAsia="Arial" w:hAnsi="Arial"/>
                <w:sz w:val="14"/>
                <w:szCs w:val="14"/>
                <w:b w:val="1"/>
                <w:bCs w:val="1"/>
                <w:color w:val="auto"/>
                <w:w w:val="96"/>
              </w:rPr>
              <w:t>Quarter Ended 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9"/>
        </w:trPr>
        <w:tc>
          <w:tcPr>
            <w:tcW w:w="50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39,353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35,319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Tools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Corporate expenses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49,716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share-based compensation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34,399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38,737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line="20" w:lineRule="exact"/>
              <w:rPr>
                <w:sz w:val="1"/>
                <w:szCs w:val="1"/>
                <w:color w:val="auto"/>
              </w:rPr>
            </w:pPr>
          </w:p>
        </w:tc>
      </w:tr>
      <w:tr>
        <w:trPr>
          <w:trHeight w:val="57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4"/>
            <w:vMerge w:val="restart"/>
          </w:tcPr>
          <w:p>
            <w:pPr>
              <w:jc w:val="center"/>
              <w:ind w:right="192"/>
              <w:spacing w:after="0"/>
              <w:rPr>
                <w:sz w:val="20"/>
                <w:szCs w:val="20"/>
                <w:color w:val="auto"/>
              </w:rPr>
            </w:pPr>
            <w:r>
              <w:rPr>
                <w:rFonts w:ascii="Arial" w:cs="Arial" w:eastAsia="Arial" w:hAnsi="Arial"/>
                <w:sz w:val="14"/>
                <w:szCs w:val="14"/>
                <w:b w:val="1"/>
                <w:bCs w:val="1"/>
                <w:color w:val="auto"/>
                <w:w w:val="94"/>
              </w:rPr>
              <w:t>Six Months Ended 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9"/>
        </w:trPr>
        <w:tc>
          <w:tcPr>
            <w:tcW w:w="50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65,957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66,613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66,368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Tools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Corporate expenses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86,322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share-based compensation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(20,596)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restructuring and acquisition-related</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59,279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5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ind w:left="380"/>
              <w:spacing w:after="0"/>
              <w:rPr>
                <w:sz w:val="20"/>
                <w:szCs w:val="20"/>
                <w:color w:val="auto"/>
              </w:rPr>
            </w:pPr>
            <w:r>
              <w:rPr>
                <w:rFonts w:ascii="Arial" w:cs="Arial" w:eastAsia="Arial" w:hAnsi="Arial"/>
                <w:sz w:val="14"/>
                <w:szCs w:val="14"/>
                <w:b w:val="1"/>
                <w:bCs w:val="1"/>
                <w:color w:val="auto"/>
              </w:rPr>
              <w:t>Quarter Ended</w:t>
            </w:r>
          </w:p>
        </w:tc>
        <w:tc>
          <w:tcPr>
            <w:tcW w:w="1580" w:type="dxa"/>
            <w:vAlign w:val="bottom"/>
            <w:gridSpan w:val="4"/>
          </w:tcPr>
          <w:p>
            <w:pPr>
              <w:jc w:val="center"/>
              <w:ind w:left="679"/>
              <w:spacing w:after="0"/>
              <w:rPr>
                <w:sz w:val="20"/>
                <w:szCs w:val="20"/>
                <w:color w:val="auto"/>
              </w:rPr>
            </w:pPr>
            <w:r>
              <w:rPr>
                <w:rFonts w:ascii="Arial" w:cs="Arial" w:eastAsia="Arial" w:hAnsi="Arial"/>
                <w:sz w:val="14"/>
                <w:szCs w:val="14"/>
                <w:b w:val="1"/>
                <w:bCs w:val="1"/>
                <w:color w:val="auto"/>
                <w:w w:val="88"/>
              </w:rPr>
              <w:t>Percentage of</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58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0"/>
              </w:rPr>
              <w:t>Percentage of</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left="679"/>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8"/>
          </w:tcPr>
          <w:p>
            <w:pPr>
              <w:ind w:left="60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0"/>
              </w:rPr>
              <w:t>Revenues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134,388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115,610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249,886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w w:val="95"/>
              </w:rPr>
              <w:t>Segment operating expense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w w:val="92"/>
              </w:rPr>
              <w:t>(78,951)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(183,929)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(160,913)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39,353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36,659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65,957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i w:val="1"/>
                <w:iCs w:val="1"/>
                <w:color w:val="auto"/>
              </w:rPr>
              <w:t>Scores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6"/>
              </w:rPr>
              <w:t>Quarter Ended</w:t>
            </w:r>
          </w:p>
        </w:tc>
        <w:tc>
          <w:tcPr>
            <w:tcW w:w="1580" w:type="dxa"/>
            <w:vAlign w:val="bottom"/>
            <w:gridSpan w:val="4"/>
          </w:tcPr>
          <w:p>
            <w:pPr>
              <w:jc w:val="center"/>
              <w:ind w:left="639"/>
              <w:spacing w:after="0"/>
              <w:rPr>
                <w:sz w:val="20"/>
                <w:szCs w:val="20"/>
                <w:color w:val="auto"/>
              </w:rPr>
            </w:pPr>
            <w:r>
              <w:rPr>
                <w:rFonts w:ascii="Arial" w:cs="Arial" w:eastAsia="Arial" w:hAnsi="Arial"/>
                <w:sz w:val="14"/>
                <w:szCs w:val="14"/>
                <w:b w:val="1"/>
                <w:bCs w:val="1"/>
                <w:color w:val="auto"/>
                <w:w w:val="88"/>
              </w:rPr>
              <w:t>Percentage of</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58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88"/>
              </w:rPr>
              <w:t>Percentage of</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left="639"/>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58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87"/>
              </w:rPr>
              <w:t>Revenues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49,937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47,858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93,878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95,038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w w:val="95"/>
              </w:rPr>
              <w:t>Segment operating expense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35,319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36,919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66,368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73,724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i w:val="1"/>
                <w:iCs w:val="1"/>
                <w:color w:val="auto"/>
              </w:rPr>
              <w:t>Tools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6"/>
              </w:rPr>
              <w:t>Quarter Ended</w:t>
            </w:r>
          </w:p>
        </w:tc>
        <w:tc>
          <w:tcPr>
            <w:tcW w:w="1580" w:type="dxa"/>
            <w:vAlign w:val="bottom"/>
            <w:gridSpan w:val="4"/>
          </w:tcPr>
          <w:p>
            <w:pPr>
              <w:jc w:val="center"/>
              <w:ind w:left="659"/>
              <w:spacing w:after="0"/>
              <w:rPr>
                <w:sz w:val="20"/>
                <w:szCs w:val="20"/>
                <w:color w:val="auto"/>
              </w:rPr>
            </w:pPr>
            <w:r>
              <w:rPr>
                <w:rFonts w:ascii="Arial" w:cs="Arial" w:eastAsia="Arial" w:hAnsi="Arial"/>
                <w:sz w:val="14"/>
                <w:szCs w:val="14"/>
                <w:b w:val="1"/>
                <w:bCs w:val="1"/>
                <w:color w:val="auto"/>
                <w:w w:val="90"/>
              </w:rPr>
              <w:t>Percentage of</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58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88"/>
              </w:rPr>
              <w:t>Percentage of</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left="659"/>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8"/>
          </w:tcPr>
          <w:p>
            <w:pPr>
              <w:ind w:left="58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87"/>
              </w:rPr>
              <w:t>Revenues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22,784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52,895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w w:val="95"/>
              </w:rPr>
              <w:t>Segment operating expense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(20,804)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5,366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2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$4.3 million decrease in operating income was mainly attributable to a $26.9 million increase in segment operating expenses, a $2.7 million increase in share-based compensation cost and a $0.6 million increase in amortization cost, partially offset by a $21.6 million increase in segment revenues and a $4.3 million decrease in corporate expenses.</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At the segment level, the quarter over quarter $1.0 million decrease in segment operating income was primarily driven by a $6.4 million decrease in our Tools segment operating income and a $1.6 million decrease in our Scores segment operating income, partially offset by a $4.3 million decrease in corporate expense and a $2.7 million increase in our Applications segment operating income.</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 over quarter $2.7 million increase in Applications segment operating income was due to an $18.7 million increase in segment revenues, partially offset by a $16.0 million increase in segment operating expenses. Segment operating income as a percentage of segment revenue for Applications decreased to 29% from 32% primarily due to an increase in professional services delivery cost, as well as an increase in salaries and benefits cost as a result of our increased headcount.</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 over quarter $1.6 million decrease in Scores segment operating income was due to a $3.7 million increase in segment operating expenses, partially offset by a $2.1 million increase in segment revenue. Segment operating income as a percentage of segment revenue for Scores decreased to 71% from 77% primarily due to an increase in salaries and benefits cost as a result of our increased headcount, as well as a nonrecurring charge in third-party data cost.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8"/>
          <w:szCs w:val="18"/>
          <w:color w:val="auto"/>
        </w:rPr>
        <w:t>The quarter over quarter $6.4 million decrease in Tools segment operating income (loss) was due to a $7.2 million increase in segment operating expenses, partially offset by a $0.8 million increase in segment revenue. Segment operating margin for Tools was a negative 23% for the quarter ended March 31, 2015 compared to a positive 5% for the quarter ended March 31, 2014 primarily due to an increase in the research and development efforts related to our cloud-based FICO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Decision Management Platform and several new products in the Tools segment, as well as an increase in professional services delivery cost.</w:t>
      </w:r>
    </w:p>
    <w:p>
      <w:pPr>
        <w:spacing w:after="0" w:line="19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year-to-date period over period decrease of $14.7 million in operating income was mainly attributable to a $44.9 million increase in segment operating expenses, a $4.3 million increase in share-based compensation cost and a $0.5 million increase in amortization cost, partially offset by a $26.8 million increase in segment revenues, a $4.5 million decrease in corporate expenses and a $3.7 million decrease in restructuring and acquisition-related cost.</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the segment level, the year-to-date period over period decrease of $13.6 million in segment operating income was driven by a $10.0 million decrease in our Tools segment operating income, a $7.4 million decrease in our Scores segment operating income and a $0.7 million decrease in our Applications segment operating income, partially offset by a $4.5 million decrease in corporate expenses.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year-to-date period over period $0.7 million decrease in Applications segment operating income was due to a $23.0 million increase in segment operating expenses, partially offset by a $22.3 million increase in segment revenue. Segment operating income as a percentage of segment revenue for Applications decreased to 26% from 29% primarily due to an increase in professional services delivery cost, as well as an increase in salaries and benefits cost as a result of our increased headcount, partially offset by an increase in sales of our higher-margin software products.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year-to-date period over period $7.4 million decrease in Scores segment operating income was attributable primarily to a $6.2 million increase in segment operating expenses and a $1.2 million decrease in segment revenues. Segment operating income as a percentage of segment revenue for Scores decreased to 71% from 78% mainly due to a decrease in sales of our higher-margin software products, an increase in salaries and benefits cost as a result of our increased headcount, and a nonrecurring charge in third-party data cost.</w:t>
      </w:r>
    </w:p>
    <w:p>
      <w:pPr>
        <w:spacing w:after="0" w:line="18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The year-to-date period over period $10.0 million decrease in Tools segment operating income (loss) was attributable primarily to a $15.7 million increase in segment operating expenses, partially offset by a $5.7 million increase in segment revenue. Segment operating income as a percentage of segment revenue for Tools was a negative 9% for the six months ended March 31, 2015 compared to a positive 11% for the six months ended March 31, 2014 mainly due to an increase in the research and development efforts related to our cloud-based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Decision Management Platform and several new products in the Tools segment, as well as an increase in professional services delivery cost, partially offset by an increase in sales of higher-margin software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2015, we had $86.8 million in cash and cash equivalents which included $47.7 million held off-shore by our foreign subsidiaries. We believe these balances, as well as available borrowings from our $400 million revolving line of credit and anticipated cash flows from operating activities, will be sufficient to fund our working and other capital requirements as well as the $71.0 million principal payment due in May 2015 on our Senior Notes issued in May 2008. Under our current financing arrangements we have no other significant debt obligations maturing over the next twelve months. Additionally, we do not anticipate the need to repatriate any undistributed earnings from our foreign subsidiaries for the foreseeable future.</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44"/>
        </w:trPr>
        <w:tc>
          <w:tcPr>
            <w:tcW w:w="834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Summary of Cash Flows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Six Months Ended March 31,</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2"/>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12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43,282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75,087</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(46,768)</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24,998</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primary method for funding operations and growth has been through cash flows generated from operating activities. Net cash provided by operating activities decreased to $43.3 million during the six months ended March 31, 2015 from $75.1 million during the six months ended March 31, 2014. The $31.8 million decrease was mainly attributable to a $15.2 million increase in our accrued incentive payout, a $14.7 million increase in our income tax payments and a $9.9 million decrease caused by timing of receipts and payments in our ordinary course of business.</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increased to $66.8 million for the six months ended March 31, 2015 from $4.3 million for the six months ended March 31, 2014. The $62.5 million increase was primarily attributable to a $56.6 million of net cash used for the acquisition of TONBELLER during the six months ended March 31, 2015 and a $6.0 million increase in purchases of property and equipment.</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provided by financing activities totaled $14.5 million during the six months ended March 31, 2015 compared to net cash used of $46.8 million during the six months ended March 31, 2014. The $61.3 million change was primarily due to a $99.0 million increase in proceeds from our revolving line of credit, net of payments on our revolving line of credit, partially offset by a $33.6 million increase in repurchases of common stock and a $6.4 million increase in taxes paid related to net share settlement of equity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2014, our Board of Directors approved a new stock repurchase program following the completion of our previous program. This program is open-ended and authorizes repurchases of shares of our common stock up to an aggregate cost of $250.0 million in the open market or in negotiated transactions.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Pursuant to this program, during the quarter and six months ended March 31, 2015 we repurchased 540,000 shares of our common stock for $40.1 million and 1,384,135 shares of our common stock for $100.7 million, respectively. As of March 31, 2015, we had $149.3 million remaining under the August 2014 authorization.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quarter ended March 31, 2015, we paid a quarterly dividend of two cents per common share. Our dividend rate is set by the Board of Directors on a quarterly basis taking into account a variety of factors, including among others, our operating results and cash flows, general economic and industry conditions, our obligations, changes in applicable tax laws and other factors deemed relevant by the Board. Although we expect to continue to pay dividends at the current rate, our dividend rate is subject to change from time to time based on the Board’s business judgment with respect to these and other relevant factors.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ind w:right="180"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ind w:right="60" w:firstLine="8"/>
        <w:spacing w:after="0" w:line="252"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minimum fixed charge ratio of 2.5 and a maximum consolidated leverage ratio of 3.0, subject to a step up to 3.5 following certain permitted acquisitions. The credit agreement also contains other covenants typical of unsecured facilities. As of March 31, 2015, we had $211.0 million in borrowings outstanding at a weighted average interest rate of 1.555% and were in compliance with all financial covenants under this credit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May 7, 2008, we issued $275 million of senior notes in a private placement to a group of institutional investors (the “2008 Senior Notes”). The 2008 Senior Notes were issued in four series with maturities ranging from 5 to 10 years. The outstanding 2008 Senior Notes’ weighted average interest rate is 7.0% and the weighted average maturity is 9.0 years. On July 14, 2010, we issued $245 million of senior notes in a private placement to a group of institutional investors (the “2010 Senior Notes” and, with the 2008 Senior Notes, the “Senior Notes”). The 2010 Senior Notes were issued in four series with maturities ranging from 6 to 10 years. The 2010 Senior Notes’ weighted average interest rate is 5.2% and the weighted average maturity is 8.0 years. The Senior Notes are subject to certain restrictive covenants that are substantially similar to those in the credit agreement for the revolving credit facility, including maintenance of consolidated leverage and fixed charge coverage ratios. The purchase agreements for the Senior Notes also include covenants typical of unsecured facilities. As of March 31, 2015 we were in compliance with all financial covenants under these facilities.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1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Licenses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Software license fee revenue is recognized when persuasive evidence of an arrangement exists, software is made available to our customers, the fee is fixed or determinable and collection is probable. The determination of whether fees are fixed or determinable and collection is probable involves the use of assumptions. If at the outset of an arrangement we determine that the arrangement fee is not fixed or determinable, revenue is deferred until the arrangement fee becomes fixed or determinable, assuming all other revenue recognition criteria have been met. If at the outset of an arrangement we determine that collectability is not probable, revenue is deferred until the earlier of when collectability becomes probable or the receipt of payment. If there is uncertainty as to the customer’s acceptance of our deliverables, revenue is not recognized until the earlier of receipt of customer acceptance, expiration of the acceptance period, or when we can demonstrate we meet the acceptance criteria. We evaluate contract terms and customer information to ensure that these criteria are met prior to our recognition of license fee revenue.</w:t>
      </w:r>
    </w:p>
    <w:p>
      <w:pPr>
        <w:spacing w:after="0" w:line="1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the residual method to recognize revenue when a software arrangement includes one or more elements to be delivered at a future date provided the following criteria are met: (i) vendor-specific objective evidence (“VSOE”) of the fair value does not exist for one or more of the delivered items but exists for all undelivered elements, (ii) all other applicable revenue recognition criteria are met and (iii) the fair value of all of the undelivered elements is less than the arrangement fee. VSOE of fair value is based on the normal pricing practices for those products and services when sold separately by us and customer renewal rates for post-contract customer support services. Under the residual method, the fair value of the undelivered elements is deferred and the remaining portion of the arrangement fee is recognized as revenue. If evidence of the fair value of one or more undelivered elements does not exist, the revenue is deferred and recognized when delivery of those elements occurs or when fair value can be established. Changes to the elements in a software arrangement, the ability to identify VSOE for those elements, the fair value of the respective elements, and change to a product’s estimated life cycle could materially impact the amount of earned and unearned revenue.</w:t>
      </w:r>
    </w:p>
    <w:p>
      <w:pPr>
        <w:spacing w:after="0" w:line="18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Revenues from post-contract customer support services, such as software maintenance, are recognized on a straight-line basis over the term of the support period. The majority of our software maintenance agreements provide technical support as well as unspecified software product upgrades and releases when and if made available by us during the term of the support period.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Transactional-based Revenues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Transactional-based revenue is recognized when persuasive evidence of an arrangement exists, fees are fixed or determinable, and collection is probable. Revenues from our credit scoring, data processing, data management and internet delivery services are recognized as these services are performed. Revenues from transactional or unit-based license fees under software license arrangements, network service and internally-hosted software agreements are recognized based on minimum contractual amounts or on system usage that exceeds minimum contractual amounts. Certain of our transactional-based revenues are based on transaction or active account volumes as reported by our clients. In instances where volumes are reported to us in arrears, we estimate volumes based on preliminary customer transaction information or average actual reported volumes for an immediate trailing period. Differences between our estimates and actual final volumes reported are recorded in the period in which actual volumes are reported. We have not experienced material variances between our estimates and actual reported volumes in the past and anticipate that we will be able to continue to make reasonable estimates in the future. If for some reason we were unable to reasonably estimate transaction volumes in the future, revenue may be deferred until actual customer data is received, and this could have a material impact on our consolidated results of operations.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provide consulting, training, model development and software integration services under both hourly-based time and materials and fixed-priced contracts. Revenues from these services are generally recognized as the services are performed. For fixed-price service contracts, we use a proportionate performance model with hours as the input method of attribution to determine progress towards completion, with consideration also given to output measures, such as contract milestones, when applicable. In such instances, management is required to estimate the total estimated hours of the project. Adjustments to estimates are made in the period in which the facts requiring such revisions become known and, accordingly, recognized revenues and profits are subject to revisions as the contract progresses to completion. Estimated losses, if any, are recorded in the period in which current estimates of total contract revenue and contract costs indicate a loss. If substantive uncertainty related to customer acceptance of services exists, we defer the associated revenue until the contract is completed. We have not experienced material variances between our estimates and actual hours in the past and anticipate that we will be able to continue to make reasonable estimates in the future. If for some reason we are unable to accurately estimate the input measures, revenue would be deferred until the contract is complete, and this could have a material impact on our consolidated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Services that are sold in connection with software license arrangements generally qualify for separate accounting from the license element because they do not involve significant production, modification or customization of our products and are not otherwise considered to be essential to the functionality of our software. In arrangements where the professional services do not qualify for separate accounting from the license element, the combined software license and professional services revenue are recognized based on contract accounting using either the percentage-of-completion or completed-contract method.</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Hosting Services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an application service provider (“ASP”), where we provide hosting services that allow customers access to software that resides on our servers. The ASP model typically includes an up-front fee and a monthly commitment from the customer that commences upon completion of the implementation through the remainder of the customer life. The up-front fee is the initial setup fee, or the implementation fee. The monthly commitment includes, but is not limited to, a fixed monthly fee or a transactional fee based on system usage that exceeds monthly minimums. Revenue is recognized from ASP transactions when there is persuasive evidence of an arrangement, the service has been provided to the customer, the amount of fees is fixed or determinable and the collection of our fees is probable. We do not view the activities of signing the contract or providing initial setup services as discrete earnings events. Revenue is typically deferred until the date the customer commences use of our services, at which point the up-front fees are recognized ratably over the expected life of the customer relationship. ASP transactional fees are recorded monthly as earned.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Multiple-Deliverable Arrangements Including Non-Software</w:t>
      </w:r>
    </w:p>
    <w:p>
      <w:pPr>
        <w:spacing w:after="0" w:line="11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When we enter into a multiple-deliverable arrangement that includes non-software, each deliverable is accounted for as a separate unit of accounting if the following criteria are met: (i) the delivered item or items have value to the customer on a standalone basis and (ii) for an arrangement that includes a general right of return relative to the delivered item(s), delivery or performance of the undelivered item(s) is considered probable and substantially in our control. We consider a deliverable to have standalone value if we sell this item separately or if the item is sold by another vendor or could be resold by the customer; </w:t>
      </w:r>
      <w:r>
        <w:rPr>
          <w:rFonts w:ascii="Arial" w:cs="Arial" w:eastAsia="Arial" w:hAnsi="Arial"/>
          <w:sz w:val="16"/>
          <w:szCs w:val="16"/>
          <w:color w:val="0000FF"/>
        </w:rPr>
        <w:t>f</w:t>
      </w:r>
      <w:r>
        <w:rPr>
          <w:rFonts w:ascii="Arial" w:cs="Arial" w:eastAsia="Arial" w:hAnsi="Arial"/>
          <w:sz w:val="16"/>
          <w:szCs w:val="16"/>
          <w:color w:val="auto"/>
        </w:rPr>
        <w:t>or example, we conclude professional services offered along with our SaaS subscription services typically have standalone value using this criteria. Further, our revenue arrangements generally do not include a general right of return relative to delivered products. Revenue for multiple element arrangements is allocated to the software and non-software deliverables based on a relative selling price. We use VSOE in our allocation of arrangement consideration when it is available. We define VSOE as a median price of recent standalone transactions that are priced within a narrow range, as defined by us. If a product or service is seldom sold separately, it is unlikely that we can determine VSOE. In circumstances when VSOE does not exist, we then assess whether we can obtain third-party evidence (“TPE”) of the selling price. It may be difficult for us to obtain sufficient information on competitor pricing to substantiate TPE and therefore we may not always be able to use TPE. When we are unable to establish selling price using VSOE or TPE, we use estimated selling price (“ESP”) in our allocation of arrangement consideration. The objective of ESP is to determine the price at which we would transact if the product or service were sold by us on a standalone basis. Our determination of ESP involves weighting several factors based on the specific facts and circumstances of each arrangement. The factors include, but are not limited to, geographies, market conditions, gross margin objectives, pricing practices and controls, customer segment pricing strategies and the product lifecycle. Historically, there have been no significant changes in our estimated selling price used in allocation of arrangement consideration. We do not believe there is a reasonable likelihood there will be a material change in the future estimates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vs. Net Revenue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apply accounting guidance to determine whether we report revenue for certain transactions based upon the gross amount billed to the customer, or the net amount retained by us. In accordance with the guidance we record revenue on a gross basis for sales in which we have acted as the principal and on a net basis for those sales in which we have in substance acted as an agent or broker in the transaction.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condensed consolidated statements of income and comprehensive income.</w:t>
      </w:r>
    </w:p>
    <w:p>
      <w:pPr>
        <w:spacing w:after="0" w:line="16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17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w:t>
      </w:r>
    </w:p>
    <w:p>
      <w:pPr>
        <w:jc w:val="both"/>
        <w:ind w:firstLine="8"/>
        <w:spacing w:after="0" w:line="253"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9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condensed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Other Intangible Assets – Impairment Assessment</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business acquisitions typically result in the recognition of goodwill and other intangible assets, which affects the amount of current and future period charges and amortization expense. Goodwill represents the excess of the purchase price over the fair value of net assets acquired, including identified intangible assets, in connection with our business combinations. We amortize our finite-lived intangible assets over the estimated useful lives. Goodwill is not amortized, but is assessed at least annually for impairment.</w:t>
      </w:r>
    </w:p>
    <w:p>
      <w:pPr>
        <w:spacing w:after="0" w:line="29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determination of the value of these components of a business combination, as well as associated asset useful lives, requires management to make various estimates and assumptions. Critical estimates in valuing certain of the intangible assets include but are not limited to: future expected cash flows from product sales and services, maintenance agreements, consulting contracts, customer contracts, and acquired developed technologies and patents or trademarks; the acquired company’s brand awareness and market position, as well as assumptions about the period of time the acquired products and services will continue to be used in our product portfolio; and discount rates. Management’s estimates of fair value and useful lives are based upon assumptions believed to be reasonable. Estimates using different assumptions, or unanticipated events and circumstances could produce significantly different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assess potential impairments of our intangible assets when there is evidence that events and circumstances related to our financial performance and economic environment indicate the carrying amount of the assets may not be recoverable. When impairment indicators are identified with respect to our previously recorded intangible assets with finite useful lives,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net intangible assets could occur. We periodically review the estimated remaining useful lives of our acquired intangible assets. A reduction in our estimate of remaining useful lives, if any, could result in increased annual amortization expense in future periods.</w:t>
      </w:r>
    </w:p>
    <w:p>
      <w:pPr>
        <w:spacing w:after="0" w:line="16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test goodwill for impairment at the reporting unit levels, which we have determined are the same as our operating segments, at least annually during the fourth quarter of each fiscal year. The timing and frequency of our goodwill impairment test is based on an ongoing assessment of events and circumstances that would be an indicator of potential impairment of a reporting unit, with the fair value below its carrying value. The first step of the goodwill impairment test is a comparison of the fair value of a reporting unit to its carrying value. We estimate the fair values of our reporting units using a weighted combination of discounted cash flow valuation model (known as the income approach) and a comparison of our reporting units to guideline publicly-traded companies (known as the market approach). These methods require estimates of our future revenues, profits, capital expenditures, working capital, costs of capital and other relevant factors, as well as selecting appropriate guideline publicly-traded companies for each reporting unit. We evaluate historical trends, current budgets, operating plans, industry data, and other relevant factors when estimating these amounts.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8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key assumptions that require significant management judgment for the income approach include revenue growth rates and weighted average cost of capital. In our analysis, revenue growth rates were primarily based on third-party studies of industry growth rates for each of our reporting units. Within each reporting unit, management refined these estimates based on their knowledge of the product, the needs of our customers and expected market opportunity. The weighted average cost of capital was determined based on publicly available data such as the long-term yield on U.S. treasury bonds, the expected rate of return on high quality bonds and the returns and betas of various equity instruments. As it relates to the market approach, there is less management judgment in determining the fair value of our reporting units other than selecting which guideline publicly-traded companies are included in our peer group.</w:t>
      </w:r>
    </w:p>
    <w:p>
      <w:pPr>
        <w:spacing w:after="0" w:line="16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the fourth quarter of fiscal 2014 we performed our annual goodwill impairment test. In step one of that test we compared the estimated fair value of each reporting unit to its carrying value. The estimated fair value of each of our reporting units substantially exceeded its respective carrying value in fiscal 2014, indicating the underlying goodwill of each reporting unit was not impaired as of our most recent testing date. Accordingly, we were not required to complete the second step of the goodwill impairment test and recorded no goodwill impairment charges for the twelve months ended September 30, 2014.</w:t>
      </w:r>
    </w:p>
    <w:p>
      <w:pPr>
        <w:spacing w:after="0" w:line="15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discussed above, estimates of fair value for all of our reporting units can be affected by a variety of external and internal factors. We believe that the assumptions and estimates utilized were appropriate based on the information available to management. The timing and recognition of impairment losses by us in the future, if any, may be highly dependent upon our estimates and assumptions.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stock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condensed consolidated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likely, we establish a valuation allowance. When we establish a valuation allowance or increase this allowance in an accounting period, we record a corresponding income tax expense in our condensed consolidated statements of income and comprehensive income. In assessing the need for the valuation allowance, we consider future taxable income in the jurisdictions we operate;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 We have historically had minimal changes in our valuation allowances related to deferred tax assets.</w:t>
      </w:r>
    </w:p>
    <w:p>
      <w:pPr>
        <w:spacing w:after="0" w:line="18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 Historically, settlements related to our unrecognized tax benefits have been minimal.</w:t>
      </w:r>
    </w:p>
    <w:p>
      <w:pPr>
        <w:spacing w:after="0" w:line="18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shareholder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Recently Issued or Adopted</w:t>
      </w:r>
    </w:p>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May 2014, the Financial Accounting Standards Board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ASU 2014-09</w:t>
      </w:r>
      <w:r>
        <w:rPr>
          <w:rFonts w:ascii="Arial" w:cs="Arial" w:eastAsia="Arial" w:hAnsi="Arial"/>
          <w:sz w:val="18"/>
          <w:szCs w:val="18"/>
          <w:i w:val="1"/>
          <w:iCs w:val="1"/>
          <w:color w:val="auto"/>
        </w:rPr>
        <w:t>”</w:t>
      </w:r>
      <w:r>
        <w:rPr>
          <w:rFonts w:ascii="Arial" w:cs="Arial" w:eastAsia="Arial" w:hAnsi="Arial"/>
          <w:sz w:val="18"/>
          <w:szCs w:val="18"/>
          <w:color w:val="auto"/>
        </w:rPr>
        <w:t>).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Early adoption is not permitted. ASU 2014-09 is effective for fiscal years and interim periods within those years, beginning on or after December 15, 2016, which means it will be effective for our fiscal year beginning October 1, 2017. We have not yet selected a transition method and we are currently evaluating the impact that the updated standard will have on our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April 2015, the FASB issued ASU No. 2015-03, "Simplifying the Presentation of Debt Issuance" ("ASU 2015-03"), which changes the presentation of debt issuance costs in financial statements. Under ASU 2015-03, an entity presents such costs in the balance sheet as a direct deduction from the related debt liability rather than as an asset. Amortization of the costs is reported as interest expense. ASU 2015-03 is effective for fiscal years and interim periods within those fiscal years, beginning after December 15, 2015, which means it will be effective for our fiscal year beginning October 1, 2016. Early adoption is permitted. We do not believe that adoption of ASU 2015-03 will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2015 and September 30, 2014:</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March 31, 2015</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2014</w:t>
            </w:r>
          </w:p>
        </w:tc>
        <w:tc>
          <w:tcPr>
            <w:tcW w:w="132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Carrying</w:t>
            </w:r>
          </w:p>
        </w:tc>
        <w:tc>
          <w:tcPr>
            <w:tcW w:w="18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Cost</w:t>
            </w:r>
          </w:p>
        </w:tc>
        <w:tc>
          <w:tcPr>
            <w:tcW w:w="340" w:type="dxa"/>
            <w:vAlign w:val="bottom"/>
          </w:tcPr>
          <w:p>
            <w:pPr>
              <w:spacing w:after="0"/>
              <w:rPr>
                <w:sz w:val="18"/>
                <w:szCs w:val="18"/>
                <w:color w:val="auto"/>
              </w:rPr>
            </w:pPr>
          </w:p>
        </w:tc>
        <w:tc>
          <w:tcPr>
            <w:tcW w:w="1540" w:type="dxa"/>
            <w:vAlign w:val="bottom"/>
          </w:tcPr>
          <w:p>
            <w:pPr>
              <w:jc w:val="center"/>
              <w:ind w:right="490"/>
              <w:spacing w:after="0"/>
              <w:rPr>
                <w:sz w:val="20"/>
                <w:szCs w:val="20"/>
                <w:color w:val="auto"/>
              </w:rPr>
            </w:pPr>
            <w:r>
              <w:rPr>
                <w:rFonts w:ascii="Arial" w:cs="Arial" w:eastAsia="Arial" w:hAnsi="Arial"/>
                <w:sz w:val="18"/>
                <w:szCs w:val="18"/>
                <w:b w:val="1"/>
                <w:bCs w:val="1"/>
                <w:color w:val="auto"/>
                <w:w w:val="97"/>
              </w:rPr>
              <w:t>Carrying</w:t>
            </w: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Basis</w:t>
            </w:r>
          </w:p>
        </w:tc>
        <w:tc>
          <w:tcPr>
            <w:tcW w:w="24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Amount</w:t>
            </w:r>
          </w:p>
        </w:tc>
        <w:tc>
          <w:tcPr>
            <w:tcW w:w="18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2"/>
              </w:rPr>
              <w:t>Yield</w:t>
            </w:r>
          </w:p>
        </w:tc>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Basis</w:t>
            </w:r>
          </w:p>
        </w:tc>
        <w:tc>
          <w:tcPr>
            <w:tcW w:w="340" w:type="dxa"/>
            <w:vAlign w:val="bottom"/>
          </w:tcPr>
          <w:p>
            <w:pPr>
              <w:spacing w:after="0"/>
              <w:rPr>
                <w:sz w:val="20"/>
                <w:szCs w:val="20"/>
                <w:color w:val="auto"/>
              </w:rPr>
            </w:pPr>
          </w:p>
        </w:tc>
        <w:tc>
          <w:tcPr>
            <w:tcW w:w="1540" w:type="dxa"/>
            <w:vAlign w:val="bottom"/>
          </w:tcPr>
          <w:p>
            <w:pPr>
              <w:jc w:val="center"/>
              <w:ind w:right="49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Yield</w:t>
            </w:r>
          </w:p>
        </w:tc>
      </w:tr>
      <w:tr>
        <w:trPr>
          <w:trHeight w:val="27"/>
        </w:trPr>
        <w:tc>
          <w:tcPr>
            <w:tcW w:w="1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5"/>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86,841</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0.88%  $</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105,075</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105,075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1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May 7, 2008, we issued $275 million of senior notes to a group of institutional investors in a private placement (the “2008 Senior Notes”). On July 14, 2010 we issued an additional $245 million of senior notes to a group of institutional investors in a private placement (the “2010 Senior Notes” and, with the 2008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above, for additional information on the Senior Notes. The following table presents the principal amounts, carrying amounts, and fair values for the Senior Notes at March 31, 2015 and September 30, 2014: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73"/>
              <w:spacing w:after="0"/>
              <w:rPr>
                <w:sz w:val="20"/>
                <w:szCs w:val="20"/>
                <w:color w:val="auto"/>
              </w:rPr>
            </w:pPr>
            <w:r>
              <w:rPr>
                <w:rFonts w:ascii="Arial" w:cs="Arial" w:eastAsia="Arial" w:hAnsi="Arial"/>
                <w:sz w:val="18"/>
                <w:szCs w:val="18"/>
                <w:b w:val="1"/>
                <w:bCs w:val="1"/>
                <w:color w:val="auto"/>
                <w:w w:val="93"/>
              </w:rPr>
              <w:t>March 31, 2015</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2014</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53"/>
              <w:spacing w:after="0"/>
              <w:rPr>
                <w:sz w:val="20"/>
                <w:szCs w:val="20"/>
                <w:color w:val="auto"/>
              </w:rPr>
            </w:pPr>
            <w:r>
              <w:rPr>
                <w:rFonts w:ascii="Arial" w:cs="Arial" w:eastAsia="Arial" w:hAnsi="Arial"/>
                <w:sz w:val="18"/>
                <w:szCs w:val="18"/>
                <w:b w:val="1"/>
                <w:bCs w:val="1"/>
                <w:color w:val="auto"/>
                <w:w w:val="94"/>
              </w:rPr>
              <w:t>Carrying</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center"/>
              <w:ind w:right="194"/>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360" w:type="dxa"/>
            <w:vAlign w:val="bottom"/>
          </w:tcPr>
          <w:p>
            <w:pPr>
              <w:jc w:val="center"/>
              <w:ind w:right="53"/>
              <w:spacing w:after="0"/>
              <w:rPr>
                <w:sz w:val="20"/>
                <w:szCs w:val="20"/>
                <w:color w:val="auto"/>
              </w:rPr>
            </w:pPr>
            <w:r>
              <w:rPr>
                <w:rFonts w:ascii="Arial" w:cs="Arial" w:eastAsia="Arial" w:hAnsi="Arial"/>
                <w:sz w:val="18"/>
                <w:szCs w:val="18"/>
                <w:b w:val="1"/>
                <w:bCs w:val="1"/>
                <w:color w:val="auto"/>
                <w:w w:val="89"/>
              </w:rPr>
              <w:t>Amounts</w:t>
            </w:r>
          </w:p>
        </w:tc>
        <w:tc>
          <w:tcPr>
            <w:tcW w:w="3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Principal</w:t>
            </w:r>
          </w:p>
        </w:tc>
        <w:tc>
          <w:tcPr>
            <w:tcW w:w="320" w:type="dxa"/>
            <w:vAlign w:val="bottom"/>
          </w:tcPr>
          <w:p>
            <w:pPr>
              <w:spacing w:after="0"/>
              <w:rPr>
                <w:sz w:val="20"/>
                <w:szCs w:val="20"/>
                <w:color w:val="auto"/>
              </w:rPr>
            </w:pPr>
          </w:p>
        </w:tc>
        <w:tc>
          <w:tcPr>
            <w:tcW w:w="134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Amounts</w:t>
            </w:r>
          </w:p>
        </w:tc>
        <w:tc>
          <w:tcPr>
            <w:tcW w:w="26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1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2008 Senior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202,000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214,170</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The 2010 Senior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252,186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245,000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245,000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248,557</w:t>
            </w:r>
          </w:p>
        </w:tc>
      </w:tr>
      <w:tr>
        <w:trPr>
          <w:trHeight w:val="486"/>
        </w:trPr>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ind w:right="40" w:firstLine="8"/>
        <w:spacing w:after="0" w:line="253"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$211.0 million in borrowings outstanding at a weighted average interest rate of 1.555% under the credit facility as of March 31, 2015.</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2015 and September 30,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3"/>
              </w:rPr>
              <w:t>March 31, 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420" w:type="dxa"/>
            <w:vAlign w:val="bottom"/>
            <w:gridSpan w:val="3"/>
          </w:tcPr>
          <w:p>
            <w:pPr>
              <w:ind w:left="1340"/>
              <w:spacing w:after="0"/>
              <w:rPr>
                <w:sz w:val="20"/>
                <w:szCs w:val="20"/>
                <w:color w:val="auto"/>
              </w:rPr>
            </w:pPr>
            <w:r>
              <w:rPr>
                <w:rFonts w:ascii="Arial" w:cs="Arial" w:eastAsia="Arial" w:hAnsi="Arial"/>
                <w:sz w:val="18"/>
                <w:szCs w:val="18"/>
                <w:b w:val="1"/>
                <w:bCs w:val="1"/>
                <w:color w:val="auto"/>
              </w:rPr>
              <w:t>Contract Amount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b w:val="1"/>
                <w:bCs w:val="1"/>
                <w:color w:val="auto"/>
                <w:w w:val="90"/>
              </w:rPr>
              <w:t>Foreign</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7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Currency</w:t>
            </w:r>
          </w:p>
        </w:tc>
        <w:tc>
          <w:tcPr>
            <w:tcW w:w="600" w:type="dxa"/>
            <w:vAlign w:val="bottom"/>
          </w:tcPr>
          <w:p>
            <w:pPr>
              <w:spacing w:after="0"/>
              <w:rPr>
                <w:sz w:val="20"/>
                <w:szCs w:val="20"/>
                <w:color w:val="auto"/>
              </w:rPr>
            </w:pPr>
          </w:p>
        </w:tc>
        <w:tc>
          <w:tcPr>
            <w:tcW w:w="1780" w:type="dxa"/>
            <w:vAlign w:val="bottom"/>
            <w:gridSpan w:val="3"/>
          </w:tcPr>
          <w:p>
            <w:pPr>
              <w:ind w:left="78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US$</w:t>
            </w:r>
          </w:p>
        </w:tc>
      </w:tr>
      <w:tr>
        <w:trPr>
          <w:trHeight w:val="27"/>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17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Canadian dollar (CAD)</w:t>
            </w:r>
          </w:p>
        </w:tc>
        <w:tc>
          <w:tcPr>
            <w:tcW w:w="1740" w:type="dxa"/>
            <w:vAlign w:val="bottom"/>
          </w:tcPr>
          <w:p>
            <w:pPr>
              <w:ind w:left="40"/>
              <w:spacing w:after="0"/>
              <w:rPr>
                <w:sz w:val="20"/>
                <w:szCs w:val="20"/>
                <w:color w:val="auto"/>
              </w:rPr>
            </w:pPr>
            <w:r>
              <w:rPr>
                <w:rFonts w:ascii="Arial" w:cs="Arial" w:eastAsia="Arial" w:hAnsi="Arial"/>
                <w:sz w:val="18"/>
                <w:szCs w:val="18"/>
                <w:color w:val="auto"/>
              </w:rPr>
              <w:t>CAD</w:t>
            </w:r>
          </w:p>
        </w:tc>
        <w:tc>
          <w:tcPr>
            <w:tcW w:w="600" w:type="dxa"/>
            <w:vAlign w:val="bottom"/>
          </w:tcPr>
          <w:p>
            <w:pPr>
              <w:jc w:val="right"/>
              <w:spacing w:after="0"/>
              <w:rPr>
                <w:sz w:val="20"/>
                <w:szCs w:val="20"/>
                <w:color w:val="auto"/>
              </w:rPr>
            </w:pPr>
            <w:r>
              <w:rPr>
                <w:rFonts w:ascii="Arial" w:cs="Arial" w:eastAsia="Arial" w:hAnsi="Arial"/>
                <w:sz w:val="18"/>
                <w:szCs w:val="18"/>
                <w:color w:val="auto"/>
              </w:rPr>
              <w:t>7,550</w:t>
            </w:r>
          </w:p>
        </w:tc>
        <w:tc>
          <w:tcPr>
            <w:tcW w:w="1080" w:type="dxa"/>
            <w:vAlign w:val="bottom"/>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 (EUR)</w:t>
            </w: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1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GBP</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0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84"/>
        </w:trPr>
        <w:tc>
          <w:tcPr>
            <w:tcW w:w="58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5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September 30, 2014</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420" w:type="dxa"/>
            <w:vAlign w:val="bottom"/>
            <w:gridSpan w:val="3"/>
          </w:tcPr>
          <w:p>
            <w:pPr>
              <w:ind w:left="1340"/>
              <w:spacing w:after="0"/>
              <w:rPr>
                <w:sz w:val="20"/>
                <w:szCs w:val="20"/>
                <w:color w:val="auto"/>
              </w:rPr>
            </w:pPr>
            <w:r>
              <w:rPr>
                <w:rFonts w:ascii="Arial" w:cs="Arial" w:eastAsia="Arial" w:hAnsi="Arial"/>
                <w:sz w:val="18"/>
                <w:szCs w:val="18"/>
                <w:b w:val="1"/>
                <w:bCs w:val="1"/>
                <w:color w:val="auto"/>
              </w:rPr>
              <w:t>Contract Amount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740" w:type="dxa"/>
            <w:vAlign w:val="bottom"/>
          </w:tcPr>
          <w:p>
            <w:pPr>
              <w:jc w:val="center"/>
              <w:ind w:left="610"/>
              <w:spacing w:after="0"/>
              <w:rPr>
                <w:sz w:val="20"/>
                <w:szCs w:val="20"/>
                <w:color w:val="auto"/>
              </w:rPr>
            </w:pPr>
            <w:r>
              <w:rPr>
                <w:rFonts w:ascii="Arial" w:cs="Arial" w:eastAsia="Arial" w:hAnsi="Arial"/>
                <w:sz w:val="18"/>
                <w:szCs w:val="18"/>
                <w:b w:val="1"/>
                <w:bCs w:val="1"/>
                <w:color w:val="auto"/>
                <w:w w:val="90"/>
              </w:rPr>
              <w:t>Foreign</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7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Currency</w:t>
            </w:r>
          </w:p>
        </w:tc>
        <w:tc>
          <w:tcPr>
            <w:tcW w:w="600" w:type="dxa"/>
            <w:vAlign w:val="bottom"/>
          </w:tcPr>
          <w:p>
            <w:pPr>
              <w:spacing w:after="0"/>
              <w:rPr>
                <w:sz w:val="20"/>
                <w:szCs w:val="20"/>
                <w:color w:val="auto"/>
              </w:rPr>
            </w:pPr>
          </w:p>
        </w:tc>
        <w:tc>
          <w:tcPr>
            <w:tcW w:w="1780" w:type="dxa"/>
            <w:vAlign w:val="bottom"/>
            <w:gridSpan w:val="3"/>
          </w:tcPr>
          <w:p>
            <w:pPr>
              <w:ind w:left="78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US$</w:t>
            </w:r>
          </w:p>
        </w:tc>
      </w:tr>
      <w:tr>
        <w:trPr>
          <w:trHeight w:val="27"/>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17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Canadian dollar (CAD)</w:t>
            </w:r>
          </w:p>
        </w:tc>
        <w:tc>
          <w:tcPr>
            <w:tcW w:w="1740" w:type="dxa"/>
            <w:vAlign w:val="bottom"/>
          </w:tcPr>
          <w:p>
            <w:pPr>
              <w:ind w:left="40"/>
              <w:spacing w:after="0"/>
              <w:rPr>
                <w:sz w:val="20"/>
                <w:szCs w:val="20"/>
                <w:color w:val="auto"/>
              </w:rPr>
            </w:pPr>
            <w:r>
              <w:rPr>
                <w:rFonts w:ascii="Arial" w:cs="Arial" w:eastAsia="Arial" w:hAnsi="Arial"/>
                <w:sz w:val="18"/>
                <w:szCs w:val="18"/>
                <w:color w:val="auto"/>
              </w:rPr>
              <w:t>CAD</w:t>
            </w:r>
          </w:p>
        </w:tc>
        <w:tc>
          <w:tcPr>
            <w:tcW w:w="600" w:type="dxa"/>
            <w:vAlign w:val="bottom"/>
          </w:tcPr>
          <w:p>
            <w:pPr>
              <w:jc w:val="right"/>
              <w:spacing w:after="0"/>
              <w:rPr>
                <w:sz w:val="20"/>
                <w:szCs w:val="20"/>
                <w:color w:val="auto"/>
              </w:rPr>
            </w:pPr>
            <w:r>
              <w:rPr>
                <w:rFonts w:ascii="Arial" w:cs="Arial" w:eastAsia="Arial" w:hAnsi="Arial"/>
                <w:sz w:val="18"/>
                <w:szCs w:val="18"/>
                <w:color w:val="auto"/>
              </w:rPr>
              <w:t>3,300</w:t>
            </w:r>
          </w:p>
        </w:tc>
        <w:tc>
          <w:tcPr>
            <w:tcW w:w="1080" w:type="dxa"/>
            <w:vAlign w:val="bottom"/>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 (EUR)</w:t>
            </w: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1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GBP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0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March 31, 2015 and September 30, 2014, respectively; therefore, their fair value was $0 on each of these 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FICO’s management, including the Chief Executive Officer and Chief Financial Officer, of the effectiveness of the design and operation of FICO’s disclosure controls and procedures (as defined in Rule 13a-15(e) under the Securities Exchange Act of 1934, as amended (the “Exchange Act”)) as of the end of the period covered by this quarterly report. Based on that evaluation, the Chief Executive Officer and Chief Financial Officer have concluded that FICO’s disclosure controls and procedures are effective to ensure that information required to be disclosed by FICO in reports that it files or submits under the Exchange Act is (i) recorded, processed, summarized and reported within the time periods specified in SEC rules and forms and (ii) accumulated and communicated to the Chief Executive Officer and Chief Financial Officer to allow timely decisions regarding required disclosure.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 13a-15(d) of the Exchange Act that occurred during the period covered by this quarterly report and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7"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84"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The market may be unreceptive to this general DM business approach, including being unreceptive to purchasing multiple products from us or unreceptive to our customized solutions. If our DM strategy is not successful, we may not be able to grow our business, growth may occur more slowly than we anticipate or our revenues and profits may decline.</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revenues derived from our scoring solutions, fraud solutions, customer management solutions and tools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81" w:lineRule="exact"/>
        <w:rPr>
          <w:sz w:val="20"/>
          <w:szCs w:val="20"/>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54"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7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We rely on relatively few customers, as well as our contracts with the three major credit reporting agencies, for a significant portion of our revenues and profits.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Most of our customers are relatively large enterprises, such as banks, credit card processors, insurance companies, healthcare firms, retailers and public agencies. As a result, many of our customers and potential customers are significantly larger than we are and may have sufficient bargaining power to demand reduced prices and favorable nonstandard terms.</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the U.S. and other key international economies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European Union continues to face great economic uncertainty which could impact the overall world economy or various other regional economies. The potential for economic disruption presents considerable risks to our business, including potential bankruptcies or credit deterioration of financial institutions with which we have substantial relationships. Such disruption could result in a decline in the volume of transactions that we execute for our customers.</w:t>
      </w:r>
    </w:p>
    <w:p>
      <w:pPr>
        <w:spacing w:after="0" w:line="193"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7"/>
          <w:szCs w:val="17"/>
          <w:color w:val="auto"/>
        </w:rPr>
        <w:t>We also derive a substantial portion of our revenues and operating income from our contracts with the three major credit reporting agencies, TransUnion, Equifax and Experian,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offerings, the loss of or a significant change in a relationship with a major customer, the loss of or a significant change in a relationship with a significant third-party distributor or the delay of significant revenues from these sources, could have a material adverse effect on our revenues and results of operations.</w:t>
      </w:r>
    </w:p>
    <w:p>
      <w:pPr>
        <w:spacing w:after="0" w:line="195"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170"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Most of our products rely on distributors, and we intend to continue to market and distribute our products through existing and future distributor relationships. Our Scores segment relies on, among others, TransUnion, Equifax and Experian. Failure of our existing and future distributors to generate significant revenues,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TransUnion, Equifax and Experian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192"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Our acquisition and divestiture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an acquired company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claims or liabilities we assume from an acquired company, business, product or technology, including claims from government agencies, terminated employees, current or former customers, former stockholders or other third parties; pre-existing contractual relationships of an acquired company we would not have otherwise entered into; unfavorable revenue recognition or other accounting treatment as a result of an acquired company’s practices; and intellectual property claims or disputes;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or other circumstances prior to acquiring a company, business, product or technology, which could result in unexpected litigation or regulatory exposure, unfavorable accounting treatment, unexpected increases in taxes due, a loss of anticipated tax benefits or other adverse effects on our business, operating results or financial condition;</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sell the acquired products to our customer base or if contract models of an acquired company do not allow us to recognize revenues on a timely basis;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difficulty incorporating acquired technologies or products with our existing product lines and maintaining uniform standards, architecture, controls, procedures and policies;</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 and</w:t>
      </w: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additional or unexpected changes in how we are required to account for our acquisitions pursuant to U.S. generally accepted accounting principles, including arrangements we assume from an acquisition.</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also divested ourselves of businesses in the past and may do so again in the future. Divestitures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acquisitions and divestitures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(Item 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initiative may cause our growth prospects and profitability to suffer.</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part of our management approach, we implemented an ongoing reengineering initiative designed to grow revenues through strategic resource allocation and improve profitability through cost reductions. Our reengineering initiative may not be successful over the long term as a result of our failure to reduce expenses at the anticipated level, or have a lower, or no, positive impact on revenues from strategic resource allocation. If our reengineering initiative is not successful over the long term, our revenues, results of operations and business may suffer.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740" w:right="20" w:hanging="489"/>
        <w:spacing w:after="0" w:line="250"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dissatisfaction with, or problems caused by, the performance of our products;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complete large installations on schedule and within budget;</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1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7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licensing our products typically ranges from 60 days to 18 months.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78" w:lineRule="exact"/>
        <w:rPr>
          <w:sz w:val="20"/>
          <w:szCs w:val="20"/>
          <w:color w:val="auto"/>
        </w:rPr>
      </w:pPr>
    </w:p>
    <w:p>
      <w:pPr>
        <w:ind w:left="180" w:right="70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Large portions of our software license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2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customer service and technical support personnel to assist customers with product installation and deployment.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2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must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alliances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alliances, or if they decline to provide such data due to legal privacy concerns, competition concerns, prohibitions or a lack of permission from their customers, we could lose access to required data and our products, and the development of new products, might become less effective. Third parties have asserted copyright interests in these data, and these assertions, if successful, could prevent us from using these data. Any interruption of our supply of data could seriously harm our business, financial condition or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6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81" w:lineRule="exact"/>
        <w:rPr>
          <w:sz w:val="20"/>
          <w:szCs w:val="20"/>
          <w:color w:val="auto"/>
        </w:rPr>
      </w:pPr>
    </w:p>
    <w:p>
      <w:pPr>
        <w:ind w:left="740" w:hanging="502"/>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740" w:hanging="502"/>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1060" w:hanging="809"/>
        <w:spacing w:after="0" w:line="261"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8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188"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our 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181"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Our business requires the storage, transmission and utilization of sensitive consumer and customer information. Many of our products are provided by us through the Internet. Security breaches could expose us to a risk of loss, the unauthorized disclosure of consumer or customer information, litigation, indemnity obligations and other liability. If our security measures are breached as a result of third-party action, employee error, malfeasance or otherwise, and as a result, someone obtains unauthorized access to our system or to consumer or customer information, our reputation may be damaged, our business may suffer and we could incur significant liability.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curtail or cease their use of our products and services or subject us to third-party lawsuits, regulatory fines or other action or liability, which could materially and adversely affect our business and operating results.</w:t>
      </w:r>
    </w:p>
    <w:p>
      <w:pPr>
        <w:spacing w:after="0" w:line="17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Protection from system interruptions is important to our business. If we experience a sustained interruption of our telecommunication systems, it could harm our business.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Systems or network interruptions could delay and disrupt our ability to develop, deliver or maintain our products and services, causing harm to our business and reputation and resulting in loss of customers or revenue. These interruptions can include fires, floods, earthquakes, power losses, equipment failures and other events beyond our control.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have a significant share of the available market in portions of our Scores segment and for certain services in our Applications segment, specifically, the markets for account management services at credit card processors and credit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our markets, technology changes rapidly, and there are continuous improvements in computer hardware, network operating systems, programming tools, programming languages, operating systems, database technology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54" w:lineRule="exact"/>
        <w:rPr>
          <w:sz w:val="20"/>
          <w:szCs w:val="20"/>
          <w:color w:val="auto"/>
        </w:rPr>
      </w:pPr>
    </w:p>
    <w:p>
      <w:pPr>
        <w:ind w:left="740" w:hanging="50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740" w:hanging="50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 w:lineRule="exact"/>
        <w:rPr>
          <w:rFonts w:ascii="Arial" w:cs="Arial" w:eastAsia="Arial" w:hAnsi="Arial"/>
          <w:sz w:val="18"/>
          <w:szCs w:val="18"/>
          <w:color w:val="auto"/>
        </w:rPr>
      </w:pPr>
    </w:p>
    <w:p>
      <w:pPr>
        <w:ind w:left="1140" w:right="20" w:hanging="889"/>
        <w:spacing w:after="0" w:line="250"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ind w:left="740" w:hanging="50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1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our competitors introduce new products and pricing strategies, it could decrease our product sales and market share, or could pressure us to reduce our product prices in a manner that reduces our margins.</w:t>
      </w:r>
    </w:p>
    <w:p>
      <w:pPr>
        <w:spacing w:after="0" w:line="17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We may not be able to compete successfully against our competitors, and this inability could impair our capacity to sell our products. The market for business analytics is new, rapidly evolving and highly competitive, and we expect competition in this market to persist and intensify. Our regional and global competitors vary in size and in the scope of the products and services they offer, and include:</w:t>
      </w:r>
    </w:p>
    <w:p>
      <w:pPr>
        <w:spacing w:after="0" w:line="181" w:lineRule="exact"/>
        <w:rPr>
          <w:sz w:val="20"/>
          <w:szCs w:val="20"/>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 resource planning (“ERP”) and customer relationship management (“CRM”) packaged solutions providers;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process management solution providers;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account/workflow management software providers; and</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expect to experience additional competition from other established and emerging companies, as well as from other technologies. For example, certain of our fraud solutions products compete against other methods of preventing credit card fraud, such as credit cards that contain the cardholder’s photograph, smart cards, cardholder verification and authentication solutions and other card authorization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TransUnion, Equifax and Experian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187"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b w:val="1"/>
          <w:bCs w:val="1"/>
          <w:i w:val="1"/>
          <w:iCs w:val="1"/>
          <w:color w:val="auto"/>
        </w:rPr>
        <w:t>Legislation that is enacted by the U.S. Congress, the states, Canadian provinces, and other countries, and government regulations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current products and services, it could adversely affect our business and results of operations.</w:t>
      </w:r>
    </w:p>
    <w:p>
      <w:pPr>
        <w:spacing w:after="0" w:line="17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Legislation and governmental regulation affect how our business is conducted and, in some cases, subject us to the possibility of government supervision and future lawsuits arising from our products and services. Globally, legislation and governmental regulation also influence our current and prospective customers’ activities, as well as their expectations and needs in relation to our products and services. Both our core businesses and our newer initiatives are affected globally by federal, regional, provincial, state and other jurisdictional regulations, including those in the following significant regulatory areas:</w:t>
      </w:r>
    </w:p>
    <w:p>
      <w:pPr>
        <w:spacing w:after="0" w:line="154" w:lineRule="exact"/>
        <w:rPr>
          <w:sz w:val="20"/>
          <w:szCs w:val="20"/>
          <w:color w:val="auto"/>
        </w:rPr>
      </w:pPr>
    </w:p>
    <w:p>
      <w:pPr>
        <w:ind w:left="580" w:right="20" w:hanging="329"/>
        <w:spacing w:after="0" w:line="258" w:lineRule="auto"/>
        <w:tabs>
          <w:tab w:leader="none" w:pos="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Examples in the U.S. include the Fair Credit Reporting Act (“FCRA”), as amended by the Fair and Accurate Credit Transactions Act (“FACTA”);</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such as state “mortgage trigger” laws, state “inquiries” laws, state insurance restrictions on the use of credit based insurance scores, and the Consumer Credit Directive in the European Union;</w:t>
      </w:r>
    </w:p>
    <w:p>
      <w:pPr>
        <w:ind w:left="560" w:right="20" w:hanging="322"/>
        <w:spacing w:after="0" w:line="265" w:lineRule="auto"/>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Fair lending laws, such as the Truth In Lending Act ("TILA") and Regulation Z, as amended by the Credit Card Accountability Responsibility and Disclosure Act of 2009 (“Credit CARD Act of 2009”), and the Equal Credit Opportunity Act (“ECOA”) and Regulation B;</w:t>
      </w:r>
    </w:p>
    <w:p>
      <w:pPr>
        <w:jc w:val="both"/>
        <w:ind w:left="560" w:hanging="322"/>
        <w:spacing w:after="0" w:line="265" w:lineRule="auto"/>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Privacy and security laws and regulations that limit the use and disclosure of personally identifiable information or require security procedures, including but not limited to the provisions of the Financial Services Modernization Act of 1999, also known as the Gramm Leach Bliley Act (“GLBA”); the Health Insurance Portability and Accountability Act of 1996 (“HIPAA”) as amended by the Health Information Technology for Economic and Clinical Health Act (“HITECH”); the Uniting and Strengthening America by Providing Appropriate Tools Required to Intercept and Obstruct Terrorism Act of 2001 (“USA Patriot Act”); identity theft, file freezing, security breach notification and similar state privacy laws;</w:t>
      </w:r>
    </w:p>
    <w:p>
      <w:pPr>
        <w:spacing w:after="0" w:line="1" w:lineRule="exact"/>
        <w:rPr>
          <w:rFonts w:ascii="Arial" w:cs="Arial" w:eastAsia="Arial" w:hAnsi="Arial"/>
          <w:sz w:val="17"/>
          <w:szCs w:val="17"/>
          <w:color w:val="auto"/>
        </w:rPr>
      </w:pPr>
    </w:p>
    <w:p>
      <w:pPr>
        <w:ind w:left="560" w:hanging="32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nongovernmental VISA and MasterCard electronic payment standards;</w:t>
      </w:r>
    </w:p>
    <w:p>
      <w:pPr>
        <w:ind w:left="560" w:hanging="322"/>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Regulations applicable to secondary market participants such as Fannie Mae and Freddie Mac that could have an impact on our products;</w:t>
      </w:r>
    </w:p>
    <w:p>
      <w:pPr>
        <w:spacing w:after="0" w:line="20" w:lineRule="exact"/>
        <w:rPr>
          <w:rFonts w:ascii="Arial" w:cs="Arial" w:eastAsia="Arial" w:hAnsi="Arial"/>
          <w:sz w:val="17"/>
          <w:szCs w:val="17"/>
          <w:color w:val="auto"/>
        </w:rPr>
      </w:pPr>
    </w:p>
    <w:p>
      <w:pPr>
        <w:ind w:left="560" w:hanging="32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Insurance 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ind w:left="560" w:right="20" w:hanging="32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laws governing the use of the Internet and telemarketing, advertising, endorsements and testimonials and credit repair;</w:t>
      </w:r>
    </w:p>
    <w:p>
      <w:pPr>
        <w:ind w:left="560" w:hanging="32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regulations applicable to operations in other countries, for example, the European Union’s Privacy Directive and the Foreign Corrupt Practices Act;</w:t>
      </w:r>
    </w:p>
    <w:p>
      <w:pPr>
        <w:ind w:left="560" w:hanging="32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Sarbanes-Oxley Act (“SOX”) requirements to maintain and verify internal process controls, including controls for material event awareness and notification;</w:t>
      </w:r>
    </w:p>
    <w:p>
      <w:pPr>
        <w:ind w:left="560" w:hanging="322"/>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implementation of the Emergency Economic Stabilization Act of 2008 by federal regulators to manage the financial crisis in the U.S.;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560" w:hanging="322"/>
        <w:spacing w:after="0" w:line="256"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regulatory reform stemming from the Dodd-Frank Wall Street Reform and Consumer Protection Act and the many regulations mandated by that Act, including regulations issued by, and the supervisory and investigative authority of, the Bureau of Consumer Financial Protection ("CFPB"); and</w:t>
      </w:r>
    </w:p>
    <w:p>
      <w:pPr>
        <w:ind w:left="560" w:hanging="32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w:t>
      </w:r>
    </w:p>
    <w:p>
      <w:pPr>
        <w:spacing w:after="0" w:line="21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making credit evaluations of consumers, or in performing fraud screening or user authentication, our customers are subject to requirements of multiple jurisdictions, which may impose onerous and contradictory requirements. Privacy legislation such as GLBA or the European Union’s Privacy Directive may also affect the nature and extent of the products or services that we can provide to customers, as well as our ability to collect, monitor and disseminate information subject to privacy protection. In addition to existing regulation, changes in legislative, judicial, regulatory or consumer environments could harm our business, financial condition or results of operations. These regulations and amendments to them could affect the demand for or profitability of some of our products, including scoring and consumer products. New regulations pertaining to financial institutions could cause them to pursue new strategies, reducing the demand for our products.</w:t>
      </w:r>
    </w:p>
    <w:p>
      <w:pPr>
        <w:spacing w:after="0" w:line="18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response to market disruptions over the past several years, legislators and financial regulators implemented a number of mechanisms designed to add stability to the financial markets, including the provision of direct and indirect assistance to distressed financial institutions, assistance by the banking authorities in arranging acquisitions of weakened banks and broker-dealers, and implementation of programs by the Federal Reserve to provide liquidity to the commercial paper markets. The overall effects of these and other legislative and regulatory efforts on the financial markets are uncertain, and they may not have the intended stabilization effects. Should these or other legislative or regulatory initiatives fail to stabilize and add liquidity to the financial markets over the long term, our business, financial condition, results of operations and prospects could be materially and adversely affected. Whether or not legislative or regulatory initiatives or other efforts designed to address recent economic conditions successfully stabilize and add liquidity to the financial markets over the long term, we may need to modify our strategies, businesses or operations, and we may incur additional costs in order to compete in a changed business environment.</w:t>
      </w:r>
    </w:p>
    <w:p>
      <w:pPr>
        <w:spacing w:after="0" w:line="19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and insurance industries. If our clients’ industries experience uncertainty, it will likely harm our business, financial condition or results of operations.</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During fiscal 2014, 77% of our revenues were derived from sales of products and services to the banking and insurance industries. Global economic uncertainty experienced in the U.S. and other key international economies in the past produced substantial stress, volatility, illiquidity and disruption of global credit and other financial markets, resulting in the bankruptcy or acquisition of, or government assistance to, several major domestic and international financial institutions. The potential for disruptions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w:t>
      </w:r>
    </w:p>
    <w:p>
      <w:pPr>
        <w:spacing w:after="0" w:line="193"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slowing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7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External Conditions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substantial stress, volatility, illiquidity and disruption of global credit and other financial markets in the past. Any economic uncertainty can negatively affect the businesses and purchasing decisions of companies in the industries we serve. The potential for disruptions presents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7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Whether or not recent or new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 operations outside the U.S., we are subject to unique risks that may harm our business, financial condition or results of operations.</w:t>
      </w:r>
    </w:p>
    <w:p>
      <w:pPr>
        <w:spacing w:after="0" w:line="23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 growing portion of our revenues is derived from international sales. During fiscal 2014, 42%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54" w:lineRule="exact"/>
        <w:rPr>
          <w:sz w:val="20"/>
          <w:szCs w:val="20"/>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tariffs and other trade barriers; and</w:t>
      </w:r>
    </w:p>
    <w:p>
      <w:pPr>
        <w:spacing w:after="0" w:line="9" w:lineRule="exact"/>
        <w:rPr>
          <w:rFonts w:ascii="Arial" w:cs="Arial" w:eastAsia="Arial" w:hAnsi="Arial"/>
          <w:sz w:val="18"/>
          <w:szCs w:val="18"/>
          <w:color w:val="auto"/>
        </w:rPr>
      </w:pPr>
    </w:p>
    <w:p>
      <w:pPr>
        <w:ind w:left="740" w:hanging="50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1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4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8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70" w:lineRule="exact"/>
        <w:rPr>
          <w:sz w:val="20"/>
          <w:szCs w:val="20"/>
          <w:color w:val="auto"/>
        </w:rPr>
      </w:pPr>
    </w:p>
    <w:p>
      <w:pPr>
        <w:ind w:right="360" w:firstLine="243"/>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58"/>
        </w:trPr>
        <w:tc>
          <w:tcPr>
            <w:tcW w:w="5000" w:type="dxa"/>
            <w:vAlign w:val="bottom"/>
            <w:gridSpan w:val="3"/>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per Share</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 (2)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1, 2015 through January 31, 2015</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550,020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540,000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149,287,082</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February 1, 2015 through February 28, 2015</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1,155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149,287,082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 2015 through March 31, 2015</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1,562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85.60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149,287,082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552,737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540,000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149,287,082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hanging="332"/>
        <w:spacing w:after="0" w:line="25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12,737 shares delivered in satisfaction of the tax withholding obligations resulting from the vesting of restricted stock units held by employees during the quarter ended March 31, 2015.</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August 2014, our Board of Directors approved a new stock repurchase program following the completion of our previous program. This program is open-ended and authorizes repurchases of shares of our common stock up to an aggregate cost of $250.0 million in the open market or in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44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4160" w:type="dxa"/>
            <w:vAlign w:val="bottom"/>
          </w:tcPr>
          <w:p>
            <w:pPr>
              <w:spacing w:after="0"/>
              <w:rPr>
                <w:sz w:val="14"/>
                <w:szCs w:val="14"/>
                <w:color w:val="auto"/>
              </w:rPr>
            </w:pPr>
          </w:p>
        </w:tc>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Number</w:t>
            </w:r>
          </w:p>
        </w:tc>
        <w:tc>
          <w:tcPr>
            <w:tcW w:w="4160" w:type="dxa"/>
            <w:vAlign w:val="bottom"/>
          </w:tcPr>
          <w:p>
            <w:pPr>
              <w:spacing w:after="0"/>
              <w:rPr>
                <w:sz w:val="13"/>
                <w:szCs w:val="13"/>
                <w:color w:val="auto"/>
              </w:rPr>
            </w:pPr>
          </w:p>
        </w:tc>
        <w:tc>
          <w:tcPr>
            <w:tcW w:w="4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1"/>
                <w:szCs w:val="21"/>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w w:val="91"/>
              </w:rPr>
              <w:t>Composite Restated Certificate of Incorporation of Fair Isaac Corporation (incorporated by reference to Exhibit 3.2 to the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Company’s Form 10-Q filed on February 8, 2010).</w:t>
            </w:r>
          </w:p>
        </w:tc>
        <w:tc>
          <w:tcPr>
            <w:tcW w:w="0" w:type="dxa"/>
            <w:vAlign w:val="bottom"/>
          </w:tcPr>
          <w:p>
            <w:pPr>
              <w:spacing w:after="0"/>
              <w:rPr>
                <w:sz w:val="1"/>
                <w:szCs w:val="1"/>
                <w:color w:val="auto"/>
              </w:rPr>
            </w:pPr>
          </w:p>
        </w:tc>
      </w:tr>
      <w:tr>
        <w:trPr>
          <w:trHeight w:val="377"/>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w w:val="92"/>
              </w:rPr>
              <w:t>By-laws of Fair Isaac Corporation (incorporated by reference to Exhibit 3.1 to the Company’s 10-Q filed on February 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2010).</w:t>
            </w:r>
          </w:p>
        </w:tc>
        <w:tc>
          <w:tcPr>
            <w:tcW w:w="7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7"/>
              </w:rPr>
              <w:t>31.1 *</w:t>
            </w:r>
          </w:p>
        </w:tc>
        <w:tc>
          <w:tcPr>
            <w:tcW w:w="180" w:type="dxa"/>
            <w:vAlign w:val="bottom"/>
          </w:tcPr>
          <w:p>
            <w:pPr>
              <w:spacing w:after="0"/>
              <w:rPr>
                <w:sz w:val="24"/>
                <w:szCs w:val="24"/>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Rule 13a-14(a)/15d-14(a) Certifications of CEO.</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7"/>
              </w:rPr>
              <w:t>31.2 *</w:t>
            </w:r>
          </w:p>
        </w:tc>
        <w:tc>
          <w:tcPr>
            <w:tcW w:w="180" w:type="dxa"/>
            <w:vAlign w:val="bottom"/>
          </w:tcPr>
          <w:p>
            <w:pPr>
              <w:spacing w:after="0"/>
              <w:rPr>
                <w:sz w:val="24"/>
                <w:szCs w:val="24"/>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Rule 13a-14(a)/15d-14(a) Certifications of CFO.</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7"/>
              </w:rPr>
              <w:t>32.1 *</w:t>
            </w:r>
          </w:p>
        </w:tc>
        <w:tc>
          <w:tcPr>
            <w:tcW w:w="180" w:type="dxa"/>
            <w:vAlign w:val="bottom"/>
          </w:tcPr>
          <w:p>
            <w:pPr>
              <w:spacing w:after="0"/>
              <w:rPr>
                <w:sz w:val="24"/>
                <w:szCs w:val="24"/>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of CEO.</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7"/>
              </w:rPr>
              <w:t>32.2 *</w:t>
            </w:r>
          </w:p>
        </w:tc>
        <w:tc>
          <w:tcPr>
            <w:tcW w:w="180" w:type="dxa"/>
            <w:vAlign w:val="bottom"/>
          </w:tcPr>
          <w:p>
            <w:pPr>
              <w:spacing w:after="0"/>
              <w:rPr>
                <w:sz w:val="24"/>
                <w:szCs w:val="24"/>
                <w:color w:val="auto"/>
              </w:rPr>
            </w:pP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of CFO.</w:t>
            </w:r>
          </w:p>
        </w:tc>
        <w:tc>
          <w:tcPr>
            <w:tcW w:w="0" w:type="dxa"/>
            <w:vAlign w:val="bottom"/>
          </w:tcPr>
          <w:p>
            <w:pPr>
              <w:spacing w:after="0"/>
              <w:rPr>
                <w:sz w:val="1"/>
                <w:szCs w:val="1"/>
                <w:color w:val="auto"/>
              </w:rPr>
            </w:pPr>
          </w:p>
        </w:tc>
      </w:tr>
      <w:tr>
        <w:trPr>
          <w:trHeight w:val="392"/>
        </w:trPr>
        <w:tc>
          <w:tcPr>
            <w:tcW w:w="7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101.INS</w:t>
            </w: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7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101.SCH</w:t>
            </w: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7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101.CAL</w:t>
            </w: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7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101.DEF</w:t>
            </w: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7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101.LAB</w:t>
            </w: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7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101.PRE</w:t>
            </w:r>
          </w:p>
        </w:tc>
        <w:tc>
          <w:tcPr>
            <w:tcW w:w="88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25"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FAIR ISAAC CORPORATION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180"/>
              <w:spacing w:after="0"/>
              <w:rPr>
                <w:sz w:val="20"/>
                <w:szCs w:val="20"/>
                <w:color w:val="auto"/>
              </w:rPr>
            </w:pPr>
            <w:r>
              <w:rPr>
                <w:rFonts w:ascii="Arial" w:cs="Arial" w:eastAsia="Arial" w:hAnsi="Arial"/>
                <w:sz w:val="18"/>
                <w:szCs w:val="18"/>
                <w:color w:val="auto"/>
              </w:rPr>
              <w:t>April 27, 2015</w:t>
            </w:r>
          </w:p>
        </w:tc>
        <w:tc>
          <w:tcPr>
            <w:tcW w:w="5220" w:type="dxa"/>
            <w:vAlign w:val="bottom"/>
          </w:tcPr>
          <w:p>
            <w:pPr>
              <w:spacing w:after="0"/>
              <w:rPr>
                <w:sz w:val="20"/>
                <w:szCs w:val="20"/>
                <w:color w:val="auto"/>
              </w:rPr>
            </w:pPr>
          </w:p>
        </w:tc>
      </w:tr>
      <w:tr>
        <w:trPr>
          <w:trHeight w:val="594"/>
        </w:trPr>
        <w:tc>
          <w:tcPr>
            <w:tcW w:w="660" w:type="dxa"/>
            <w:vAlign w:val="bottom"/>
          </w:tcPr>
          <w:p>
            <w:pPr>
              <w:spacing w:after="0"/>
              <w:rPr>
                <w:sz w:val="24"/>
                <w:szCs w:val="24"/>
                <w:color w:val="auto"/>
              </w:rPr>
            </w:pPr>
          </w:p>
        </w:tc>
        <w:tc>
          <w:tcPr>
            <w:tcW w:w="4540" w:type="dxa"/>
            <w:vAlign w:val="bottom"/>
          </w:tcPr>
          <w:p>
            <w:pPr>
              <w:ind w:left="4160"/>
              <w:spacing w:after="0"/>
              <w:rPr>
                <w:sz w:val="20"/>
                <w:szCs w:val="20"/>
                <w:color w:val="auto"/>
              </w:rPr>
            </w:pPr>
            <w:r>
              <w:rPr>
                <w:rFonts w:ascii="Arial" w:cs="Arial" w:eastAsia="Arial" w:hAnsi="Arial"/>
                <w:sz w:val="18"/>
                <w:szCs w:val="18"/>
                <w:color w:val="auto"/>
              </w:rPr>
              <w:t>By</w:t>
            </w: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/s/ MICHAEL J. PUNG</w:t>
            </w:r>
          </w:p>
        </w:tc>
      </w:tr>
      <w:tr>
        <w:trPr>
          <w:trHeight w:val="27"/>
        </w:trPr>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Michael J. Pung</w:t>
            </w:r>
          </w:p>
        </w:tc>
      </w:tr>
      <w:tr>
        <w:trPr>
          <w:trHeight w:val="270"/>
        </w:trPr>
        <w:tc>
          <w:tcPr>
            <w:tcW w:w="66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70"/>
        </w:trPr>
        <w:tc>
          <w:tcPr>
            <w:tcW w:w="66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70"/>
        </w:trPr>
        <w:tc>
          <w:tcPr>
            <w:tcW w:w="66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6"/>
              </w:rPr>
              <w:t>as Principal Financial Officer)</w:t>
            </w:r>
          </w:p>
        </w:tc>
      </w:tr>
      <w:tr>
        <w:trPr>
          <w:trHeight w:val="59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180"/>
              <w:spacing w:after="0"/>
              <w:rPr>
                <w:sz w:val="20"/>
                <w:szCs w:val="20"/>
                <w:color w:val="auto"/>
              </w:rPr>
            </w:pPr>
            <w:r>
              <w:rPr>
                <w:rFonts w:ascii="Arial" w:cs="Arial" w:eastAsia="Arial" w:hAnsi="Arial"/>
                <w:sz w:val="18"/>
                <w:szCs w:val="18"/>
                <w:color w:val="auto"/>
              </w:rPr>
              <w:t>April 27, 2015</w:t>
            </w:r>
          </w:p>
        </w:tc>
        <w:tc>
          <w:tcPr>
            <w:tcW w:w="5220" w:type="dxa"/>
            <w:vAlign w:val="bottom"/>
          </w:tcPr>
          <w:p>
            <w:pPr>
              <w:spacing w:after="0"/>
              <w:rPr>
                <w:sz w:val="24"/>
                <w:szCs w:val="24"/>
                <w:color w:val="auto"/>
              </w:rPr>
            </w:pPr>
          </w:p>
        </w:tc>
      </w:tr>
      <w:tr>
        <w:trPr>
          <w:trHeight w:val="594"/>
        </w:trPr>
        <w:tc>
          <w:tcPr>
            <w:tcW w:w="660" w:type="dxa"/>
            <w:vAlign w:val="bottom"/>
          </w:tcPr>
          <w:p>
            <w:pPr>
              <w:spacing w:after="0"/>
              <w:rPr>
                <w:sz w:val="24"/>
                <w:szCs w:val="24"/>
                <w:color w:val="auto"/>
              </w:rPr>
            </w:pPr>
          </w:p>
        </w:tc>
        <w:tc>
          <w:tcPr>
            <w:tcW w:w="4540" w:type="dxa"/>
            <w:vAlign w:val="bottom"/>
          </w:tcPr>
          <w:p>
            <w:pPr>
              <w:ind w:left="4160"/>
              <w:spacing w:after="0"/>
              <w:rPr>
                <w:sz w:val="20"/>
                <w:szCs w:val="20"/>
                <w:color w:val="auto"/>
              </w:rPr>
            </w:pPr>
            <w:r>
              <w:rPr>
                <w:rFonts w:ascii="Arial" w:cs="Arial" w:eastAsia="Arial" w:hAnsi="Arial"/>
                <w:sz w:val="18"/>
                <w:szCs w:val="18"/>
                <w:color w:val="auto"/>
              </w:rPr>
              <w:t>By</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7"/>
        </w:trPr>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256"/>
        </w:trPr>
        <w:tc>
          <w:tcPr>
            <w:tcW w:w="66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918"/>
        </w:trPr>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220" w:type="dxa"/>
            <w:vAlign w:val="bottom"/>
          </w:tcPr>
          <w:p>
            <w:pPr>
              <w:jc w:val="right"/>
              <w:ind w:right="457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To Fair Isaac Corporation Report On Form 10-Q</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3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tcPr>
          <w:p>
            <w:pPr>
              <w:spacing w:after="0"/>
              <w:rPr>
                <w:sz w:val="14"/>
                <w:szCs w:val="14"/>
                <w:color w:val="auto"/>
              </w:rPr>
            </w:pPr>
          </w:p>
        </w:tc>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Number</w:t>
            </w:r>
          </w:p>
        </w:tc>
        <w:tc>
          <w:tcPr>
            <w:tcW w:w="364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2"/>
                <w:szCs w:val="22"/>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Composite Restated Certificate of Incorporation of Fair Isaac Corporation.</w:t>
            </w:r>
          </w:p>
        </w:tc>
        <w:tc>
          <w:tcPr>
            <w:tcW w:w="3160" w:type="dxa"/>
            <w:vAlign w:val="bottom"/>
          </w:tcPr>
          <w:p>
            <w:pPr>
              <w:ind w:left="1240"/>
              <w:spacing w:after="0"/>
              <w:rPr>
                <w:sz w:val="20"/>
                <w:szCs w:val="20"/>
                <w:color w:val="auto"/>
              </w:rPr>
            </w:pPr>
            <w:r>
              <w:rPr>
                <w:rFonts w:ascii="Arial" w:cs="Arial" w:eastAsia="Arial" w:hAnsi="Arial"/>
                <w:sz w:val="18"/>
                <w:szCs w:val="18"/>
                <w:color w:val="auto"/>
                <w:w w:val="89"/>
              </w:rPr>
              <w:t>Incorporated by Reference</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By-laws of Fair Isaac Corporation.</w:t>
            </w:r>
          </w:p>
        </w:tc>
        <w:tc>
          <w:tcPr>
            <w:tcW w:w="3160" w:type="dxa"/>
            <w:vAlign w:val="bottom"/>
          </w:tcPr>
          <w:p>
            <w:pPr>
              <w:ind w:left="1240"/>
              <w:spacing w:after="0"/>
              <w:rPr>
                <w:sz w:val="20"/>
                <w:szCs w:val="20"/>
                <w:color w:val="auto"/>
              </w:rPr>
            </w:pPr>
            <w:r>
              <w:rPr>
                <w:rFonts w:ascii="Arial" w:cs="Arial" w:eastAsia="Arial" w:hAnsi="Arial"/>
                <w:sz w:val="18"/>
                <w:szCs w:val="18"/>
                <w:color w:val="auto"/>
                <w:w w:val="89"/>
              </w:rPr>
              <w:t>Incorporated by Reference</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200" w:type="dxa"/>
            <w:vAlign w:val="bottom"/>
          </w:tcPr>
          <w:p>
            <w:pPr>
              <w:spacing w:after="0"/>
              <w:rPr>
                <w:sz w:val="24"/>
                <w:szCs w:val="24"/>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Rule 13a-14(a)/15d-14(a) Certifications of CEO.</w:t>
            </w:r>
          </w:p>
        </w:tc>
        <w:tc>
          <w:tcPr>
            <w:tcW w:w="3160" w:type="dxa"/>
            <w:vAlign w:val="bottom"/>
          </w:tcPr>
          <w:p>
            <w:pPr>
              <w:ind w:left="124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200" w:type="dxa"/>
            <w:vAlign w:val="bottom"/>
          </w:tcPr>
          <w:p>
            <w:pPr>
              <w:spacing w:after="0"/>
              <w:rPr>
                <w:sz w:val="24"/>
                <w:szCs w:val="24"/>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Rule 13a-14(a)/15d-14(a) Certifications of CFO.</w:t>
            </w:r>
          </w:p>
        </w:tc>
        <w:tc>
          <w:tcPr>
            <w:tcW w:w="3160" w:type="dxa"/>
            <w:vAlign w:val="bottom"/>
          </w:tcPr>
          <w:p>
            <w:pPr>
              <w:ind w:left="124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200" w:type="dxa"/>
            <w:vAlign w:val="bottom"/>
          </w:tcPr>
          <w:p>
            <w:pPr>
              <w:spacing w:after="0"/>
              <w:rPr>
                <w:sz w:val="24"/>
                <w:szCs w:val="24"/>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of CEO.</w:t>
            </w:r>
          </w:p>
        </w:tc>
        <w:tc>
          <w:tcPr>
            <w:tcW w:w="3160" w:type="dxa"/>
            <w:vAlign w:val="bottom"/>
          </w:tcPr>
          <w:p>
            <w:pPr>
              <w:ind w:left="124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200" w:type="dxa"/>
            <w:vAlign w:val="bottom"/>
          </w:tcPr>
          <w:p>
            <w:pPr>
              <w:spacing w:after="0"/>
              <w:rPr>
                <w:sz w:val="24"/>
                <w:szCs w:val="24"/>
                <w:color w:val="auto"/>
              </w:rPr>
            </w:pP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of CFO.</w:t>
            </w:r>
          </w:p>
        </w:tc>
        <w:tc>
          <w:tcPr>
            <w:tcW w:w="3160" w:type="dxa"/>
            <w:vAlign w:val="bottom"/>
          </w:tcPr>
          <w:p>
            <w:pPr>
              <w:ind w:left="124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392"/>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101.INS</w:t>
            </w: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101.SCH</w:t>
            </w: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101.CAL</w:t>
            </w: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101.DEF</w:t>
            </w: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101.LAB</w:t>
            </w: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101.PRE</w:t>
            </w:r>
          </w:p>
        </w:tc>
        <w:tc>
          <w:tcPr>
            <w:tcW w:w="6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20" w:type="dxa"/>
            <w:vAlign w:val="bottom"/>
            <w:gridSpan w:val="3"/>
          </w:tcPr>
          <w:p>
            <w:pPr>
              <w:ind w:left="4640"/>
              <w:spacing w:after="0"/>
              <w:rPr>
                <w:sz w:val="20"/>
                <w:szCs w:val="20"/>
                <w:color w:val="auto"/>
              </w:rPr>
            </w:pPr>
            <w:r>
              <w:rPr>
                <w:rFonts w:ascii="Arial" w:cs="Arial" w:eastAsia="Arial" w:hAnsi="Arial"/>
                <w:sz w:val="18"/>
                <w:szCs w:val="18"/>
                <w:color w:val="auto"/>
              </w:rPr>
              <w:t>49</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125" w:right="7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2015</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10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Michael J. Pung, certify that:</w:t>
      </w:r>
    </w:p>
    <w:p>
      <w:pPr>
        <w:spacing w:after="0" w:line="21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2015</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4" w:lineRule="exact"/>
        <w:rPr>
          <w:sz w:val="20"/>
          <w:szCs w:val="20"/>
          <w:color w:val="auto"/>
        </w:rPr>
      </w:pPr>
    </w:p>
    <w:p>
      <w:pPr>
        <w:ind w:left="40"/>
        <w:spacing w:after="0"/>
        <w:tabs>
          <w:tab w:leader="none" w:pos="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2015</w:t>
      </w:r>
      <w:r>
        <w:rPr>
          <w:sz w:val="20"/>
          <w:szCs w:val="20"/>
          <w:color w:val="auto"/>
        </w:rPr>
        <w:tab/>
      </w: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4" w:lineRule="exact"/>
        <w:rPr>
          <w:sz w:val="20"/>
          <w:szCs w:val="20"/>
          <w:color w:val="auto"/>
        </w:rPr>
      </w:pPr>
    </w:p>
    <w:p>
      <w:pPr>
        <w:ind w:left="40"/>
        <w:spacing w:after="0"/>
        <w:tabs>
          <w:tab w:leader="none" w:pos="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2015</w:t>
      </w:r>
      <w:r>
        <w:rPr>
          <w:sz w:val="20"/>
          <w:szCs w:val="20"/>
          <w:color w:val="auto"/>
        </w:rPr>
        <w:tab/>
      </w:r>
      <w:r>
        <w:rPr>
          <w:rFonts w:ascii="Arial" w:cs="Arial" w:eastAsia="Arial" w:hAnsi="Arial"/>
          <w:sz w:val="17"/>
          <w:szCs w:val="17"/>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Letter"/>
      <w:start w:val="2"/>
    </w:lvl>
  </w:abstractNum>
  <w:abstractNum w:abstractNumId="11">
    <w:nsid w:val="62BBD95A"/>
    <w:multiLevelType w:val="hybridMultilevel"/>
    <w:lvl w:ilvl="0">
      <w:lvlJc w:val="left"/>
      <w:lvlText w:val="(%1)"/>
      <w:numFmt w:val="lowerRoman"/>
      <w:start w:val="3"/>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
      <w:numFmt w:val="bullet"/>
      <w:start w:val="1"/>
    </w:lvl>
    <w:lvl w:ilvl="1">
      <w:lvlJc w:val="left"/>
      <w:lvlText w:val="•"/>
      <w:numFmt w:val="bullet"/>
      <w:start w:val="1"/>
    </w:lvl>
  </w:abstractNum>
  <w:abstractNum w:abstractNumId="20">
    <w:nsid w:val="8EDBDAB"/>
    <w:multiLevelType w:val="hybridMultilevel"/>
    <w:lvl w:ilvl="0">
      <w:lvlJc w:val="left"/>
      <w:lvlText w:val="•"/>
      <w:numFmt w:val="bullet"/>
      <w:start w:val="1"/>
    </w:lvl>
    <w:lvl w:ilvl="1">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lvl w:ilvl="1">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2019-12-29T17:58:28Z</dcterms:created>
  <dcterms:modified xsi:type="dcterms:W3CDTF">2019-12-29T17:58:28Z</dcterms:modified>
</cp:coreProperties>
</file>