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Fair Isaac Corporation</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 w:after="283"/>
        <w:jc w:val="center"/>
        <w:rPr/>
      </w:pPr>
      <w:r>
        <w:rPr>
          <w:rFonts w:ascii="Times New Roman;serif" w:hAnsi="Times New Roman;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on July 18, 2025 was 24,003,656 (excluding 64,853,127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0">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6">
              <w:r>
                <w:rPr>
                  <w:rStyle w:val="InternetLink"/>
                  <w:rFonts w:ascii="Times New Roman;serif" w:hAnsi="Times New Roman;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3">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76">
              <w:r>
                <w:rPr>
                  <w:rStyle w:val="InternetLink"/>
                  <w:rFonts w:ascii="Times New Roman;serif" w:hAnsi="Times New Roman;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06">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06">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09">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09">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12">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15">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15">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1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18">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21">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21">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24">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24">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27">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27">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30">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30">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36">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36">
              <w:r>
                <w:rPr>
                  <w:rStyle w:val="InternetLink"/>
                  <w:rFonts w:ascii="Times New Roman;serif" w:hAnsi="Times New Roman;serif"/>
                  <w:b w:val="false"/>
                  <w:color w:val="0000FF"/>
                  <w:sz w:val="20"/>
                  <w:u w:val="single"/>
                </w:rPr>
                <w:t>35</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0ff53ac890e4caa87b62d5511e520d1_139">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ff53ac890e4caa87b62d5511e520d1_139">
              <w:r>
                <w:rPr>
                  <w:rStyle w:val="InternetLink"/>
                  <w:rFonts w:ascii="Times New Roman;serif" w:hAnsi="Times New Roman;serif"/>
                  <w:b w:val="false"/>
                  <w:color w:val="0000FF"/>
                  <w:sz w:val="20"/>
                  <w:u w:val="single"/>
                </w:rPr>
                <w:t>36</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2"/>
        <w:gridCol w:w="2228"/>
        <w:gridCol w:w="2182"/>
        <w:gridCol w:w="211"/>
        <w:gridCol w:w="976"/>
        <w:gridCol w:w="109"/>
        <w:gridCol w:w="109"/>
        <w:gridCol w:w="109"/>
        <w:gridCol w:w="109"/>
        <w:gridCol w:w="227"/>
        <w:gridCol w:w="1054"/>
        <w:gridCol w:w="169"/>
      </w:tblGrid>
      <w:tr>
        <w:trPr/>
        <w:tc>
          <w:tcPr>
            <w:tcW w:w="27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7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data)</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617,413</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1,717,884 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2,680,563 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200,000 shares authorized, 88,857 shares issued and 24,096 and 24,392 shares outstanding at June 30, 2025 and September 30,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(64,761 and 64,465 shares at June 30, 2025 and September 30,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(6,138,736)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3,900,870 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(962,679)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1,717,884 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116"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88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1,251,784 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(6,490,817)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(101,276)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1,292,112 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(6,999,328)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1,281,577 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1,320,717 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(5,813,751)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(829,306)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1,366,572 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(962,679)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1,292,112 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(6,999,328)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(139,453)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1,320,717 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(5,813,751)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(101,697)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(829,306)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2"/>
        <w:gridCol w:w="2357"/>
        <w:gridCol w:w="2373"/>
        <w:gridCol w:w="212"/>
        <w:gridCol w:w="832"/>
        <w:gridCol w:w="109"/>
        <w:gridCol w:w="109"/>
        <w:gridCol w:w="109"/>
        <w:gridCol w:w="109"/>
        <w:gridCol w:w="211"/>
        <w:gridCol w:w="826"/>
        <w:gridCol w:w="156"/>
      </w:tblGrid>
      <w:tr>
        <w:trPr/>
        <w:tc>
          <w:tcPr>
            <w:tcW w:w="280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7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marketable securities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sales and abandonment of property and equipment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term loans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and term loans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 issuance costs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 under employee stock plans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(498,171)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of $3,442 and $836 during the nine-month periods ended June 30, 2025 and 2024, respectively</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included in 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repurchases of common stock</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incurred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Fair Isaac Corporation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 the standard measure in the United States (“U.S.”) of consumer credit risk — empowering them to increase financial literacy and manage their financial health.</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2024.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12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November 2023, the Financial Accounting Standards Board (“FASB”) issued Accounting Standards Update (“ASU”) No. 2023-07, “</w:t>
      </w:r>
      <w:r>
        <w:rPr>
          <w:rFonts w:ascii="Times New Roman;serif" w:hAnsi="Times New Roman;serif"/>
          <w:b w:val="false"/>
          <w:i/>
          <w:color w:val="000000"/>
          <w:sz w:val="20"/>
        </w:rPr>
        <w:t>Segment Reporting (Topic 280): Improvements to Reportable Segment Disclosures</w:t>
      </w:r>
      <w:r>
        <w:rPr>
          <w:color w:val="000000"/>
        </w:rPr>
        <w:t>” </w:t>
      </w:r>
      <w:r>
        <w:rPr>
          <w:rFonts w:ascii="Times New Roman;serif" w:hAnsi="Times New Roman;serif"/>
          <w:b w:val="false"/>
          <w:color w:val="000000"/>
          <w:sz w:val="20"/>
        </w:rPr>
        <w:t>(“ASU 2023-07”). ASU 2023-07 expands annual and interim disclosure requirements for reportable segments, primarily through enhanced disclosures about significant segment expenses. The standard is effective for fiscal years beginning after December 15, 2023, and interim periods within fiscal years beginning after December 15, 2024, which means that it will be effective for our annual periods beginning October 1, 2024, and our interim periods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In December 2023, the FASB issued ASU No. 2023-09, “</w:t>
      </w:r>
      <w:r>
        <w:rPr>
          <w:rFonts w:ascii="Times New Roman;serif" w:hAnsi="Times New Roman;serif"/>
          <w:b w:val="false"/>
          <w:i/>
          <w:color w:val="000000"/>
          <w:sz w:val="20"/>
        </w:rPr>
        <w:t>Income Taxes (Topic 740): Improvements to Income Tax Disclosures</w:t>
      </w:r>
      <w:r>
        <w:rPr>
          <w:color w:val="000000"/>
        </w:rPr>
        <w:t>” </w:t>
      </w:r>
      <w:r>
        <w:rPr>
          <w:rFonts w:ascii="Times New Roman;serif" w:hAnsi="Times New Roman;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ASU 2024-03 requires disaggregated disclosure of 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October 1, 2027, and our interim periods beginning October 1, 2028. Early adoption is permitted. We are currently evaluating the impact that the updated standard will have on our disclosures within our consolidated financial statements.</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2.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June 30, 2025 and September 30, 2024.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June 30, 2025 and September 30, 2024.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June 30, 2025 and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financial assets that we measured at fair value on a recurring basis at June 30, 2025 and September 30, 2024:</w:t>
      </w:r>
    </w:p>
    <w:tbl>
      <w:tblPr>
        <w:tblW w:w="6837" w:type="dxa"/>
        <w:jc w:val="left"/>
        <w:tblInd w:w="0" w:type="dxa"/>
        <w:tblLayout w:type="fixed"/>
        <w:tblCellMar>
          <w:top w:w="28" w:type="dxa"/>
          <w:left w:w="28" w:type="dxa"/>
          <w:bottom w:w="28" w:type="dxa"/>
          <w:right w:w="28" w:type="dxa"/>
        </w:tblCellMar>
      </w:tblPr>
      <w:tblGrid>
        <w:gridCol w:w="746"/>
        <w:gridCol w:w="657"/>
        <w:gridCol w:w="666"/>
        <w:gridCol w:w="331"/>
        <w:gridCol w:w="1133"/>
        <w:gridCol w:w="172"/>
        <w:gridCol w:w="109"/>
        <w:gridCol w:w="109"/>
        <w:gridCol w:w="109"/>
        <w:gridCol w:w="543"/>
        <w:gridCol w:w="1863"/>
        <w:gridCol w:w="399"/>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as of </w:t>
              <w:br/>
              <w:t>June 30, 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83,084 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2024</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September 30, 2024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53,188 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53,188 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cash and cash equivalents on our condensed consolidated balance sheets at June 30, 2025 and September 30, 2024. Not included in these tables are cash deposits of $156.7 million and $142.8 million at June 30, 2025 and September 30, 2024,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June 30, 2025 and September 30,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of the fair value hierarchy during the quarters and nine-month periods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Foreign-currency-denominated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outstanding foreign currency forward contracts, by currency, at June 30, 2025 and September 30, 2024:</w:t>
      </w:r>
    </w:p>
    <w:tbl>
      <w:tblPr>
        <w:tblW w:w="5929"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08"/>
        <w:gridCol w:w="308"/>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June 30, 2025 and September 30, 2024; therefore, their fair value was $0 on each of these dates.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Gains on derivative financial instruments were recorded in our condensed consolidated statements of income and comprehensive income as a component of other income, net, and consisted of the following: </w:t>
      </w:r>
    </w:p>
    <w:tbl>
      <w:tblPr>
        <w:tblW w:w="8058" w:type="dxa"/>
        <w:jc w:val="left"/>
        <w:tblInd w:w="0" w:type="dxa"/>
        <w:tblLayout w:type="fixed"/>
        <w:tblCellMar>
          <w:top w:w="28" w:type="dxa"/>
          <w:left w:w="28" w:type="dxa"/>
          <w:bottom w:w="28" w:type="dxa"/>
          <w:right w:w="28" w:type="dxa"/>
        </w:tblCellMar>
      </w:tblPr>
      <w:tblGrid>
        <w:gridCol w:w="1325"/>
        <w:gridCol w:w="1163"/>
        <w:gridCol w:w="1171"/>
        <w:gridCol w:w="218"/>
        <w:gridCol w:w="483"/>
        <w:gridCol w:w="113"/>
        <w:gridCol w:w="113"/>
        <w:gridCol w:w="113"/>
        <w:gridCol w:w="113"/>
        <w:gridCol w:w="218"/>
        <w:gridCol w:w="374"/>
        <w:gridCol w:w="113"/>
        <w:gridCol w:w="109"/>
        <w:gridCol w:w="109"/>
        <w:gridCol w:w="109"/>
        <w:gridCol w:w="254"/>
        <w:gridCol w:w="435"/>
        <w:gridCol w:w="131"/>
        <w:gridCol w:w="131"/>
        <w:gridCol w:w="131"/>
        <w:gridCol w:w="131"/>
        <w:gridCol w:w="254"/>
        <w:gridCol w:w="562"/>
        <w:gridCol w:w="185"/>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erif" w:hAnsi="Times New Roman;serif"/>
                <w:b w:val="false"/>
                <w:color w:val="000000"/>
                <w:sz w:val="20"/>
              </w:rPr>
            </w:pPr>
            <w:r>
              <w:rPr>
                <w:rFonts w:ascii="Times New Roman;serif" w:hAnsi="Times New Roman;serif"/>
                <w:b w:val="false"/>
                <w:color w:val="000000"/>
                <w:sz w:val="20"/>
              </w:rPr>
              <w:t>Gains on foreign currency forward contracts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4. 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goodwill during the nine months ended June 30, 2025, both in total and as allocated to our segments. As of June 30, 2025, there was no accumulated goodwill impairment loss.</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5. Composition of Certain Financial Statement Captions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property and equipment, net at June 30, 2025 and September 30, 2024:</w:t>
      </w:r>
    </w:p>
    <w:tbl>
      <w:tblPr>
        <w:tblW w:w="7083" w:type="dxa"/>
        <w:jc w:val="left"/>
        <w:tblInd w:w="0" w:type="dxa"/>
        <w:tblLayout w:type="fixed"/>
        <w:tblCellMar>
          <w:top w:w="28" w:type="dxa"/>
          <w:left w:w="28" w:type="dxa"/>
          <w:bottom w:w="28" w:type="dxa"/>
          <w:right w:w="28" w:type="dxa"/>
        </w:tblCellMar>
      </w:tblPr>
      <w:tblGrid>
        <w:gridCol w:w="1642"/>
        <w:gridCol w:w="1440"/>
        <w:gridCol w:w="1448"/>
        <w:gridCol w:w="211"/>
        <w:gridCol w:w="721"/>
        <w:gridCol w:w="109"/>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Internal-use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other accrued liabilities at June 30, 2025 and September 30, 2024:</w:t>
      </w:r>
    </w:p>
    <w:tbl>
      <w:tblPr>
        <w:tblW w:w="4788" w:type="dxa"/>
        <w:jc w:val="left"/>
        <w:tblInd w:w="0" w:type="dxa"/>
        <w:tblLayout w:type="fixed"/>
        <w:tblCellMar>
          <w:top w:w="28" w:type="dxa"/>
          <w:left w:w="28" w:type="dxa"/>
          <w:bottom w:w="28" w:type="dxa"/>
          <w:right w:w="28" w:type="dxa"/>
        </w:tblCellMar>
      </w:tblPr>
      <w:tblGrid>
        <w:gridCol w:w="810"/>
        <w:gridCol w:w="710"/>
        <w:gridCol w:w="715"/>
        <w:gridCol w:w="211"/>
        <w:gridCol w:w="721"/>
        <w:gridCol w:w="109"/>
        <w:gridCol w:w="109"/>
        <w:gridCol w:w="109"/>
        <w:gridCol w:w="109"/>
        <w:gridCol w:w="230"/>
        <w:gridCol w:w="787"/>
        <w:gridCol w:w="168"/>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our debt at carrying value at June 30, 2025 and September 30, 2024:</w:t>
      </w:r>
    </w:p>
    <w:tbl>
      <w:tblPr>
        <w:tblW w:w="7434" w:type="dxa"/>
        <w:jc w:val="left"/>
        <w:tblInd w:w="0" w:type="dxa"/>
        <w:tblLayout w:type="fixed"/>
        <w:tblCellMar>
          <w:top w:w="28" w:type="dxa"/>
          <w:left w:w="28" w:type="dxa"/>
          <w:bottom w:w="28" w:type="dxa"/>
          <w:right w:w="28" w:type="dxa"/>
        </w:tblCellMar>
      </w:tblPr>
      <w:tblGrid>
        <w:gridCol w:w="1619"/>
        <w:gridCol w:w="1421"/>
        <w:gridCol w:w="1430"/>
        <w:gridCol w:w="211"/>
        <w:gridCol w:w="976"/>
        <w:gridCol w:w="109"/>
        <w:gridCol w:w="109"/>
        <w:gridCol w:w="109"/>
        <w:gridCol w:w="109"/>
        <w:gridCol w:w="211"/>
        <w:gridCol w:w="97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The $300 Million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on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line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The $300 Million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The $450 Million 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2019 Senior Notes and the 2021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The 2025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Revolving Line of Credit and Term Loans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amended our credit agreement with a syndicate of banks, increasing our borrowing capacity under the unsecured revolving line of credit from $600 million to $1.0 billion and extending its maturity to May 13, 2030. Also on May 13, 2025, we repaid in full and terminated the $300 million unsecured term loan (the “$300 Million Term Loan”) and the $450 million unsecured term loan (the “$450 Million Term Loan”) outstanding under our credit agreement, utilizing proceeds from the issuance of the 2025 Senior Notes (as defined below).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there were no borrowings outstanding under the revolving line of credit and we were in compliance with all financial covenants under the credit agreement.</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2025, we issued $1.5 billion of senior notes in a private offering to qualified institutional investors (the “2025 Senior Notes,” and collectively with the 2018 Senior Notes, the 2019 Senior Notes and the 2021 Senior Notes, the “Senior Notes”). The 2025 Senior Notes require interest payments semi-annually at a rate of 6.00% per annum and will mature on May 15, 2033. We used the net proceeds of the 2025 Senior Notes to repay all the outstanding aggregate principal and interest amounts of the $300 Million Term Loan and the $450 Million Term Loan, and the outstanding balance and interest on our revolving line of credit, as well as for general corporate purposes.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indentures for the Senior Notes contain certain covenants typical of unsecured obligations and we were in compliance as of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face values and fair values for the Senior Notes at June 30, 2025 and September 30, 2024:</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7. Revenue from Contracts with Customers</w:t>
      </w:r>
    </w:p>
    <w:p>
      <w:pPr>
        <w:pStyle w:val="TextBody"/>
        <w:bidi w:val="0"/>
        <w:spacing w:lineRule="auto" w:line="288" w:before="120" w:after="283"/>
        <w:ind w:left="0" w:right="0" w:firstLine="255"/>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827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deployment method:</w:t>
      </w:r>
    </w:p>
    <w:tbl>
      <w:tblPr>
        <w:tblW w:w="10992" w:type="dxa"/>
        <w:jc w:val="left"/>
        <w:tblInd w:w="0" w:type="dxa"/>
        <w:tblLayout w:type="fixed"/>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product features:</w:t>
      </w:r>
    </w:p>
    <w:tbl>
      <w:tblPr>
        <w:tblW w:w="11082" w:type="dxa"/>
        <w:jc w:val="left"/>
        <w:tblInd w:w="0" w:type="dxa"/>
        <w:tblLayout w:type="fixed"/>
        <w:tblCellMar>
          <w:top w:w="28" w:type="dxa"/>
          <w:left w:w="28" w:type="dxa"/>
          <w:bottom w:w="28" w:type="dxa"/>
          <w:right w:w="28" w:type="dxa"/>
        </w:tblCellMar>
      </w:tblPr>
      <w:tblGrid>
        <w:gridCol w:w="555"/>
        <w:gridCol w:w="402"/>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5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on-premises and SaaS software within our Software segment by timing of revenue recognition:</w:t>
      </w:r>
    </w:p>
    <w:tbl>
      <w:tblPr>
        <w:tblW w:w="10887" w:type="dxa"/>
        <w:jc w:val="left"/>
        <w:tblInd w:w="0" w:type="dxa"/>
        <w:tblLayout w:type="fixed"/>
        <w:tblCellMar>
          <w:top w:w="28" w:type="dxa"/>
          <w:left w:w="28" w:type="dxa"/>
          <w:bottom w:w="28" w:type="dxa"/>
          <w:right w:w="28" w:type="dxa"/>
        </w:tblCellMar>
      </w:tblPr>
      <w:tblGrid>
        <w:gridCol w:w="370"/>
        <w:gridCol w:w="325"/>
        <w:gridCol w:w="326"/>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recognized at a point in time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Software recognized over contract term</w:t>
            </w:r>
            <w:r>
              <w:rPr>
                <w:color w:val="000000"/>
              </w:rPr>
              <w:t xml:space="preserve">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license portion of our on-premises subscription software and perpetual licenses,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11772" w:type="dxa"/>
        <w:jc w:val="left"/>
        <w:tblInd w:w="0" w:type="dxa"/>
        <w:tblLayout w:type="fixed"/>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54% and 47% of our total revenues in the quarters ended June 30, 2025 and 2024, respectively, with all three consumer reporting agencies each contributing more than 10% of our total revenues in each of the quarters ended June 30, 2025 and 2024. Revenues collectively generated by agreements with these customers accounted for 51% and 44% of our total revenues in the nine months ended June 30, 2025 and 2024, respectively, with all three consumer reporting agencies each contributing more than 10% of our total revenues in each of the nine months ended June 30, 2025 and 2024. At June 30, 2025 and September 30, 2024, two individual customers and one individual customer accounted for 10% or more of total consolidated receivables, respectively.</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00"/>
        <w:ind w:left="0" w:right="0" w:firstLine="450"/>
        <w:jc w:val="both"/>
        <w:rPr/>
      </w:pPr>
      <w:r>
        <w:rPr>
          <w:rFonts w:ascii="Times New Roman;serif" w:hAnsi="Times New Roman;serif"/>
          <w:b w:val="false"/>
          <w:color w:val="000000"/>
          <w:sz w:val="20"/>
        </w:rPr>
        <w:t>Receivables at June 30, 2025 and September 30, 2024 consisted of the following:</w:t>
      </w:r>
      <w:r>
        <w:rPr>
          <w:color w:val="000000"/>
        </w:rPr>
        <w:t> </w:t>
      </w:r>
    </w:p>
    <w:tbl>
      <w:tblPr>
        <w:tblW w:w="6256" w:type="dxa"/>
        <w:jc w:val="left"/>
        <w:tblInd w:w="0" w:type="dxa"/>
        <w:tblLayout w:type="fixed"/>
        <w:tblCellMar>
          <w:top w:w="28" w:type="dxa"/>
          <w:left w:w="28" w:type="dxa"/>
          <w:bottom w:w="28" w:type="dxa"/>
          <w:right w:w="28" w:type="dxa"/>
        </w:tblCellMar>
      </w:tblPr>
      <w:tblGrid>
        <w:gridCol w:w="1151"/>
        <w:gridCol w:w="1014"/>
        <w:gridCol w:w="1029"/>
        <w:gridCol w:w="211"/>
        <w:gridCol w:w="826"/>
        <w:gridCol w:w="109"/>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469,283 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long-term receivables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receivables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2985"/>
        <w:gridCol w:w="2620"/>
        <w:gridCol w:w="2629"/>
        <w:gridCol w:w="109"/>
        <w:gridCol w:w="109"/>
        <w:gridCol w:w="109"/>
        <w:gridCol w:w="290"/>
        <w:gridCol w:w="1139"/>
        <w:gridCol w:w="215"/>
      </w:tblGrid>
      <w:tr>
        <w:trPr/>
        <w:tc>
          <w:tcPr>
            <w:tcW w:w="298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June 30, 2025</w:t>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155,372 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175,058 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Deferred revenues at June 30, 2025 included current portion of $171.7 million and long-term portion of $3.4 million that were recorded in deferred revenue and other liabilities, respectively, within the condensed consolidated balance sheets. Deferred revenues at September 30, 2024 included current portion of $156.9 million and long-term portion of $3.3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was $593.3 million as of June 30, 2025, approximately 50% of which we expect to recognize over the next 15 months and the remainder thereafter. Revenue allocated to remaining performance obligations was $507.3 million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2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23.3% and 24.5% during the quarters ended June 30, 2025 and 2024, respectively, and 17.2% and 19.9% during the nine months ended June 30, 2025 and 2024,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published Pillar Two Model Rules (“Pillar Two”) for a global 15% minimum tax rate that are in the process of being adopted by a number of jurisdictions in which we operate. We continue to monitor these legislative developments and do not expect Pillar Two to have a material impact on our fiscal 2025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of 2025 was signed into law on July 4, 2025. We continue to monitor the impact of the tax provisions of the OBBBA, most of which are not effective for FICO until fiscal 2026 and after. We do not expect the OBBBA to have a material impact on our fiscal 2025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total unrecognized tax benefit for uncertain tax positions was estimated to be $23.2 million and $19.9 million at June 30, 2025 and September 30, 2024, respectively. We recognize interest expense related to unrecognized tax benefits and penalties as part of the provision for income taxes in our condensed consolidated statements of income and comprehensive income. We accrued interest of $2.9 million and $1.7 million related to unrecognized tax benefits as of June 30, 2025 and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9. Earnings per Share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reconciliations for the numerators and denominators of basic and diluted earnings per share (“EPS”) for the quarters and nine-month periods ended June 30, 2025 and 2024:</w:t>
      </w:r>
      <w:r>
        <w:rPr>
          <w:color w:val="000000"/>
        </w:rPr>
        <w:t> </w:t>
      </w:r>
    </w:p>
    <w:tbl>
      <w:tblPr>
        <w:tblW w:w="9854"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Scores.</w:t>
      </w:r>
      <w:r>
        <w:rPr>
          <w:color w:val="000000"/>
        </w:rPr>
        <w:t xml:space="preserve"> </w:t>
      </w:r>
      <w:r>
        <w:rPr>
          <w:rFonts w:ascii="Times New Roman;serif" w:hAnsi="Times New Roman;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Software</w:t>
      </w:r>
      <w:r>
        <w:rPr>
          <w:rFonts w:ascii="Times New Roman;serif" w:hAnsi="Times New Roman;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segment information for the quarters and nine-month periods ended June 30, 2025 and 2024:</w:t>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75"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tbl>
      <w:tblPr>
        <w:tblW w:w="9675" w:type="dxa"/>
        <w:jc w:val="center"/>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11. Contingencies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of our Annual Report on Form 10-K for the fiscal year ended September 30, 2024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were founded in 1956 on the premise that data, used intelligently, can improve business decisions. Today, FICO’s software and the widely used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 the standard measure in the United States (“U.S.”) of consumer credit risk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 xml:space="preserve">Highlights from the quarter and nine months ended June 30,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revenues were $536.4 million during the quarter ended June 30, 2025, a 20% increase from the quarter ended June 30, 2024, and $1.5 billion during the nine months ended June 30, 2025, a 17% increase from the nine months ended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Revenues for our Scores segment were $324.3 million during the quarter ended June 30, 2025, a 34% increase from the quarter ended June 30, 2024, and $857.0 million during the nine months ended June 30, 2025, a 28% increase from the nine months ended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Annual Recurring Revenue for our Software segment as of June 30, 2025 was $739.1 million, a 4% increase from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Dollar-Based Net Retention Rate for our Software segment was 103% as of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Operating income was $262.5 million during the quarter ended June 30, 2025, a 38% increase from the quarter ended June 30, 2024, and $687.7 million during the nine months ended June 30, 2025, a 28% increase from the nine months ended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income was $181.8 million during the quarter ended June 30, 2025, a 44% increase from the quarter ended June 30, 2024, and $496.9 million during the nine months ended June 30, 2025, a 32% increase from the nine months ended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Diluted EPS was $7.40 during the quarter ended June 30, 2025, a 47% increase from the quarter ended June 30, 2024, and $20.12 during the nine months ended June 30, 2025, a 34% increase from the nine months ended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flows from operating activities were $555.1 million during the nine months ended June 30, 2025, compared with $406.5 million during the nine months ended June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and cash equivalents were $189.0 million as of June 30, 2025, compared with $150.7 million as of September 30, 2024.</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issued $1.5 billion of senior notes and used the net proceeds to repay all the outstanding balances on our term loans and revolving line of credit. We also amended our credit agreement to increase our borrowing capacity under the unsecured revolving line of credit to $1.0 billion and extended its maturity. Total debt balance was $2.8 billion as of June 30, 2025, compared with $2.2 billion as of September 30, 2024.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Total share repurchases during the quarter ended June 30, 2025 were $511.3 million, compared with $255.5 million during the quarter ended June 30, 2024, and during the nine months ended June 30, 2025 were $878.1 million, compared with $506.8 million during the nine months ended June 30, 2024.</w:t>
      </w:r>
    </w:p>
    <w:p>
      <w:pPr>
        <w:pStyle w:val="TextBody"/>
        <w:bidi w:val="0"/>
        <w:spacing w:lineRule="auto" w:line="288" w:before="300" w:after="160"/>
        <w:jc w:val="both"/>
        <w:rPr>
          <w:rFonts w:ascii="Times New Roman;serif" w:hAnsi="Times New Roman;serif"/>
          <w:b/>
          <w:color w:val="000000"/>
          <w:sz w:val="20"/>
        </w:rPr>
      </w:pPr>
      <w:r>
        <w:rPr>
          <w:rFonts w:ascii="Times New Roman;serif" w:hAnsi="Times New Roman;serif"/>
          <w:b/>
          <w:color w:val="000000"/>
          <w:sz w:val="20"/>
        </w:rPr>
        <w:t>Key performance metrics for Software segment</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Annual Contract Value Bookings (“ACV Bookings”)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30%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ACV Bookings during the periods indicated:</w:t>
      </w:r>
    </w:p>
    <w:tbl>
      <w:tblPr>
        <w:tblW w:w="7609" w:type="dxa"/>
        <w:jc w:val="left"/>
        <w:tblInd w:w="0" w:type="dxa"/>
        <w:tblLayout w:type="fixed"/>
        <w:tblCellMar>
          <w:top w:w="28" w:type="dxa"/>
          <w:left w:w="28" w:type="dxa"/>
          <w:bottom w:w="28" w:type="dxa"/>
          <w:right w:w="28" w:type="dxa"/>
        </w:tblCellMar>
      </w:tblPr>
      <w:tblGrid>
        <w:gridCol w:w="1114"/>
        <w:gridCol w:w="979"/>
        <w:gridCol w:w="982"/>
        <w:gridCol w:w="211"/>
        <w:gridCol w:w="511"/>
        <w:gridCol w:w="109"/>
        <w:gridCol w:w="109"/>
        <w:gridCol w:w="109"/>
        <w:gridCol w:w="109"/>
        <w:gridCol w:w="211"/>
        <w:gridCol w:w="511"/>
        <w:gridCol w:w="109"/>
        <w:gridCol w:w="109"/>
        <w:gridCol w:w="109"/>
        <w:gridCol w:w="109"/>
        <w:gridCol w:w="230"/>
        <w:gridCol w:w="557"/>
        <w:gridCol w:w="119"/>
        <w:gridCol w:w="119"/>
        <w:gridCol w:w="119"/>
        <w:gridCol w:w="119"/>
        <w:gridCol w:w="230"/>
        <w:gridCol w:w="557"/>
        <w:gridCol w:w="168"/>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Accounting Standards Codification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erif" w:hAnsi="Times New Roman;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erif" w:hAnsi="Times New Roman;serif"/>
          <w:b w:val="false"/>
          <w:color w:val="000000"/>
          <w:sz w:val="20"/>
        </w:rPr>
        <w:t>We calculate ARR as the quarterly recurring revenue run-rate multiplied by four.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ARR for on-premises and SaaS software exiting each of the dates presented:</w:t>
      </w:r>
    </w:p>
    <w:tbl>
      <w:tblPr>
        <w:tblW w:w="10598" w:type="dxa"/>
        <w:jc w:val="left"/>
        <w:tblInd w:w="0" w:type="dxa"/>
        <w:tblLayout w:type="fixed"/>
        <w:tblCellMar>
          <w:top w:w="28" w:type="dxa"/>
          <w:left w:w="28" w:type="dxa"/>
          <w:bottom w:w="28" w:type="dxa"/>
          <w:right w:w="28" w:type="dxa"/>
        </w:tblCellMar>
      </w:tblPr>
      <w:tblGrid>
        <w:gridCol w:w="460"/>
        <w:gridCol w:w="404"/>
        <w:gridCol w:w="412"/>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7"/>
        <w:gridCol w:w="199"/>
        <w:gridCol w:w="45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ARR</w:t>
            </w:r>
          </w:p>
        </w:tc>
        <w:tc>
          <w:tcPr>
            <w:tcW w:w="932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YoY Change</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Dollar-Based Net Retention Rate (“DBNRR”)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DBNRR for on-premises and SaaS software exiting each of the dates presented:</w:t>
      </w:r>
    </w:p>
    <w:tbl>
      <w:tblPr>
        <w:tblW w:w="10414" w:type="dxa"/>
        <w:jc w:val="left"/>
        <w:tblInd w:w="0" w:type="dxa"/>
        <w:tblLayout w:type="fixed"/>
        <w:tblCellMar>
          <w:top w:w="28" w:type="dxa"/>
          <w:left w:w="28" w:type="dxa"/>
          <w:bottom w:w="28" w:type="dxa"/>
          <w:right w:w="28" w:type="dxa"/>
        </w:tblCellMar>
      </w:tblPr>
      <w:tblGrid>
        <w:gridCol w:w="460"/>
        <w:gridCol w:w="404"/>
        <w:gridCol w:w="412"/>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316"/>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DBNRR</w:t>
            </w:r>
          </w:p>
        </w:tc>
        <w:tc>
          <w:tcPr>
            <w:tcW w:w="6910"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Segment revenues, operating income, and related financial information, including disaggregation of revenue, are set forth in Note 7 and Note 10 to the accompanying condensed consolidated financial statements.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revenues for the quarters and nine-month periods ended June 30, 2025 and 2024:</w:t>
      </w:r>
    </w:p>
    <w:tbl>
      <w:tblPr>
        <w:tblW w:w="10205" w:type="dxa"/>
        <w:jc w:val="left"/>
        <w:tblInd w:w="0" w:type="dxa"/>
        <w:tblLayout w:type="fixed"/>
        <w:tblCellMar>
          <w:top w:w="28" w:type="dxa"/>
          <w:left w:w="28" w:type="dxa"/>
          <w:bottom w:w="28" w:type="dxa"/>
          <w:right w:w="28" w:type="dxa"/>
        </w:tblCellMar>
      </w:tblPr>
      <w:tblGrid>
        <w:gridCol w:w="298"/>
        <w:gridCol w:w="262"/>
        <w:gridCol w:w="266"/>
        <w:gridCol w:w="211"/>
        <w:gridCol w:w="976"/>
        <w:gridCol w:w="109"/>
        <w:gridCol w:w="109"/>
        <w:gridCol w:w="109"/>
        <w:gridCol w:w="109"/>
        <w:gridCol w:w="211"/>
        <w:gridCol w:w="976"/>
        <w:gridCol w:w="109"/>
        <w:gridCol w:w="109"/>
        <w:gridCol w:w="109"/>
        <w:gridCol w:w="109"/>
        <w:gridCol w:w="232"/>
        <w:gridCol w:w="234"/>
        <w:gridCol w:w="380"/>
        <w:gridCol w:w="152"/>
        <w:gridCol w:w="152"/>
        <w:gridCol w:w="152"/>
        <w:gridCol w:w="232"/>
        <w:gridCol w:w="234"/>
        <w:gridCol w:w="387"/>
        <w:gridCol w:w="109"/>
        <w:gridCol w:w="109"/>
        <w:gridCol w:w="109"/>
        <w:gridCol w:w="330"/>
        <w:gridCol w:w="1299"/>
        <w:gridCol w:w="173"/>
        <w:gridCol w:w="109"/>
        <w:gridCol w:w="109"/>
        <w:gridCol w:w="109"/>
        <w:gridCol w:w="309"/>
        <w:gridCol w:w="309"/>
        <w:gridCol w:w="90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417" w:before="120" w:after="283"/>
        <w:jc w:val="left"/>
        <w:rPr>
          <w:rFonts w:ascii="Times New Roman;serif" w:hAnsi="Times New Roman;serif"/>
          <w:b/>
          <w:color w:val="000000"/>
          <w:sz w:val="20"/>
        </w:rPr>
      </w:pPr>
      <w:r>
        <w:rPr>
          <w:rFonts w:ascii="Times New Roman;serif" w:hAnsi="Times New Roman;serif"/>
          <w:b/>
          <w:color w:val="000000"/>
          <w:sz w:val="20"/>
        </w:rPr>
        <w:t>Quarter Ended June 30, 2025 Compared to Quarter Ended June 30, 2024</w:t>
      </w:r>
    </w:p>
    <w:p>
      <w:pPr>
        <w:pStyle w:val="TextBody"/>
        <w:bidi w:val="0"/>
        <w:spacing w:lineRule="auto" w:line="288" w:before="6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Scores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Scores segment revenues increased $82.9 million due to an increase of $79.7 million in our business-to-business scores revenue and an increase of $3.2 million in our business-to-consumer revenue. The increase in business-to-business scores revenue was primarily attributable to a higher unit price, an increase in volume of mortgage originations and a multi-year license renewal in the U.S. recognized on our insurance score product during the quarter ended June 30, 2025. The increase in business-to-consumer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Software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disaggregated revenue for our Software segment by revenue types:</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436"/>
        <w:gridCol w:w="1273"/>
        <w:gridCol w:w="226"/>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Software</w:t>
      </w:r>
      <w:r>
        <w:rPr>
          <w:color w:val="000000"/>
        </w:rPr>
        <w:t xml:space="preserve"> </w:t>
      </w:r>
      <w:r>
        <w:rPr>
          <w:rFonts w:ascii="Times New Roman;serif" w:hAnsi="Times New Roman;serif"/>
          <w:b w:val="false"/>
          <w:color w:val="000000"/>
          <w:sz w:val="20"/>
        </w:rPr>
        <w:t>segment revenues increased $5.7 million due to a $4.1 million increase in our on-premises and SaaS software revenue and a $1.6 million increase in professional services revenue. The increase in our on-premises and SaaS software revenue was primarily attributable to an increase in revenue recognized over time largely driven by SaaS growth for our Platform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erif" w:hAnsi="Times New Roman;serif"/>
          <w:b/>
          <w:color w:val="000000"/>
          <w:sz w:val="20"/>
        </w:rPr>
      </w:pPr>
      <w:r>
        <w:rPr>
          <w:rFonts w:ascii="Times New Roman;serif" w:hAnsi="Times New Roman;serif"/>
          <w:b/>
          <w:color w:val="000000"/>
          <w:sz w:val="20"/>
        </w:rPr>
        <w:t xml:space="preserve">Nine Months Ended June 30, 2025 Compared to Nine Months Ended June 30, 2024 </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Scores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Scores segment revenues increased $186.6 million due to an increase of $178.7 million in our business-to-business scores revenue and an increase of $7.9 million in our business-to-consumer revenue. The increase in business-to-business scores revenue was primarily attributable to a higher unit price, an increase in volume of mortgage originations and a multi-year license renewal in the U.S. recognized on our insurance score product during the nine months ended June 30, 2025. The increase in business-to-consumer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5"/>
        <w:jc w:val="both"/>
        <w:rPr/>
      </w:pPr>
      <w:r>
        <w:rPr>
          <w:rFonts w:ascii="Times New Roman;serif" w:hAnsi="Times New Roman;serif"/>
          <w:b w:val="false"/>
          <w:color w:val="000000"/>
          <w:sz w:val="20"/>
        </w:rPr>
        <w:t>Software</w:t>
      </w:r>
      <w:r>
        <w:rPr>
          <w:color w:val="000000"/>
        </w:rPr>
        <w:t xml:space="preserve"> </w:t>
      </w:r>
      <w:r>
        <w:rPr>
          <w:rFonts w:ascii="Times New Roman;serif" w:hAnsi="Times New Roman;serif"/>
          <w:b w:val="false"/>
          <w:color w:val="000000"/>
          <w:sz w:val="20"/>
        </w:rPr>
        <w:t>segment revenues increased $24.8 million due to a $28.1 million increase in our on-premises and SaaS software revenue, partially offset by a $3.3 million decrease in professional services revenue. The increase in our on-premises and SaaS software revenue was primarily attributable to an increase in license revenue recognized at a point in time due to a large license renewal and an increase in revenue recognized over time largely driven by SaaS growth for our Platform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Expenses and Other Income (Expense), Net</w:t>
      </w:r>
    </w:p>
    <w:p>
      <w:pPr>
        <w:pStyle w:val="TextBody"/>
        <w:bidi w:val="0"/>
        <w:spacing w:lineRule="auto" w:line="288" w:before="12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related to our condensed consolidated statements of income and comprehensive income for the quarters and nine-month periods ended June 30, 2025 and 2024:</w:t>
      </w:r>
    </w:p>
    <w:tbl>
      <w:tblPr>
        <w:tblW w:w="10205" w:type="dxa"/>
        <w:jc w:val="left"/>
        <w:tblInd w:w="0" w:type="dxa"/>
        <w:tblLayout w:type="fixed"/>
        <w:tblCellMar>
          <w:top w:w="28" w:type="dxa"/>
          <w:left w:w="28" w:type="dxa"/>
          <w:bottom w:w="28" w:type="dxa"/>
          <w:right w:w="28" w:type="dxa"/>
        </w:tblCellMar>
      </w:tblPr>
      <w:tblGrid>
        <w:gridCol w:w="804"/>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3"/>
        <w:gridCol w:w="1035"/>
        <w:gridCol w:w="157"/>
        <w:gridCol w:w="109"/>
        <w:gridCol w:w="109"/>
        <w:gridCol w:w="109"/>
        <w:gridCol w:w="293"/>
        <w:gridCol w:w="228"/>
        <w:gridCol w:w="668"/>
      </w:tblGrid>
      <w:tr>
        <w:trPr/>
        <w:tc>
          <w:tcPr>
            <w:tcW w:w="8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w:t>
              <w:br/>
              <w:t>Period</w:t>
              <w:br/>
              <w:t>Percentage Change</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employees at quarter end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760"/>
        <w:gridCol w:w="404"/>
        <w:gridCol w:w="409"/>
        <w:gridCol w:w="211"/>
        <w:gridCol w:w="976"/>
        <w:gridCol w:w="109"/>
        <w:gridCol w:w="109"/>
        <w:gridCol w:w="109"/>
        <w:gridCol w:w="109"/>
        <w:gridCol w:w="211"/>
        <w:gridCol w:w="976"/>
        <w:gridCol w:w="109"/>
        <w:gridCol w:w="109"/>
        <w:gridCol w:w="109"/>
        <w:gridCol w:w="109"/>
        <w:gridCol w:w="233"/>
        <w:gridCol w:w="233"/>
        <w:gridCol w:w="380"/>
        <w:gridCol w:w="152"/>
        <w:gridCol w:w="152"/>
        <w:gridCol w:w="152"/>
        <w:gridCol w:w="233"/>
        <w:gridCol w:w="233"/>
        <w:gridCol w:w="387"/>
        <w:gridCol w:w="109"/>
        <w:gridCol w:w="109"/>
        <w:gridCol w:w="109"/>
        <w:gridCol w:w="263"/>
        <w:gridCol w:w="1035"/>
        <w:gridCol w:w="138"/>
        <w:gridCol w:w="109"/>
        <w:gridCol w:w="109"/>
        <w:gridCol w:w="109"/>
        <w:gridCol w:w="290"/>
        <w:gridCol w:w="216"/>
        <w:gridCol w:w="635"/>
      </w:tblGrid>
      <w:tr>
        <w:trPr/>
        <w:tc>
          <w:tcPr>
            <w:tcW w:w="7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w:t>
              <w:br/>
              <w:t>Period</w:t>
              <w:br/>
              <w:t>Percentage Change</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quarter-over-prior year quarter decrease in cost of revenues of $0.7 million was primarily attributable to a $1.6 million decrease in personnel and labor costs and a $1.1 million decrease in outside services costs, partially offset by a $2.3 million increase in infrastructure and facilities costs. The decrease in personnel and labor costs was primarily attributable to decreased incentive expense. The decrease in outside services costs was primarily attributable to decreased third-party contractor costs. The increase in infrastructure and facilities costs was primarily attributable to an increase in third-party data center hosting costs. Cost of revenues as a percentage of revenues decreased to 16% during the quarter ended June 30, 2025 from 20% during the quarter ended June 30, 2024, primarily due to increased sales of our higher-margin Scores products.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cost of revenues of $3.9 million was primarily attributable to a $7.4 million increase in infrastructure and facilities costs, partially offset by a $1.5 million decrease in outside services costs and a $1.5 million decrease in personnel and labor costs. The increase in infrastructure and facilities costs was primarily attributable to an increase in third-party data center hosting costs and an increase in depreciation on data center computer hardware. The decrease in outside services costs was primarily attributable to decreased third-party contractor costs. The decrease in personnel and labor costs was primarily attributable to decreased incentive expense and headcount. Cost of revenues as a percentage of revenues decreased to 18% during the nine months ended June 30, 2025 from 21% during the nine months ended June 30, 2024, primarily due to increased sales of our higher-margin Scores products.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research and development expenses of $3.0 million was primarily attributable to a $1.9 million increase in outside services costs and a $1.1 million increase in infrastructure and facilities costs. The increase in outside services costs was primarily attributable to increased third-party contractor costs. The increase in infrastructure and facilities costs was primarily attributable to increased third-party data center hosting costs. Research and development expenses as a percentage of revenues decreased to 9% during the quarter ended June 30, 2025 from 10% during the quarter ended June 30,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research and development expenses of $9.7 million was primarily attributable to a $5.5 million increase in outside services costs and a $4.0 million increase in infrastructure and facilities costs. The increase in outside services costs was primarily attributable to increased third-party contractor costs. The increase in infrastructure and facilities costs was primarily attributable to increased third-party data center hosting costs and software royalty fees. Research and development expenses as a percentage of revenues decreased to 9% during the nine months ended June 30, 2025 from 10% during the nine months ended June 30, 2024.</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selling, general and administrative expenses of $14.2 million was primarily attributable to a $7.0 million increase in advertising and other promotional expenses, a $5.1 million increase in personnel and labor costs, a $1.3 million increase in travel expenses, and a $1.1 million increase in non-income tax costs. The increase in advertising and other promotional expenses was primarily attributable to increased costs for advertising campaigns and corporate events. The increase in personnel and labor costs was primarily attributable to increased headcount, market base-pay adjustments, fringe benefit costs related to our supplemental retirement and savings plan, and commission expense, partially offset by decreased incentive expense and share-based compensation expense. The increase in travel costs was primarily attributable to promotional and corporate events. The increase in non-income tax costs was attributable to a foreign tax law change related to transfer pricing, effective during the quarter ended June 30, 2025, that impacted a non-U.S. subsidiary. Selling, general and administrative expenses as a percentage of revenues decreased to 26% during the quarter ended June 30, 2025 from 28% during the quarter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selling, general and administrative expenses of $47.4 million was primarily attributable to a $23.6 million increase in personnel and labor costs, a $17.2 million increase in advertising and other promotional costs, a $4.0 million increase in non-income tax costs, and a $2.6 million increase in travel costs. The increase in personnel and labor costs was primarily attributable to increased share-based compensation expense, headcount, market base-pay adjustments, and commission expense, partially offset by decreased fringe benefits costs related to our supplemental retirement and savings plan. The increase in advertising and other promotional expenses was primarily attributable to increased costs for advertising campaigns and corporate events. The increase in non-income tax costs was attributable to a foreign tax law change related to transfer pricing, effective during the nine months ended June 30, 2025, that impacted a non-U.S. subsidiary. The increase in travel costs was primarily attributable to promotional and corporate events. Selling, general and administrative expenses as a percentage of revenues decreased to 26% during the nine months ended June 30, 2025 from 27% during the nine months ended June 30, 2024.</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includes interest on the senior notes issued in May 2025, December 2021, December 2019 and May 2018, as well as interest and credit agreement fees on the revolving line of credit and term loans.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interest expense of $6.0 million was primarily attributable to the $1.5 billion of 6.00% senior notes issued in May 2025, partially offset by a lower average outstanding balance and a lower average interest rate on borrowings under our credit agreement during the quarter ended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in interest expense of $16.6 million was primarily attributable to the $1.5 billion of 6.00% senior notes issued in May 2025 and a higher average outstanding balance on borrowings under our credit agreement during the nine months ended June 30, 2025, partially offset by a lower average interest rate on borrowings under our credit agreement during the nine months ended June 30, 2025.</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consists primarily of unrealized investment gains/losses and realized gains/losses on marketable securities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other income, net of $3.4 million was primarily attributable to an increase in net unrealized gains on investments classified as trading securities in our supplemental retirement and savings plan.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year-to-date period-over-period decrease in other income, net of $5.1 million was primarily attributable to a decrease in net unrealized gains on investments classified as trading securities in our supplemental retirement and savings plan, partially offset by an increase in net exchange rate gains resulting from remeasurement of foreign-currency-denominated receivable and cash balances held by our various reporting entities into their respective functional currencies at period-end market rates, net of the impact of offsetting foreign currency forward contracts.</w:t>
      </w:r>
    </w:p>
    <w:p>
      <w:pPr>
        <w:pStyle w:val="TextBody"/>
        <w:bidi w:val="0"/>
        <w:spacing w:lineRule="auto" w:line="288" w:before="30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23.3% and 24.5% during the quarters ended June 30, 2025 and 2024, respectively, and 17.2% and 19.9% during the nine months ended June 30, 2025 and 2024,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rates for the quarter and nine months ended June 30, 2025 were favorably impacted by the excess tax benefit relating to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summary information on a segment basis related to our operating income for the quarters and nine-month periods ended June 30, 2025 and 2024:</w:t>
      </w: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operating income of $72.3 million was primarily attributable to an $88.6 million increase in segment revenues and a $2.2 million decrease in corporate expenses, partially offset by a $19.2 million increase in segment operating expenses.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segment level, the quarter-over-prior year quarter increase in segment operating income of $71.5 million was the result of a $71.7 million increase in our Scores segment operating income and a $2.2 million decrease in corporate expenses, partially offset by a $2.4 million decrease in our Software segment operating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quarter-over-prior year quarter increase in Scores segment operating income of $71.7 million was due to an $82.8 million increase in segment revenue, partially offset by an $11.1 million increase in segment operating expenses. Scores segment operating income as a percentage of segment revenue was 88%, consistent with the quarter ended June 30,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quarter-over-prior year quarter decrease in Software segment operating income of $2.4 million was due to an $8.1 million increase in segment operating expenses, partially offset by a $5.7 million increase in segment revenue. Software segment operating income as a percentage of segment revenue decreased to 32% from 34%, primarily attributable to the increase in third-party data center hosting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55"/>
        <w:gridCol w:w="1394"/>
        <w:gridCol w:w="186"/>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increase of $151.2 million in operating income was primarily attributable to a $211.4 million increase in segment revenues and a $3.3 million decrease in corporate expenses, partially offset by a $49.4 million increase in segment operating expenses and a $14.8 million increase in share-based compensation cost.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the segment level, the year-to-date period-over-period increase of $165.2 million in segment operating income was the result of a $159.6 million increase in our Scores segment operating income, a $3.3 million decrease in corporate expenses, and a $2.4 million increase in our Software segment operating income.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$159.6 million increase in Scores segment operating income was attributable to a $186.6 million increase in segment revenue, partially offset by a $27.0 million increase in segment operating expenses. Scores segment operating income as a percentage of segment revenue was 88%, materially consistent with the nine months ended June 30,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year-to-date period-over-period $2.4 million increase in Software segment operating income was attributable to a $24.8 million increase in segment revenue, partially offset by a $22.4 million increase in segment operating expenses. Software segment operating income as a percentage of segment revenue was 31%, materially consistent with the nine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we had $189.0 million in cash and cash equivalents, which included $121.9 million held by our foreign subsidiaries. We believe our cash and cash equivalents balances, including those held by our foreign subsidiaries, as well as available borrowings from our $1.0 billion revolving line of credit and anticipated cash flows from operating activities, will be sufficient to fund our working and other capital requirements for at least the next 12 months and thereafter for the foreseeable future, including the $400.0 million principal payment on the 2018 Senior Notes (as defined below)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pPr>
      <w:r>
        <w:rPr>
          <w:rFonts w:ascii="Times New Roman;serif" w:hAnsi="Times New Roman;serif"/>
          <w:b/>
          <w:color w:val="000000"/>
          <w:sz w:val="20"/>
        </w:rPr>
        <w:t>Summary of Cash Flows</w:t>
      </w:r>
      <w:r>
        <w:rPr>
          <w:color w:val="000000"/>
        </w:rPr>
        <w:t> </w:t>
      </w:r>
    </w:p>
    <w:tbl>
      <w:tblPr>
        <w:tblW w:w="8270" w:type="dxa"/>
        <w:jc w:val="left"/>
        <w:tblInd w:w="0" w:type="dxa"/>
        <w:tblLayout w:type="fixed"/>
        <w:tblCellMar>
          <w:top w:w="28" w:type="dxa"/>
          <w:left w:w="28" w:type="dxa"/>
          <w:bottom w:w="28" w:type="dxa"/>
          <w:right w:w="28" w:type="dxa"/>
        </w:tblCellMar>
      </w:tblPr>
      <w:tblGrid>
        <w:gridCol w:w="1211"/>
        <w:gridCol w:w="1063"/>
        <w:gridCol w:w="1070"/>
        <w:gridCol w:w="211"/>
        <w:gridCol w:w="826"/>
        <w:gridCol w:w="109"/>
        <w:gridCol w:w="109"/>
        <w:gridCol w:w="109"/>
        <w:gridCol w:w="109"/>
        <w:gridCol w:w="211"/>
        <w:gridCol w:w="826"/>
        <w:gridCol w:w="109"/>
        <w:gridCol w:w="109"/>
        <w:gridCol w:w="109"/>
        <w:gridCol w:w="109"/>
        <w:gridCol w:w="350"/>
        <w:gridCol w:w="1372"/>
        <w:gridCol w:w="258"/>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148,652 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(121,811)</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38,382 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method for funding operations and growth has been through cash flows generated from operating activities. Net cash provided by operating activities increased to $555.1 million during the nine months ended June 30, 2025 from $406.5 million during the nine months ended June 30, 2024. The $148.7 million increase was attributable to a $119.8 million increase in net income, a $19.1 million increase in non-cash items, and a $9.8 million increase due to the timing of receipts and payments in our ordinary course of business.</w:t>
      </w:r>
    </w:p>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to $30.4 million for the nine months ended June 30, 2025 from $20.4 million for the nine months ended June 30, 2024. The $10.0 million increase was primarily attributable to a $10.5 million increase in capitalized internal-use software costs.</w:t>
      </w:r>
    </w:p>
    <w:p>
      <w:pPr>
        <w:pStyle w:val="TextBody"/>
        <w:bidi w:val="0"/>
        <w:spacing w:lineRule="auto" w:line="288" w:before="24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to $486.8 million for the nine months ended June 30, 2025 from $365.0 million for the nine months ended June 30, 2024. The $121.8 million increase was primarily attributable to a $1.2 billion increase in payments, net of proceeds, on our revolving line of credit and term loans, a $368.3 million increase in repurchases of common stock, a $66.0 million increase in taxes paid related to net share settlement of equity awards, and a $16.5 million increase in debt issuance costs, partially offset by the proceeds from issuance of $1.5 billion senior notes.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Repurchases of Common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2024, our Board of Directors approved a stock repurchase program (the “July 2024 program”), replacing our previously authorized January 2024 stock repurchase program, which was terminated prior to its expiration. The July 2024 program was open-ended and authorized repurchases of shares of our common stock from time to time up to an aggregate cost of $1.0 billion in the open market or in negotiated transactions. In June 2025, our Board of Directors approved a new stock repurchase program (the “June 2025 program”), replacing the July 2024 program, which was terminated prior to its expiration. The June 2025 program is open-ended and authorizes repurchases of shares of our common stock from time to time up to an aggregate cost of $1.0 billion in the open market or in negotiated transactions. The June 2025 program remains in effect until the total authorized amount is expended or until further action by our Board of Directors. As of June 30, 2025, we had $880.1 million remaining under the June 2025 program. We expended $511.3 million and $878.1 million during the quarter and nine months ended June 30, 2025, respectively, under the July 2024 program and the June 2025 program. We expended $255.5 million and $506.8 million during the quarter and nine months ended June 30, 2024, respectively, under previously authorized stock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Revolving Line of Credit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13, 2025, we amended our credit agreement with a syndicate of banks, increasing our borrowing capacity under the unsecured revolving line of credit from $600 million to $1.0 billion and extending its maturity to May 13, 2030. Also on May 13, 2025, we repaid in full and terminated the $300 million unsecured term loan (the “$300 Million Term Loan”) and the $450 million unsecured term loan (the “$450 Million Term Loan”) outstanding under our credit agreement, utilizing proceeds from the issuance of the 2025 Senior Notes (as defined below).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there were no borrowings outstanding under the revolving line of credit and we were in compliance with all financial covenants under the credit agreement.</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On May 13, 2025, we issued $1.5 billion of senior notes in a private offering to qualified institutional investors (the “2025 Senior Notes,” and collectively with the 2018 Senior Notes, the 2019 Senior Notes and the 2021 Senior Notes, the “Senior Notes”). The 2025 Senior Notes require interest payments semi-annually at a rate of 6.00% per annum and will mature on May 15, 2033. The indentures for the Senior Notes contain certain covenants typical of unsecured obligations. As of June 30, 2025, the carrying value of the Senior Notes was $2.8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2024 (“Annual Report on Form 10-K”). There have been no significant changes from the critical accounting estimates disclosed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Risk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Interest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June 30, 2025 and September 30, 2024: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2025 and September 30, 2024:</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2025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interest rate risk with respect to our unsecured revolving line of credit.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June 30, 2025, there were no borrowings outstanding under the revolving line of credit.</w:t>
      </w:r>
    </w:p>
    <w:p>
      <w:pPr>
        <w:pStyle w:val="TextBody"/>
        <w:bidi w:val="0"/>
        <w:spacing w:lineRule="auto" w:line="288" w:before="30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outstanding foreign currency forward contracts, by currency, at June 30, 2025 and September 30, 2024:</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foreign currency forward contracts were entered into on June 30, 2025 and September 30, 2024;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June 30, 2025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bidi w:val="0"/>
        <w:spacing w:lineRule="auto" w:line="288" w:before="30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 FICO intends to vigorously defend against the remaining claims in this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2024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left"/>
        <w:rPr/>
      </w:pPr>
      <w:r>
        <w:rPr>
          <w:rFonts w:ascii="Times New Roman;serif" w:hAnsi="Times New Roman;serif"/>
          <w:b/>
          <w:color w:val="000000"/>
          <w:sz w:val="20"/>
        </w:rPr>
        <w:t>Issuer Purchases of Equity Securities</w:t>
      </w:r>
      <w:r>
        <w:rPr>
          <w:color w:val="000000"/>
        </w:rPr>
        <w:t> </w:t>
      </w:r>
    </w:p>
    <w:tbl>
      <w:tblPr>
        <w:tblW w:w="9471" w:type="dxa"/>
        <w:jc w:val="left"/>
        <w:tblInd w:w="0" w:type="dxa"/>
        <w:tblLayout w:type="fixed"/>
        <w:tblCellMar>
          <w:top w:w="28" w:type="dxa"/>
          <w:left w:w="28" w:type="dxa"/>
          <w:bottom w:w="28" w:type="dxa"/>
          <w:right w:w="28" w:type="dxa"/>
        </w:tblCellMar>
      </w:tblPr>
      <w:tblGrid>
        <w:gridCol w:w="1124"/>
        <w:gridCol w:w="990"/>
        <w:gridCol w:w="1006"/>
        <w:gridCol w:w="412"/>
        <w:gridCol w:w="414"/>
        <w:gridCol w:w="346"/>
        <w:gridCol w:w="109"/>
        <w:gridCol w:w="109"/>
        <w:gridCol w:w="109"/>
        <w:gridCol w:w="211"/>
        <w:gridCol w:w="871"/>
        <w:gridCol w:w="109"/>
        <w:gridCol w:w="109"/>
        <w:gridCol w:w="109"/>
        <w:gridCol w:w="109"/>
        <w:gridCol w:w="485"/>
        <w:gridCol w:w="485"/>
        <w:gridCol w:w="486"/>
        <w:gridCol w:w="109"/>
        <w:gridCol w:w="109"/>
        <w:gridCol w:w="109"/>
        <w:gridCol w:w="211"/>
        <w:gridCol w:w="118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pPr>
            <w:r>
              <w:rPr>
                <w:rFonts w:ascii="Times New Roman;serif" w:hAnsi="Times New Roman;serif"/>
                <w:b/>
                <w:color w:val="000000"/>
                <w:sz w:val="16"/>
              </w:rPr>
              <w:t>Purchased</w:t>
            </w:r>
            <w:r>
              <w:rPr>
                <w:color w:val="000000"/>
              </w:rPr>
              <w: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w:t>
            </w:r>
          </w:p>
          <w:p>
            <w:pPr>
              <w:pStyle w:val="TableContents"/>
              <w:bidi w:val="0"/>
              <w:spacing w:lineRule="auto" w:line="240" w:before="0" w:after="0"/>
              <w:jc w:val="center"/>
              <w:rPr/>
            </w:pPr>
            <w:r>
              <w:rPr>
                <w:rFonts w:ascii="Times New Roman;serif" w:hAnsi="Times New Roman;serif"/>
                <w:b/>
                <w:color w:val="000000"/>
                <w:sz w:val="16"/>
              </w:rPr>
              <w:t>or Programs</w:t>
            </w:r>
            <w:r>
              <w:rPr>
                <w:color w:val="000000"/>
              </w:rPr>
              <w:t xml:space="preserv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Dollar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Plans or</w:t>
            </w:r>
          </w:p>
          <w:p>
            <w:pPr>
              <w:pStyle w:val="TableContents"/>
              <w:bidi w:val="0"/>
              <w:spacing w:lineRule="auto" w:line="240" w:before="0" w:after="0"/>
              <w:jc w:val="center"/>
              <w:rPr/>
            </w:pPr>
            <w:r>
              <w:rPr>
                <w:rFonts w:ascii="Times New Roman;serif" w:hAnsi="Times New Roman;serif"/>
                <w:b/>
                <w:color w:val="000000"/>
                <w:sz w:val="16"/>
              </w:rPr>
              <w:t>Programs</w:t>
            </w:r>
            <w:r>
              <w:rPr>
                <w:color w:val="000000"/>
              </w:rPr>
              <w:t xml:space="preserve"> </w:t>
            </w:r>
            <w:r>
              <w:rPr>
                <w:rFonts w:ascii="Times New Roman;serif" w:hAnsi="Times New Roman;serif"/>
                <w:b/>
                <w:color w:val="000000"/>
                <w:sz w:val="10"/>
              </w:rPr>
              <w:t>(2)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through April 30,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17,865 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361,938,170 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through May 31, 2025</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92,990 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202,040,151 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through June 30,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174,752 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880,091,733 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286,351 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283,819 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880,091,733 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2,532 shares delivered in satisfaction of the tax withholding obligations resulting from the vesting of restricted stock units held by employees during the quarter ended June 30, 2025.</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 July 2024, our Board of Directors approved a stock repurchase program (the “July 2024 program”), replacing our previously authorized January 2024 stock repurchase program, which was terminated prior to its expiration. The July 2024 program was open-ended and authorized repurchases of shares of our common stock from time to time up to an aggregate cost of $1.0 billion in the open market or in negotiated transactions. In June 2025, our Board of Directors approved a new stock repurchase program (the “June 2025 program”), replacing the July 2024 program, which was terminated prior to its expiration. The June 2025 program is open-ended and authorizes repurchases of shares of our common stock from time to time up to an aggregate cost of $1.0 billion in the open market or in negotiated transactions. The June 2025 program remains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292"/>
        <w:gridCol w:w="258"/>
        <w:gridCol w:w="259"/>
        <w:gridCol w:w="109"/>
        <w:gridCol w:w="109"/>
        <w:gridCol w:w="109"/>
        <w:gridCol w:w="2646"/>
        <w:gridCol w:w="2646"/>
        <w:gridCol w:w="3777"/>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By-laws of Fair Isaac Corporation. (Incorporated by reference to Exhibit 3.1 to the Company’s Form 10-Q for the quarter ended December 31, 2009).</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Indenture dated as of May 13, 2025, by and between the Company and U.S. Bank Trust Company, National Association, as trustee, which includes the form of 6.000% Senior Notes due 2033. (Incorporated by reference to Exhibit 4.1 to the Company’s Form 8-K filed May 13, 2025.)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Third Amended and Restated Credit Agreement among the Company, the lenders party thereto, Wells Fargo Bank National Association, Wells Fargo Securities, LLC and BofA Securities, Inc., dated May 13, 2025. (Incorporated by reference to Exhibit 10.1 to the Company’s Form 8-K filed May 13, 2025.)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32025.htm">
              <w:r>
                <w:rPr>
                  <w:rStyle w:val="InternetLink"/>
                  <w:rFonts w:ascii="Times New Roman;serif" w:hAnsi="Times New Roman;serif"/>
                  <w:b w:val="false"/>
                  <w:color w:val="0000FF"/>
                  <w:sz w:val="20"/>
                  <w:u w:val="single"/>
                </w:rPr>
                <w:t>Rule 13a-14(a)/15d-14(a) Certifications of CEO.</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32025.htm">
              <w:r>
                <w:rPr>
                  <w:rStyle w:val="InternetLink"/>
                  <w:rFonts w:ascii="Times New Roman;serif" w:hAnsi="Times New Roman;serif"/>
                  <w:b w:val="false"/>
                  <w:color w:val="0000FF"/>
                  <w:sz w:val="20"/>
                  <w:u w:val="single"/>
                </w:rPr>
                <w:t>Rule 13a-14(a)/15d-14(a) Certifications of CFO.</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32025.htm">
              <w:r>
                <w:rPr>
                  <w:rStyle w:val="InternetLink"/>
                  <w:rFonts w:ascii="Times New Roman;serif" w:hAnsi="Times New Roman;serif"/>
                  <w:b w:val="false"/>
                  <w:color w:val="0000FF"/>
                  <w:sz w:val="20"/>
                  <w:u w:val="single"/>
                </w:rPr>
                <w:t>Section 1350 Certification of CEO.</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32025.htm">
              <w:r>
                <w:rPr>
                  <w:rStyle w:val="InternetLink"/>
                  <w:rFonts w:ascii="Times New Roman;serif" w:hAnsi="Times New Roman;serif"/>
                  <w:b w:val="false"/>
                  <w:color w:val="0000FF"/>
                  <w:sz w:val="20"/>
                  <w:u w:val="single"/>
                </w:rPr>
                <w:t>Section 1350 Certification of CFO.</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0ff53ac890e4caa87b62d5511e520d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622" w:type="dxa"/>
        <w:jc w:val="left"/>
        <w:tblInd w:w="0" w:type="dxa"/>
        <w:tblLayout w:type="fixed"/>
        <w:tblCellMar>
          <w:top w:w="28" w:type="dxa"/>
          <w:left w:w="28" w:type="dxa"/>
          <w:bottom w:w="28" w:type="dxa"/>
          <w:right w:w="28" w:type="dxa"/>
        </w:tblCellMar>
      </w:tblPr>
      <w:tblGrid>
        <w:gridCol w:w="249"/>
        <w:gridCol w:w="220"/>
        <w:gridCol w:w="221"/>
        <w:gridCol w:w="404"/>
        <w:gridCol w:w="404"/>
        <w:gridCol w:w="407"/>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05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27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4547/000095012310009970/c56194exv3w2.htm" TargetMode="External"/><Relationship Id="rId3" Type="http://schemas.openxmlformats.org/officeDocument/2006/relationships/hyperlink" Target="https://www.sec.gov/Archives/edgar/data/814547/000095012310009970/c56194exv3w1.htm" TargetMode="External"/><Relationship Id="rId4" Type="http://schemas.openxmlformats.org/officeDocument/2006/relationships/hyperlink" Target="https://www.sec.gov/Archives/edgar/data/814547/000119312525118857/d14876dex41.htm" TargetMode="External"/><Relationship Id="rId5" Type="http://schemas.openxmlformats.org/officeDocument/2006/relationships/hyperlink" Target="https://www.sec.gov/Archives/edgar/data/814547/000119312525118857/d14876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17771</Words>
  <Characters>97992</Characters>
  <CharactersWithSpaces>114205</CharactersWithSpaces>
  <Paragraphs>3399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