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6995795" cy="4190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19036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DEAL RICHARD</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 WEST MENDENHALL, SUITE 105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FAIR ISAAC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FICO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11/13/2025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755"/>
        <w:spacing w:after="0"/>
        <w:rPr>
          <w:sz w:val="20"/>
          <w:szCs w:val="20"/>
          <w:color w:val="auto"/>
        </w:rPr>
      </w:pPr>
      <w:r>
        <w:rPr>
          <w:rFonts w:ascii="Times New Roman" w:cs="Times New Roman" w:eastAsia="Times New Roman" w:hAnsi="Times New Roman"/>
          <w:sz w:val="16"/>
          <w:szCs w:val="16"/>
          <w:color w:val="0000FF"/>
        </w:rPr>
        <w:t>Executive Vice President</w:t>
      </w:r>
    </w:p>
    <w:p>
      <w:pPr>
        <w:spacing w:after="0" w:line="312"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780" w:type="dxa"/>
            <w:vAlign w:val="bottom"/>
            <w:gridSpan w:val="7"/>
            <w:vMerge w:val="restart"/>
          </w:tcPr>
          <w:p>
            <w:pPr>
              <w:jc w:val="center"/>
              <w:ind w:right="182"/>
              <w:spacing w:after="0"/>
              <w:rPr>
                <w:sz w:val="20"/>
                <w:szCs w:val="20"/>
                <w:color w:val="auto"/>
              </w:rPr>
            </w:pPr>
            <w:r>
              <w:rPr>
                <w:rFonts w:ascii="Arial" w:cs="Arial" w:eastAsia="Arial" w:hAnsi="Arial"/>
                <w:sz w:val="13"/>
                <w:szCs w:val="13"/>
                <w:color w:val="auto"/>
                <w:w w:val="97"/>
              </w:rPr>
              <w:t>4. If Amendment, Date of Original Filed (Month/Day/Year)</w:t>
            </w:r>
          </w:p>
        </w:tc>
        <w:tc>
          <w:tcPr>
            <w:tcW w:w="356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7"/>
            <w:vMerge w:val="continue"/>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BOZEMAN</w:t>
            </w: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MT</w:t>
            </w:r>
          </w:p>
        </w:tc>
        <w:tc>
          <w:tcPr>
            <w:tcW w:w="96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59715</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gridSpan w:val="7"/>
          </w:tcPr>
          <w:p>
            <w:pPr>
              <w:ind w:left="16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3"/>
          </w:tcPr>
          <w:p>
            <w:pPr>
              <w:jc w:val="center"/>
              <w:ind w:left="5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0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gridSpan w:val="6"/>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20"/>
                <w:szCs w:val="20"/>
                <w:color w:val="auto"/>
              </w:rPr>
            </w:pP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0000FF"/>
              </w:rPr>
              <w:t>11/13/2025</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1,235</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12/09/2025</w:t>
            </w:r>
            <w:r>
              <w:rPr>
                <w:rFonts w:ascii="Times New Roman" w:cs="Times New Roman" w:eastAsia="Times New Roman" w:hAnsi="Times New Roman"/>
                <w:sz w:val="21"/>
                <w:szCs w:val="21"/>
                <w:color w:val="008000"/>
                <w:vertAlign w:val="superscript"/>
              </w:rPr>
              <w:t>(3)</w:t>
            </w:r>
          </w:p>
        </w:tc>
        <w:tc>
          <w:tcPr>
            <w:tcW w:w="62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1,235</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1,235</w:t>
            </w:r>
          </w:p>
        </w:tc>
        <w:tc>
          <w:tcPr>
            <w:tcW w:w="30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-1724660</wp:posOffset>
            </wp:positionV>
            <wp:extent cx="28575" cy="1729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297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earned performance share unit represents a right to receive one share of Fair Isaac common stock contingent upon continued employment.</w:t>
      </w:r>
    </w:p>
    <w:p>
      <w:pPr>
        <w:spacing w:after="0" w:line="40" w:lineRule="exact"/>
        <w:rPr>
          <w:rFonts w:ascii="Times New Roman" w:cs="Times New Roman" w:eastAsia="Times New Roman" w:hAnsi="Times New Roman"/>
          <w:sz w:val="13"/>
          <w:szCs w:val="13"/>
          <w:color w:val="008000"/>
        </w:rPr>
      </w:pPr>
    </w:p>
    <w:p>
      <w:pPr>
        <w:ind w:left="40" w:right="3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2025, the Leadership Development and Compensation Committee of the Board of Directors of Fair Isaac Corporation determined that the reporting person earned the number of performance share units reported on this Form 4 based on achievement of certain performance metrics.</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share units vest in three equal annual installments commencing on this date and one share will be delivered to the reporting person for each vested unit as soon as practicable thereafter.</w:t>
      </w:r>
    </w:p>
    <w:p>
      <w:pPr>
        <w:sectPr>
          <w:pgSz w:w="11900" w:h="16838" w:orient="portrait"/>
          <w:cols w:equalWidth="0" w:num="1">
            <w:col w:w="11080"/>
          </w:cols>
          <w:pgMar w:left="460" w:top="216" w:right="359" w:bottom="1440" w:gutter="0" w:footer="0" w:header="0"/>
          <w:type w:val="continuous"/>
        </w:sectPr>
      </w:pPr>
    </w:p>
    <w:p>
      <w:pPr>
        <w:spacing w:after="0" w:line="4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4. No expiration 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Carrie H. Darling,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-3810</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272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spacing w:after="0" w:line="3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72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680" w:space="12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5411" TargetMode="External"/><Relationship Id="rId14" Type="http://schemas.openxmlformats.org/officeDocument/2006/relationships/hyperlink" Target="http://www.sec.gov/cgi-bin/browse-edgar?action=getcompany&amp;CIK=00008145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2025-11-17T16:23:15Z</dcterms:created>
  <dcterms:modified xsi:type="dcterms:W3CDTF">2025-11-17T16:23:15Z</dcterms:modified>
</cp:coreProperties>
</file>