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111760</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113665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400" w:right="40" w:hanging="374"/>
        <w:spacing w:after="0" w:line="238" w:lineRule="auto"/>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21" w:lineRule="exact"/>
        <w:rPr>
          <w:sz w:val="24"/>
          <w:szCs w:val="24"/>
          <w:color w:val="auto"/>
        </w:rPr>
      </w:pPr>
    </w:p>
    <w:p>
      <w:pPr>
        <w:ind w:left="400" w:right="60" w:hanging="374"/>
        <w:spacing w:after="0" w:line="238" w:lineRule="auto"/>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85"/>
        </w:trPr>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Number 1-11689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4399915</wp:posOffset>
            </wp:positionH>
            <wp:positionV relativeFrom="paragraph">
              <wp:posOffset>-256540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77470</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Fair Isaac Corporation</w:t>
      </w:r>
    </w:p>
    <w:p>
      <w:pPr>
        <w:spacing w:after="0" w:line="80" w:lineRule="exact"/>
        <w:rPr>
          <w:sz w:val="24"/>
          <w:szCs w:val="24"/>
          <w:color w:val="auto"/>
        </w:rPr>
      </w:pPr>
    </w:p>
    <w:tbl>
      <w:tblPr>
        <w:tblLayout w:type="fixed"/>
        <w:tblInd w:w="2080" w:type="dxa"/>
        <w:tblCellMar>
          <w:top w:w="0" w:type="dxa"/>
          <w:left w:w="0" w:type="dxa"/>
          <w:bottom w:w="0" w:type="dxa"/>
          <w:right w:w="0" w:type="dxa"/>
        </w:tblCellMar>
      </w:tblPr>
      <w:tr>
        <w:trPr>
          <w:trHeight w:val="238"/>
        </w:trPr>
        <w:tc>
          <w:tcPr>
            <w:tcW w:w="6140" w:type="dxa"/>
            <w:vAlign w:val="bottom"/>
            <w:gridSpan w:val="3"/>
          </w:tcPr>
          <w:p>
            <w:pPr>
              <w:jc w:val="center"/>
              <w:ind w:left="817"/>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220" w:type="dxa"/>
            <w:vAlign w:val="bottom"/>
          </w:tcPr>
          <w:p>
            <w:pPr>
              <w:spacing w:after="0"/>
              <w:rPr>
                <w:sz w:val="20"/>
                <w:szCs w:val="20"/>
                <w:color w:val="auto"/>
              </w:rPr>
            </w:pPr>
          </w:p>
        </w:tc>
      </w:tr>
      <w:tr>
        <w:trPr>
          <w:trHeight w:val="170"/>
        </w:trPr>
        <w:tc>
          <w:tcPr>
            <w:tcW w:w="246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3"/>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94-1499887</w:t>
            </w:r>
          </w:p>
        </w:tc>
      </w:tr>
      <w:tr>
        <w:trPr>
          <w:trHeight w:val="190"/>
        </w:trPr>
        <w:tc>
          <w:tcPr>
            <w:tcW w:w="6140" w:type="dxa"/>
            <w:vAlign w:val="bottom"/>
            <w:gridSpan w:val="3"/>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6140" w:type="dxa"/>
            <w:vAlign w:val="bottom"/>
            <w:gridSpan w:val="3"/>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5 West Mendenhall, Suite 105</w:t>
            </w:r>
          </w:p>
        </w:tc>
        <w:tc>
          <w:tcPr>
            <w:tcW w:w="12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59715</w:t>
            </w:r>
          </w:p>
        </w:tc>
      </w:tr>
      <w:tr>
        <w:trPr>
          <w:trHeight w:val="22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Bozeman, Montana</w:t>
            </w:r>
          </w:p>
        </w:tc>
        <w:tc>
          <w:tcPr>
            <w:tcW w:w="1220" w:type="dxa"/>
            <w:vAlign w:val="bottom"/>
          </w:tcPr>
          <w:p>
            <w:pPr>
              <w:spacing w:after="0"/>
              <w:rPr>
                <w:sz w:val="19"/>
                <w:szCs w:val="19"/>
                <w:color w:val="auto"/>
              </w:rPr>
            </w:pPr>
          </w:p>
        </w:tc>
      </w:tr>
      <w:tr>
        <w:trPr>
          <w:trHeight w:val="190"/>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8"/>
        </w:trPr>
        <w:tc>
          <w:tcPr>
            <w:tcW w:w="6140" w:type="dxa"/>
            <w:vAlign w:val="bottom"/>
            <w:gridSpan w:val="3"/>
          </w:tcPr>
          <w:p>
            <w:pPr>
              <w:jc w:val="center"/>
              <w:ind w:left="75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406-982-7276</w:t>
            </w:r>
          </w:p>
        </w:tc>
        <w:tc>
          <w:tcPr>
            <w:tcW w:w="12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111125</wp:posOffset>
            </wp:positionV>
            <wp:extent cx="1380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5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0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60" w:type="dxa"/>
            <w:vAlign w:val="bottom"/>
          </w:tcPr>
          <w:p>
            <w:pPr>
              <w:spacing w:after="0"/>
              <w:rPr>
                <w:sz w:val="21"/>
                <w:szCs w:val="21"/>
                <w:color w:val="auto"/>
              </w:rPr>
            </w:pPr>
          </w:p>
        </w:tc>
        <w:tc>
          <w:tcPr>
            <w:tcW w:w="20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FICO</w:t>
            </w:r>
          </w:p>
        </w:tc>
        <w:tc>
          <w:tcPr>
            <w:tcW w:w="6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9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00"/>
        </w:trPr>
        <w:tc>
          <w:tcPr>
            <w:tcW w:w="3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37" w:lineRule="exact"/>
        <w:rPr>
          <w:sz w:val="20"/>
          <w:szCs w:val="20"/>
          <w:color w:val="auto"/>
        </w:rPr>
      </w:pPr>
    </w:p>
    <w:p>
      <w:pPr>
        <w:ind w:left="860" w:hanging="326"/>
        <w:spacing w:after="0" w:line="207" w:lineRule="exact"/>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number of shares of common stock outstanding on April 15, 2022 was 25,932,030 (excluding 62,924,753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1640" w:type="dxa"/>
            <w:vAlign w:val="bottom"/>
            <w:tcBorders>
              <w:top w:val="single" w:sz="8" w:color="0000FF"/>
            </w:tcBorders>
            <w:gridSpan w:val="5"/>
          </w:tcPr>
          <w:p>
            <w:pPr>
              <w:spacing w:after="0"/>
              <w:rPr>
                <w:sz w:val="22"/>
                <w:szCs w:val="22"/>
                <w:color w:val="auto"/>
              </w:rPr>
            </w:pPr>
          </w:p>
        </w:tc>
        <w:tc>
          <w:tcPr>
            <w:tcW w:w="3300" w:type="dxa"/>
            <w:vAlign w:val="bottom"/>
            <w:gridSpan w:val="2"/>
          </w:tcPr>
          <w:p>
            <w:pPr>
              <w:spacing w:after="0"/>
              <w:rPr>
                <w:sz w:val="22"/>
                <w:szCs w:val="22"/>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60" w:type="dxa"/>
            <w:vAlign w:val="bottom"/>
            <w:tcBorders>
              <w:top w:val="single" w:sz="8" w:color="0000FF"/>
            </w:tcBorders>
            <w:gridSpan w:val="4"/>
          </w:tcPr>
          <w:p>
            <w:pPr>
              <w:spacing w:after="0"/>
              <w:rPr>
                <w:sz w:val="18"/>
                <w:szCs w:val="18"/>
                <w:color w:val="auto"/>
              </w:rPr>
            </w:pP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3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600" w:type="dxa"/>
            <w:vAlign w:val="bottom"/>
            <w:gridSpan w:val="3"/>
          </w:tcPr>
          <w:p>
            <w:pPr>
              <w:spacing w:after="0"/>
              <w:rPr>
                <w:sz w:val="22"/>
                <w:szCs w:val="22"/>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18"/>
                <w:szCs w:val="18"/>
                <w:color w:val="auto"/>
              </w:rPr>
            </w:pPr>
          </w:p>
        </w:tc>
        <w:tc>
          <w:tcPr>
            <w:tcW w:w="5120" w:type="dxa"/>
            <w:vAlign w:val="bottom"/>
            <w:gridSpan w:val="8"/>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4120" w:type="dxa"/>
            <w:vAlign w:val="bottom"/>
            <w:gridSpan w:val="4"/>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4680" w:type="dxa"/>
            <w:vAlign w:val="bottom"/>
            <w:gridSpan w:val="6"/>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18"/>
                <w:szCs w:val="18"/>
                <w:color w:val="auto"/>
              </w:rPr>
            </w:pPr>
          </w:p>
        </w:tc>
        <w:tc>
          <w:tcPr>
            <w:tcW w:w="5140" w:type="dxa"/>
            <w:vAlign w:val="bottom"/>
            <w:gridSpan w:val="9"/>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3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 thousands, except par value data)</w:t>
            </w: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312,107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43,513</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788,185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1,567,776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7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maturities on debt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1,664,674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1,009,018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1,678,718</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1,000 shares authorized; none issued and outstanding)</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88,857 shares issued and 25,982 and 27,568</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outstanding at March 31, 2022 and September 30, 2021, respectively)</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1,237,348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(62,875 and 61,289 shares at March 31, 2022 and September 30, 2021, respectively)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(3,857,855)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2,774,485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2,585,143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1,567,776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340" w:type="dxa"/>
            <w:vAlign w:val="bottom"/>
          </w:tcPr>
          <w:p>
            <w:pPr>
              <w:spacing w:after="0"/>
              <w:rPr>
                <w:sz w:val="16"/>
                <w:szCs w:val="16"/>
                <w:color w:val="auto"/>
              </w:rPr>
            </w:pPr>
          </w:p>
        </w:tc>
        <w:tc>
          <w:tcPr>
            <w:tcW w:w="264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149,088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252,006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313,370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643,775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177,861</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191,183</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Gains on product line asset sales and business divestiture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205,138</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230,162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411,913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447,855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179,784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24,618</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5"/>
                <w:szCs w:val="5"/>
                <w:color w:val="auto"/>
              </w:rPr>
            </w:pPr>
          </w:p>
        </w:tc>
        <w:tc>
          <w:tcPr>
            <w:tcW w:w="1140" w:type="dxa"/>
            <w:vAlign w:val="bottom"/>
            <w:vMerge w:val="restart"/>
          </w:tcPr>
          <w:p>
            <w:pPr>
              <w:jc w:val="center"/>
              <w:ind w:right="109"/>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line="20" w:lineRule="exact"/>
              <w:rPr>
                <w:sz w:val="1"/>
                <w:szCs w:val="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1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1,208,365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(4,339,039)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2,670,102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(77,992)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(538,299)</w:t>
            </w: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27,936</w:t>
            </w: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treasury stock under employee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9,742</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(263,971)</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104,383</w:t>
            </w:r>
          </w:p>
        </w:tc>
        <w:tc>
          <w:tcPr>
            <w:tcW w:w="0" w:type="dxa"/>
            <w:vAlign w:val="bottom"/>
          </w:tcPr>
          <w:p>
            <w:pPr>
              <w:spacing w:after="0"/>
              <w:rPr>
                <w:sz w:val="1"/>
                <w:szCs w:val="1"/>
                <w:color w:val="auto"/>
              </w:rPr>
            </w:pPr>
          </w:p>
        </w:tc>
      </w:tr>
      <w:tr>
        <w:trPr>
          <w:trHeight w:val="19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1,242,280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(4,599,242)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2,774,485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(663,416)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60" w:type="dxa"/>
            <w:vAlign w:val="bottom"/>
          </w:tcPr>
          <w:p>
            <w:pPr>
              <w:spacing w:after="0"/>
              <w:rPr>
                <w:sz w:val="22"/>
                <w:szCs w:val="22"/>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2"/>
                <w:szCs w:val="22"/>
                <w:color w:val="auto"/>
              </w:rPr>
            </w:pPr>
          </w:p>
        </w:tc>
        <w:tc>
          <w:tcPr>
            <w:tcW w:w="11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5"/>
                <w:szCs w:val="5"/>
                <w:color w:val="auto"/>
              </w:rPr>
            </w:pPr>
          </w:p>
        </w:tc>
        <w:tc>
          <w:tcPr>
            <w:tcW w:w="1140" w:type="dxa"/>
            <w:vAlign w:val="bottom"/>
            <w:vMerge w:val="restart"/>
          </w:tcPr>
          <w:p>
            <w:pPr>
              <w:jc w:val="center"/>
              <w:ind w:right="109"/>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1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3160" w:type="dxa"/>
            <w:vAlign w:val="bottom"/>
            <w:vMerge w:val="continue"/>
          </w:tcPr>
          <w:p>
            <w:pPr>
              <w:spacing w:after="0"/>
              <w:rPr>
                <w:sz w:val="9"/>
                <w:szCs w:val="9"/>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9"/>
                <w:szCs w:val="9"/>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9"/>
                <w:szCs w:val="9"/>
                <w:color w:val="auto"/>
              </w:rPr>
            </w:pPr>
          </w:p>
        </w:tc>
        <w:tc>
          <w:tcPr>
            <w:tcW w:w="114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85"/>
        </w:trPr>
        <w:tc>
          <w:tcPr>
            <w:tcW w:w="3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1,145,893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(3,035,668)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2,279,551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(65,947)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324,121</w:t>
            </w: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28,206</w:t>
            </w: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treasury stock under employee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9,359</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(205,211)</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68,674</w:t>
            </w:r>
          </w:p>
        </w:tc>
        <w:tc>
          <w:tcPr>
            <w:tcW w:w="0" w:type="dxa"/>
            <w:vAlign w:val="bottom"/>
          </w:tcPr>
          <w:p>
            <w:pPr>
              <w:spacing w:after="0"/>
              <w:rPr>
                <w:sz w:val="1"/>
                <w:szCs w:val="1"/>
                <w:color w:val="auto"/>
              </w:rPr>
            </w:pPr>
          </w:p>
        </w:tc>
      </w:tr>
      <w:tr>
        <w:trPr>
          <w:trHeight w:val="19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1,181,692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(3,239,109)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2,348,225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223,303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tcPr>
          <w:p>
            <w:pPr>
              <w:spacing w:after="0"/>
              <w:rPr>
                <w:sz w:val="20"/>
                <w:szCs w:val="20"/>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0"/>
                <w:szCs w:val="20"/>
                <w:color w:val="auto"/>
              </w:rPr>
            </w:pPr>
          </w:p>
        </w:tc>
        <w:tc>
          <w:tcPr>
            <w:tcW w:w="11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5"/>
                <w:szCs w:val="5"/>
                <w:color w:val="auto"/>
              </w:rPr>
            </w:pPr>
          </w:p>
        </w:tc>
        <w:tc>
          <w:tcPr>
            <w:tcW w:w="1140" w:type="dxa"/>
            <w:vAlign w:val="bottom"/>
            <w:vMerge w:val="restart"/>
          </w:tcPr>
          <w:p>
            <w:pPr>
              <w:jc w:val="center"/>
              <w:ind w:right="109"/>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1"/>
        </w:trPr>
        <w:tc>
          <w:tcPr>
            <w:tcW w:w="3160" w:type="dxa"/>
            <w:vAlign w:val="bottom"/>
            <w:vMerge w:val="continue"/>
          </w:tcPr>
          <w:p>
            <w:pPr>
              <w:spacing w:after="0" w:line="20" w:lineRule="exact"/>
              <w:rPr>
                <w:sz w:val="1"/>
                <w:szCs w:val="1"/>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line="20" w:lineRule="exact"/>
              <w:rPr>
                <w:sz w:val="1"/>
                <w:szCs w:val="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1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1,237,348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(3,857,855)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2,585,143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(75,854)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(110,942)</w:t>
            </w: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57,814</w:t>
            </w: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treasury stock under employee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16,148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(36,732)</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(757,553)</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189,342</w:t>
            </w:r>
          </w:p>
        </w:tc>
        <w:tc>
          <w:tcPr>
            <w:tcW w:w="0" w:type="dxa"/>
            <w:vAlign w:val="bottom"/>
          </w:tcPr>
          <w:p>
            <w:pPr>
              <w:spacing w:after="0"/>
              <w:rPr>
                <w:sz w:val="1"/>
                <w:szCs w:val="1"/>
                <w:color w:val="auto"/>
              </w:rPr>
            </w:pPr>
          </w:p>
        </w:tc>
      </w:tr>
      <w:tr>
        <w:trPr>
          <w:trHeight w:val="19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1,242,280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(4,599,242)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2,774,485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(663,416)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160" w:type="dxa"/>
            <w:vAlign w:val="bottom"/>
          </w:tcPr>
          <w:p>
            <w:pPr>
              <w:spacing w:after="0"/>
              <w:rPr>
                <w:sz w:val="24"/>
                <w:szCs w:val="24"/>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4"/>
                <w:szCs w:val="24"/>
                <w:color w:val="auto"/>
              </w:rPr>
            </w:pPr>
          </w:p>
        </w:tc>
        <w:tc>
          <w:tcPr>
            <w:tcW w:w="11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5"/>
                <w:szCs w:val="5"/>
                <w:color w:val="auto"/>
              </w:rPr>
            </w:pPr>
          </w:p>
        </w:tc>
        <w:tc>
          <w:tcPr>
            <w:tcW w:w="1140" w:type="dxa"/>
            <w:vAlign w:val="bottom"/>
            <w:vMerge w:val="restart"/>
          </w:tcPr>
          <w:p>
            <w:pPr>
              <w:jc w:val="center"/>
              <w:ind w:right="109"/>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0"/>
        </w:trPr>
        <w:tc>
          <w:tcPr>
            <w:tcW w:w="3160" w:type="dxa"/>
            <w:vAlign w:val="bottom"/>
            <w:vMerge w:val="continue"/>
          </w:tcPr>
          <w:p>
            <w:pPr>
              <w:spacing w:after="0" w:line="20" w:lineRule="exact"/>
              <w:rPr>
                <w:sz w:val="1"/>
                <w:szCs w:val="1"/>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line="20" w:lineRule="exact"/>
              <w:rPr>
                <w:sz w:val="1"/>
                <w:szCs w:val="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1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1,218,583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(2,997,856)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2,193,059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331,082</w:t>
            </w: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53,338</w:t>
            </w: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treasury stock under employee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(90,229)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13,964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(76,263)</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(255,222)</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155,166</w:t>
            </w:r>
          </w:p>
        </w:tc>
        <w:tc>
          <w:tcPr>
            <w:tcW w:w="0" w:type="dxa"/>
            <w:vAlign w:val="bottom"/>
          </w:tcPr>
          <w:p>
            <w:pPr>
              <w:spacing w:after="0"/>
              <w:rPr>
                <w:sz w:val="1"/>
                <w:szCs w:val="1"/>
                <w:color w:val="auto"/>
              </w:rPr>
            </w:pPr>
          </w:p>
        </w:tc>
      </w:tr>
      <w:tr>
        <w:trPr>
          <w:trHeight w:val="19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15,202</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1,181,692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(3,239,109)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2,348,225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223,303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189,342</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53,338</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loss on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 on product line asset sales and business divestiture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on sales and abandonment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64,304</w:t>
            </w:r>
          </w:p>
        </w:tc>
      </w:tr>
      <w:tr>
        <w:trPr>
          <w:trHeight w:val="230"/>
        </w:trPr>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r>
      <w:tr>
        <w:trPr>
          <w:trHeight w:val="229"/>
        </w:trPr>
        <w:tc>
          <w:tcPr>
            <w:tcW w:w="8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30"/>
        </w:trPr>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(46,147)</w:t>
            </w:r>
          </w:p>
        </w:tc>
      </w:tr>
      <w:tr>
        <w:trPr>
          <w:trHeight w:val="229"/>
        </w:trPr>
        <w:tc>
          <w:tcPr>
            <w:tcW w:w="8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r>
      <w:tr>
        <w:trPr>
          <w:trHeight w:val="229"/>
        </w:trPr>
        <w:tc>
          <w:tcPr>
            <w:tcW w:w="82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23"/>
        </w:trPr>
        <w:tc>
          <w:tcPr>
            <w:tcW w:w="82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231,470</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product line asset sales and business divestiture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82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revolving line of credit and term loan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251,000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revolving line of credit and term loan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debt issuance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treasury stock under employee stock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(760,861)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(250,356)</w:t>
            </w:r>
          </w:p>
        </w:tc>
      </w:tr>
      <w:tr>
        <w:trPr>
          <w:trHeight w:val="223"/>
        </w:trPr>
        <w:tc>
          <w:tcPr>
            <w:tcW w:w="82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(263,162)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(196,795)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174,219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197,836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76"/>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income taxes, net of refunds of $1,003 and $288 during the six-month periods ended March 31,</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and 2021, respectively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Unsettled repurchases of common stock</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r>
    </w:tbl>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Isaac Corporation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Isaac Corporation (NYSE: FICO) (together with its consolidated subsidiaries, the “Company,” which may also be referred to in this report as</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“us,” “our,” or “FICO”) is a leading applied analytics company. We were founded in 1956 on the premise that data, used intelligently, can improve business decisions. Today, FICO’s software and the widely used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companies, public agencies, and organizations in other industries. We also serve consumers through online services that enable people to access and understand their FICO Scores — the standard measure in the U.S. of consumer credit risk — empowering them to increase financial literacy and manage their financial health.</w:t>
      </w:r>
    </w:p>
    <w:p>
      <w:pPr>
        <w:spacing w:after="0" w:line="3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2021. The interim financial information contained in this report is not necessarily indicative of the results to be expected for any other interim period or for the entire fiscal year.</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FICO and its subsidiaries. All intercompany accounts and transactions have been eliminated.</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2021, we consolidated our operating segment structure from three to two by merging Applications and Decision Management Software segments into the new Software segment. As a result, we modified the presentation of our segment financial information with retrospective application to all prior periods presented. Refer to Note 18 - Segment Information to the consolidated financial statements included in Part II. Item 8 of our 2021 Annual Report on Form 10-K for further information.</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effective beginning in the fourth quarter of fiscal 2021, we changed the classification of revenue from transactional and maintenance, professional services, and license to on-premises and SaaS software, professional services and scores, which is reflected in our condensed consolidated statements of income and comprehensive income, as well as our disclosures on disaggregation of revenue, to better align with our business strategy. Previously reported amounts in the condensed consolidated statements of income and comprehensive income and notes to the condensed consolidated financial statements were adjusted to conform to the current presentation.</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make estimates and assumptions that affect the amounts reported in the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the impact of the COVID-19 pandemic continues to evolve, estimates and assumptions about future events and their effects cannot be determined with certainty and therefore require increased judgment. These estimates and assumptions may change in future periods and will be recognized in the condensed consolidated financial statements as new events occur and additional information becomes known. To the extent our actual results differ materially from those estimates and assumptions, our future financial statements could be affected. For more information, see Part II, Item 1A “Risk Factors” of this Quarterly Report on Form 10-Q.</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No. 2021-08,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(Topic 805): Accounting for Contract Assets and Contract Liabilities from Contracts with Customers</w:t>
      </w:r>
      <w:r>
        <w:rPr>
          <w:rFonts w:ascii="Times New Roman" w:cs="Times New Roman" w:eastAsia="Times New Roman" w:hAnsi="Times New Roman"/>
          <w:sz w:val="18"/>
          <w:szCs w:val="18"/>
          <w:color w:val="auto"/>
        </w:rPr>
        <w:t>” (“ASU 2021-08”). ASU 2021-08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an acquirer in a business combination to recognize and measure contract assets and contract liabilities from acquired contracts using the revenue recognition guidance under Accounting Standards Codification Topic 606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condensed consolidated financial statements.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expect that any other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203"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uses unadjusted quoted prices that are available in active markets for identical assets or liabilities. Our Level 1 assets were comprised of money market funds and certain marketable securities and our Level 1 liabilities included senior notes as of March 31, 2022 and September 30, 2021.</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March 31, 2022 and September 30, 2021.</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March 31, 2022 and September 30,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represent financial assets that we measured at fair value on a recurring basis at March 31, 2022 and September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3"/>
                <w:szCs w:val="13"/>
                <w:color w:val="auto"/>
              </w:rPr>
            </w:pPr>
          </w:p>
        </w:tc>
        <w:tc>
          <w:tcPr>
            <w:tcW w:w="1360" w:type="dxa"/>
            <w:vAlign w:val="bottom"/>
            <w:vMerge w:val="restart"/>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0" w:type="dxa"/>
            <w:vAlign w:val="bottom"/>
          </w:tcPr>
          <w:p>
            <w:pPr>
              <w:spacing w:after="0"/>
              <w:rPr>
                <w:sz w:val="1"/>
                <w:szCs w:val="1"/>
                <w:color w:val="auto"/>
              </w:rPr>
            </w:pPr>
          </w:p>
        </w:tc>
      </w:tr>
      <w:tr>
        <w:trPr>
          <w:trHeight w:val="148"/>
        </w:trPr>
        <w:tc>
          <w:tcPr>
            <w:tcW w:w="7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Instruments</w:t>
            </w:r>
          </w:p>
        </w:tc>
        <w:tc>
          <w:tcPr>
            <w:tcW w:w="3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2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50,194</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0" w:type="dxa"/>
            <w:vAlign w:val="bottom"/>
          </w:tcPr>
          <w:p>
            <w:pPr>
              <w:spacing w:after="0"/>
              <w:rPr>
                <w:sz w:val="1"/>
                <w:szCs w:val="1"/>
                <w:color w:val="auto"/>
              </w:rPr>
            </w:pP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81,497</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81,497</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September</w:t>
            </w:r>
          </w:p>
        </w:tc>
        <w:tc>
          <w:tcPr>
            <w:tcW w:w="0" w:type="dxa"/>
            <w:vAlign w:val="bottom"/>
          </w:tcPr>
          <w:p>
            <w:pPr>
              <w:spacing w:after="0"/>
              <w:rPr>
                <w:sz w:val="1"/>
                <w:szCs w:val="1"/>
                <w:color w:val="auto"/>
              </w:rPr>
            </w:pPr>
          </w:p>
        </w:tc>
      </w:tr>
      <w:tr>
        <w:trPr>
          <w:trHeight w:val="148"/>
        </w:trPr>
        <w:tc>
          <w:tcPr>
            <w:tcW w:w="7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Instruments</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2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0" w:type="dxa"/>
            <w:vAlign w:val="bottom"/>
          </w:tcPr>
          <w:p>
            <w:pPr>
              <w:spacing w:after="0"/>
              <w:rPr>
                <w:sz w:val="1"/>
                <w:szCs w:val="1"/>
                <w:color w:val="auto"/>
              </w:rPr>
            </w:pP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32,078</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line="281"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our condensed consolidated balance sheets at March 31, 2022 and September 30, 2021. Not included in these tables are cash deposits of $124.0 million and $195.2 million at March 31, 2022 and September 30, 2021,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March 31, 2022 and September 30, 2021.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7 for the fair value of our senior notes.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of the fair value hierarchy during the quarters and six-month periods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Derivative Financial Instruments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8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Foreign 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our outstanding foreign currency forward contracts, by currency, at March 31, 2022 and September 30,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1"/>
                <w:szCs w:val="11"/>
                <w:color w:val="auto"/>
              </w:rPr>
            </w:pP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16,500</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9,223</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7,571</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8"/>
        </w:trPr>
        <w:tc>
          <w:tcPr>
            <w:tcW w:w="6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1"/>
                <w:szCs w:val="11"/>
                <w:color w:val="auto"/>
              </w:rPr>
            </w:pP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17,100</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11,467</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6,650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foreign currency forward contracts were entered into on March 31, 2022 and September 30, 2021, respectively; therefore, their fair value was $0 on each of these dates.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Gains (losses) on derivative financial instruments were recorded in our condensed consolidated statements of income and comprehensive income as a component of other income (expense), net, and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00" w:type="dxa"/>
            <w:vAlign w:val="bottom"/>
          </w:tcPr>
          <w:p>
            <w:pPr>
              <w:spacing w:after="0"/>
              <w:rPr>
                <w:sz w:val="16"/>
                <w:szCs w:val="16"/>
                <w:color w:val="auto"/>
              </w:rPr>
            </w:pP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foreign currency forward contracts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(576)</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21"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8"/>
          <w:szCs w:val="18"/>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comprehensive income. Amortization expense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8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technology</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relationships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Estimated future intangible asset amortization expense associated with intangible assets existing at March 31, 2022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300" w:type="dxa"/>
            <w:vAlign w:val="bottom"/>
          </w:tcPr>
          <w:p>
            <w:pPr>
              <w:spacing w:after="0"/>
              <w:rPr>
                <w:sz w:val="16"/>
                <w:szCs w:val="16"/>
                <w:color w:val="auto"/>
              </w:rPr>
            </w:pPr>
          </w:p>
        </w:tc>
        <w:tc>
          <w:tcPr>
            <w:tcW w:w="15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(excluding the six months ended March 31, 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23"/>
        </w:trPr>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1"/>
        </w:trPr>
        <w:tc>
          <w:tcPr>
            <w:tcW w:w="9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to goodwill during the six months ended March 31, 2022, both in total and as allocated to our segments. We have not recognized any goodwill impairment losses to date.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40" w:type="dxa"/>
            <w:vAlign w:val="bottom"/>
          </w:tcPr>
          <w:p>
            <w:pPr>
              <w:spacing w:after="0"/>
              <w:rPr>
                <w:sz w:val="16"/>
                <w:szCs w:val="16"/>
                <w:color w:val="auto"/>
              </w:rPr>
            </w:pPr>
          </w:p>
        </w:tc>
        <w:tc>
          <w:tcPr>
            <w:tcW w:w="142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641,537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788,185</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783,744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Composition of Certain Financial Statement Captions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54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3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composition of property and equipment, net at March 31, 2022 and September 30, 2021:</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24"/>
                <w:szCs w:val="24"/>
                <w:color w:val="auto"/>
              </w:rPr>
            </w:pPr>
          </w:p>
        </w:tc>
        <w:tc>
          <w:tcPr>
            <w:tcW w:w="1420" w:type="dxa"/>
            <w:vAlign w:val="bottom"/>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124,966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(97,053)</w:t>
            </w:r>
          </w:p>
        </w:tc>
        <w:tc>
          <w:tcPr>
            <w:tcW w:w="0" w:type="dxa"/>
            <w:vAlign w:val="bottom"/>
          </w:tcPr>
          <w:p>
            <w:pPr>
              <w:spacing w:after="0"/>
              <w:rPr>
                <w:sz w:val="1"/>
                <w:szCs w:val="1"/>
                <w:color w:val="auto"/>
              </w:rPr>
            </w:pPr>
          </w:p>
        </w:tc>
      </w:tr>
      <w:tr>
        <w:trPr>
          <w:trHeight w:val="223"/>
        </w:trPr>
        <w:tc>
          <w:tcPr>
            <w:tcW w:w="5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Revolving Line of Credit and Term Loan</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a $600 million unsecured revolving line of credit with a syndicate of banks that expires on August 19, 2026. Borrowings under the credit facility can be used for working capital and general corporate purposes and may also be used for the refinancing of existing debt, acquisitions, and the repurchase of our common stock. Interest on amounts borrowed under the credit facility is based on (i) an adjusted base rate, which is the greatest of (a) the prime rate, (b) the Federal Funds rate plus 0.500%, and (c) the one-month LIBOR rate plus 1.000%, plus, in each case, an applicable margin, or (ii) an adjusted LIBOR rate plus an applicable margin. The applicable margin for base rate borrowings ranges from 0% to 0.750% and for LIBOR borrowings ranges from 1.000% to 1.750%, and is determined based on our consolidated leverage ratio. In addition, we must pay credit facility fees. The credit facility contains certain restrictive covenants including a maximum consolidated leverage ratio of 3.50, subject to a step up to 4.00 following certain permitted acquisitions; and a minimum interest coverage ratio of 3.00. The credit agreement also contains other covenants typical of unsecured facilities.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we have a term loan in an initial principal amount of $300 million. The term loan is subject to the same pricing and covenants as the revolving line of credit and matures at the expiration of the facility on August 19, 2026. The term loan requires principal payments in consecutive quarterly installments of $3.75 million on the last business day of each quarter.</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2022, we had $215.0 million in borrowings outstanding under the revolving credit facility at a weighted-average interest rate of 1.932%, and $296.3 million in outstanding balance of the term loan at an interest rate of 1.955%, of which $381.3 million was classified as a long-term liability and recorded in long-term debt within the accompanying condensed consolidated balance sheets. We were in compliance with all financial covenants under this credit facility as of March 31,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Senior Notes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December 6, 2019, we issued $350 million of senior notes in a private offering to qualified institutional investors (the “2019 Senior Notes”). The 2019 Senior Notes require interest payments semi-annually at a rate of 4.00% per annum and will mature on June 15, 2028.</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indentures for the Senior Notes contain certain covenants typical of unsecured obligations.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face values and fair values for the Senior Notes at March 31, 2022 and September 30,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278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3"/>
        </w:trPr>
        <w:tc>
          <w:tcPr>
            <w:tcW w:w="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7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2018</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453,000</w:t>
            </w:r>
          </w:p>
        </w:tc>
      </w:tr>
      <w:tr>
        <w:trPr>
          <w:trHeight w:val="229"/>
        </w:trPr>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The 2019</w:t>
            </w: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Notes and the 2021 Senior Notes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357,000</w:t>
            </w:r>
          </w:p>
        </w:tc>
      </w:tr>
      <w:tr>
        <w:trPr>
          <w:trHeight w:val="248"/>
        </w:trPr>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1,287,875</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79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53" w:lineRule="exact"/>
        <w:rPr>
          <w:sz w:val="20"/>
          <w:szCs w:val="20"/>
          <w:color w:val="auto"/>
        </w:rPr>
      </w:pPr>
    </w:p>
    <w:p>
      <w:pPr>
        <w:ind w:firstLine="8"/>
        <w:spacing w:after="0" w:line="282"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carrying value of the Senior Notes was the face value reduced by the net debt issuance costs of $15.7 million and $9.0 million at March 31, 2022 and September 30, 2021, respectively.</w:t>
      </w:r>
    </w:p>
    <w:p>
      <w:pPr>
        <w:spacing w:after="0" w:line="266" w:lineRule="exact"/>
        <w:rPr>
          <w:sz w:val="20"/>
          <w:szCs w:val="20"/>
          <w:color w:val="auto"/>
        </w:rPr>
      </w:pPr>
    </w:p>
    <w:p>
      <w:pPr>
        <w:ind w:left="240" w:right="7900" w:hanging="232"/>
        <w:spacing w:after="0" w:line="458" w:lineRule="auto"/>
        <w:tabs>
          <w:tab w:leader="none" w:pos="19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from Contracts with Customers </w:t>
      </w:r>
      <w:r>
        <w:rPr>
          <w:rFonts w:ascii="Times New Roman" w:cs="Times New Roman" w:eastAsia="Times New Roman" w:hAnsi="Times New Roman"/>
          <w:sz w:val="18"/>
          <w:szCs w:val="18"/>
          <w:b w:val="1"/>
          <w:bCs w:val="1"/>
          <w:i w:val="1"/>
          <w:iCs w:val="1"/>
          <w:color w:val="auto"/>
        </w:rPr>
        <w:t>Disaggregation of Revenue</w:t>
      </w:r>
    </w:p>
    <w:p>
      <w:pPr>
        <w:spacing w:after="0" w:line="24"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provide information about disaggregated revenue by primary geographical market: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Quarter Ended March 31, 2022</w:t>
            </w:r>
          </w:p>
        </w:tc>
        <w:tc>
          <w:tcPr>
            <w:tcW w:w="168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175,091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104,664</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279,755</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183,742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173,453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357,195</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523"/>
        </w:trPr>
        <w:tc>
          <w:tcPr>
            <w:tcW w:w="4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Quarter Ended March 31, 2021</w:t>
            </w:r>
          </w:p>
        </w:tc>
        <w:tc>
          <w:tcPr>
            <w:tcW w:w="1680" w:type="dxa"/>
            <w:vAlign w:val="bottom"/>
          </w:tcPr>
          <w:p>
            <w:pPr>
              <w:spacing w:after="0"/>
              <w:rPr>
                <w:sz w:val="24"/>
                <w:szCs w:val="24"/>
                <w:color w:val="auto"/>
              </w:rPr>
            </w:pPr>
          </w:p>
        </w:tc>
      </w:tr>
      <w:tr>
        <w:trPr>
          <w:trHeight w:val="23"/>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161,787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261,459</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168,719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162,642</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331,361</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Six Months Ended March 31, 2022</w:t>
            </w:r>
          </w:p>
        </w:tc>
        <w:tc>
          <w:tcPr>
            <w:tcW w:w="168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340,803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203,849</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544,652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60,633</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353,229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326,327</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679,556</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02"/>
        </w:trPr>
        <w:tc>
          <w:tcPr>
            <w:tcW w:w="4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Six Months Ended March 31, 2021</w:t>
            </w:r>
          </w:p>
        </w:tc>
        <w:tc>
          <w:tcPr>
            <w:tcW w:w="1680" w:type="dxa"/>
            <w:vAlign w:val="bottom"/>
          </w:tcPr>
          <w:p>
            <w:pPr>
              <w:spacing w:after="0"/>
              <w:rPr>
                <w:sz w:val="24"/>
                <w:szCs w:val="24"/>
                <w:color w:val="auto"/>
              </w:rPr>
            </w:pPr>
          </w:p>
        </w:tc>
      </w:tr>
      <w:tr>
        <w:trPr>
          <w:trHeight w:val="23"/>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302,500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207,696</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510,196</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313,370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330,405</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643,775</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our Software segment by deployment method: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1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40" w:type="dxa"/>
            <w:vAlign w:val="bottom"/>
          </w:tcPr>
          <w:p>
            <w:pPr>
              <w:spacing w:after="0"/>
              <w:rPr>
                <w:sz w:val="16"/>
                <w:szCs w:val="16"/>
                <w:color w:val="auto"/>
              </w:rPr>
            </w:pPr>
          </w:p>
        </w:tc>
        <w:tc>
          <w:tcPr>
            <w:tcW w:w="24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02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On-premises software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0"/>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SaaS software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62,120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122,093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155"/>
        </w:trPr>
        <w:tc>
          <w:tcPr>
            <w:tcW w:w="18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on-premises and</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149,088</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275,426</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252,006</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SaaS software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our Software segment by product features: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1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40" w:type="dxa"/>
            <w:vAlign w:val="bottom"/>
          </w:tcPr>
          <w:p>
            <w:pPr>
              <w:spacing w:after="0"/>
              <w:rPr>
                <w:sz w:val="16"/>
                <w:szCs w:val="16"/>
                <w:color w:val="auto"/>
              </w:rPr>
            </w:pPr>
          </w:p>
        </w:tc>
        <w:tc>
          <w:tcPr>
            <w:tcW w:w="24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02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software (*)</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Non-platform software</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222,569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164"/>
        </w:trPr>
        <w:tc>
          <w:tcPr>
            <w:tcW w:w="17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on-premises and</w:t>
            </w: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149,088</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275,426</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252,006</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7"/>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SaaS software</w:t>
            </w: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8"/>
        <w:spacing w:after="0" w:line="266"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FICO platform software is a set of interoperable services which use software assets owned and/or governed by FICO for building solutions and which conform to FICO architectural standards based on key elements of Cloud Native Computing design principles. These standards encompass shared security context and pre-integration using FICO standard application programming interfaces for all services.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our Software segment by timing of revenue recognition: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1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4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02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Software recognized at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 point in time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24,738</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Software recognized</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over contract term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122,548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113,707</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241,727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227,268</w:t>
            </w: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156"/>
        </w:trPr>
        <w:tc>
          <w:tcPr>
            <w:tcW w:w="17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on-premises and</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149,088</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275,426</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252,006</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6"/>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SaaS software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141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40" w:hanging="332"/>
        <w:spacing w:after="0" w:line="246"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license portion of our on-premises subscription software and perpetual license, both of which are recognized when the software is made available to the customer, or at the start of the subscription.</w:t>
      </w:r>
    </w:p>
    <w:p>
      <w:pPr>
        <w:ind w:left="340" w:hanging="332"/>
        <w:spacing w:after="0" w:line="258"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maintenance portion and usage-based fees of our on-premises subscription software, maintenance revenue on perpetual licenses, as well as SaaS revenue.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our Scores segment by distribution method: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1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6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00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r>
      <w:tr>
        <w:trPr>
          <w:trHeight w:val="23"/>
        </w:trPr>
        <w:tc>
          <w:tcPr>
            <w:tcW w:w="1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1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0"/>
        </w:trPr>
        <w:tc>
          <w:tcPr>
            <w:tcW w:w="17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Business-to-business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4"/>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Scores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119,319</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184"/>
        </w:trPr>
        <w:tc>
          <w:tcPr>
            <w:tcW w:w="1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Business-to-consumer</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1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Scores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93,907</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8"/>
        </w:trPr>
        <w:tc>
          <w:tcPr>
            <w:tcW w:w="1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168,719</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derive a substantial portion of revenues from our contracts with the three major consumer reporting agencies, TransUnion, Equifax and Experian. Revenues collectively generated by agreements with these customers accounted for 39% of our total revenues in each of the quarters ended March 31, 2022 and 2021, with all three consumer reporting agencies each contributing more than 10% of our total revenues in each of the quarters ended March 31, 2022 and 2021. Revenues collectively generated by agreements with these customers accounted for 38% and 37% of our total revenues in the six months ended March 31, 2022 and 2021, respectively, with two and three consumer reporting agencies each contributing more than 10% of our total revenues in the six months ended March 31, 2022 and 2021, respectively.</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at March 31, 2022 and September 30, 2021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3"/>
        </w:trPr>
        <w:tc>
          <w:tcPr>
            <w:tcW w:w="16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190"/>
        </w:trPr>
        <w:tc>
          <w:tcPr>
            <w:tcW w:w="1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4"/>
          </w:tcPr>
          <w:p>
            <w:pPr>
              <w:jc w:val="right"/>
              <w:ind w:right="13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198,305</w:t>
            </w: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Unbilled</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155,408</w:t>
            </w:r>
          </w:p>
        </w:tc>
      </w:tr>
      <w:tr>
        <w:trPr>
          <w:trHeight w:val="223"/>
        </w:trPr>
        <w:tc>
          <w:tcPr>
            <w:tcW w:w="1640" w:type="dxa"/>
            <w:vAlign w:val="bottom"/>
            <w:shd w:val="clear" w:color="auto" w:fill="CCEEFF"/>
          </w:tcPr>
          <w:p>
            <w:pPr>
              <w:spacing w:after="0"/>
              <w:rPr>
                <w:sz w:val="19"/>
                <w:szCs w:val="19"/>
                <w:color w:val="auto"/>
              </w:rPr>
            </w:pPr>
          </w:p>
        </w:tc>
        <w:tc>
          <w:tcPr>
            <w:tcW w:w="5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353,713</w:t>
            </w: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22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349,559</w:t>
            </w:r>
          </w:p>
        </w:tc>
      </w:tr>
      <w:tr>
        <w:trPr>
          <w:trHeight w:val="223"/>
        </w:trPr>
        <w:tc>
          <w:tcPr>
            <w:tcW w:w="7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long-term receivables (*)</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(37,452)</w:t>
            </w:r>
          </w:p>
        </w:tc>
      </w:tr>
      <w:tr>
        <w:trPr>
          <w:trHeight w:val="248"/>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receivables (*)</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312,107</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1640" w:type="dxa"/>
            <w:vAlign w:val="bottom"/>
            <w:tcBorders>
              <w:bottom w:val="single" w:sz="8" w:color="auto"/>
            </w:tcBorders>
          </w:tcPr>
          <w:p>
            <w:pPr>
              <w:spacing w:after="0"/>
              <w:rPr>
                <w:sz w:val="13"/>
                <w:szCs w:val="13"/>
                <w:color w:val="auto"/>
              </w:rPr>
            </w:pPr>
          </w:p>
        </w:tc>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184" w:lineRule="exact"/>
        <w:rPr>
          <w:sz w:val="20"/>
          <w:szCs w:val="20"/>
          <w:color w:val="auto"/>
        </w:rPr>
      </w:pPr>
    </w:p>
    <w:p>
      <w:pPr>
        <w:ind w:firstLine="8"/>
        <w:spacing w:after="0" w:line="282" w:lineRule="auto"/>
        <w:tabs>
          <w:tab w:leader="none" w:pos="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receivables and long-term receivables were recorded in accounts receivable, net and other assets, respectively, within the accompanying condensed consolidated balance sheets.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Deferred revenue primarily relates to our maintenance and SaaS contracts billed annually in advance and generally recognized ratably over the term of the service period. Significant changes in the deferred revenues balances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30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700" w:type="dxa"/>
            <w:vAlign w:val="bottom"/>
          </w:tcPr>
          <w:p>
            <w:pPr>
              <w:spacing w:after="0"/>
              <w:rPr>
                <w:sz w:val="16"/>
                <w:szCs w:val="16"/>
                <w:color w:val="auto"/>
              </w:rPr>
            </w:pPr>
          </w:p>
        </w:tc>
      </w:tr>
      <w:tr>
        <w:trPr>
          <w:trHeight w:val="23"/>
        </w:trPr>
        <w:tc>
          <w:tcPr>
            <w:tcW w:w="16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16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r>
      <w:tr>
        <w:trPr>
          <w:trHeight w:val="202"/>
        </w:trPr>
        <w:tc>
          <w:tcPr>
            <w:tcW w:w="164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beginning balance (*)</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110,763</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122,141</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the deferred revenues balance at the beginning of the period</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(70,160)</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(75,600)</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billings, excluding amounts recognized as revenue during the period</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66,292</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78,945</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Reclassified as liabilities related to assets held for sale</w:t>
            </w:r>
          </w:p>
        </w:tc>
        <w:tc>
          <w:tcPr>
            <w:tcW w:w="10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w:t>
            </w:r>
          </w:p>
        </w:tc>
      </w:tr>
      <w:tr>
        <w:trPr>
          <w:trHeight w:val="248"/>
        </w:trPr>
        <w:tc>
          <w:tcPr>
            <w:tcW w:w="7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ending balance (*)</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108,978</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640" w:type="dxa"/>
            <w:vAlign w:val="bottom"/>
            <w:tcBorders>
              <w:bottom w:val="single" w:sz="8" w:color="auto"/>
            </w:tcBorders>
          </w:tcPr>
          <w:p>
            <w:pPr>
              <w:spacing w:after="0"/>
              <w:rPr>
                <w:sz w:val="17"/>
                <w:szCs w:val="17"/>
                <w:color w:val="auto"/>
              </w:rPr>
            </w:pPr>
          </w:p>
        </w:tc>
        <w:tc>
          <w:tcPr>
            <w:tcW w:w="5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184" w:lineRule="exact"/>
        <w:rPr>
          <w:sz w:val="20"/>
          <w:szCs w:val="20"/>
          <w:color w:val="auto"/>
        </w:rPr>
      </w:pPr>
    </w:p>
    <w:p>
      <w:pPr>
        <w:jc w:val="both"/>
        <w:ind w:firstLine="8"/>
        <w:spacing w:after="0" w:line="261"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at March 31, 2022 included current portion of $102.5 million and long-term portion of $4.4 million that were recorded in deferred revenue and other liabilities, respectively, within the condensed consolidated balance sheets. Deferred revenues at September 30, 2021 included current portion of $105.4 million and long-term portion of $5.4 million that were recorded in deferred revenue and other liabilities, respectively, within the condensed consolidated balance sheets.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12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Usage-based revenue that will be recognized in future periods from on-premises software subscriptions;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Consumption-based variable fees from SaaS software that will be recognized in the distinct service period during which it is earned;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allocated to remaining performance obligations was $291.7 million as of March 31, 2022, approximately 52% of which we expect to recognize over the next 16 months and the remainder thereafter. Revenue allocated to remaining performance obligations was $289.0 million as of September 30,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right="9720" w:hanging="212"/>
        <w:spacing w:after="0" w:line="400" w:lineRule="auto"/>
        <w:tabs>
          <w:tab w:leader="none" w:pos="198"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i w:val="1"/>
          <w:iCs w:val="1"/>
          <w:color w:val="auto"/>
        </w:rPr>
        <w:t>Effective Tax Rate</w:t>
      </w: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21.2% and 25.2% during the quarters ended March 31, 2022 and 2021, respectively, and 20.2% and 13.7% during the six months ended March 31, 2022 and 2021,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effective tax rates for the six months ended March 31, 2022 and 2021 were both favorably impacted by the recording of excess tax benefits relating to stock awards. The impact is dependent upon grants of share-based compensation and the future stock price in relation to the fair value of awards on the grant date. The decrease in stock price for awards that vested in December 2021 has resulted in a decreased net excess tax benefit for the six months ended March 31, 2022, as compared to the six months ended March 31, 2021.</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total unrecognized tax benefit for uncertain tax positions was estimated to be $13.2 million and $10.9 million at March 31, 2022 and September 30, 2021, respectively. We recognize interest expense related to unrecognized tax benefits and penalties as part of the provision for income taxes in our condensed consolidated statements of income and comprehensive income. We accrued interest of $0.6 million and $0.4 million related to unrecognized tax benefits as of March 31, 2022 and September 30, 2021, respectively.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jc w:val="both"/>
        <w:ind w:firstLine="445"/>
        <w:spacing w:after="0" w:line="329" w:lineRule="auto"/>
        <w:rPr>
          <w:sz w:val="20"/>
          <w:szCs w:val="20"/>
          <w:color w:val="auto"/>
        </w:rPr>
      </w:pPr>
      <w:r>
        <w:rPr>
          <w:rFonts w:ascii="Times New Roman" w:cs="Times New Roman" w:eastAsia="Times New Roman" w:hAnsi="Times New Roman"/>
          <w:sz w:val="18"/>
          <w:szCs w:val="18"/>
          <w:color w:val="auto"/>
        </w:rPr>
        <w:t>The following table presents reconciliations for the numerators and denominators of basic and diluted earnings per share (“EPS”) for the quarters and six-month periods ended March 31,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340" w:type="dxa"/>
            <w:vAlign w:val="bottom"/>
          </w:tcPr>
          <w:p>
            <w:pPr>
              <w:spacing w:after="0"/>
              <w:rPr>
                <w:sz w:val="16"/>
                <w:szCs w:val="16"/>
                <w:color w:val="auto"/>
              </w:rPr>
            </w:pPr>
          </w:p>
        </w:tc>
        <w:tc>
          <w:tcPr>
            <w:tcW w:w="264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diluted and basic earnings per share:</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155,166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 —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weighted-average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29,107</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weighted-average shares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Anti-dilutive share-based awards excluded from the calculations of diluted EPS were immaterial during the periods presented.</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fourth quarter of our fiscal 2021, we reevaluated our operating segments to better align with how our chief operating decision maker (“CODM”), who is our Chief Executive Officer, evaluates performance and allocates resources. The key factors evaluated included our evolving platform strategies, our go-to market considerations, and sales of our product lines and businesses during fiscal 2021, and in particular the divestiture of our Collections and Recovery (“C&amp;R”) business in June 2021, among others. As a result, we consolidated our operating segment structure from three to two by merging Applications and Decision Management Software segments into the new Software segment. Based on this change, we determined we have two reportable segments and revised prior comparative periods to conform to the current period segment presentation. The new segments are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hanging="328"/>
        <w:spacing w:after="0"/>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Scores. </w:t>
      </w:r>
      <w:r>
        <w:rPr>
          <w:rFonts w:ascii="Times New Roman" w:cs="Times New Roman" w:eastAsia="Times New Roman" w:hAnsi="Times New Roman"/>
          <w:sz w:val="18"/>
          <w:szCs w:val="18"/>
          <w:color w:val="auto"/>
        </w:rPr>
        <w:t>This segment includes our business-to-business (“B2B”) scoring solutions and services which give our clients access to predictive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scores that can be easily integrated into their transaction streams and decision-making processes. This segment also includes our business-to-consumer (“B2C”) scoring solutions, including our myFICO.com subscription offerings.</w:t>
      </w:r>
    </w:p>
    <w:p>
      <w:pPr>
        <w:spacing w:after="0" w:line="129" w:lineRule="exact"/>
        <w:rPr>
          <w:rFonts w:ascii="Times New Roman" w:cs="Times New Roman" w:eastAsia="Times New Roman" w:hAnsi="Times New Roman"/>
          <w:sz w:val="22"/>
          <w:szCs w:val="22"/>
          <w:color w:val="auto"/>
        </w:rPr>
      </w:pPr>
    </w:p>
    <w:p>
      <w:pPr>
        <w:jc w:val="both"/>
        <w:ind w:left="660" w:hanging="328"/>
        <w:spacing w:after="0" w:line="236" w:lineRule="auto"/>
        <w:tabs>
          <w:tab w:leader="none" w:pos="655" w:val="left"/>
        </w:tabs>
        <w:numPr>
          <w:ilvl w:val="0"/>
          <w:numId w:val="1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This segment includes pre-configured analytic and decision management solutions designed for a specific type of business need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 such as account origination, customer management, customer engagement, fraud detection, financial crimes compliance, and marketing</w:t>
      </w:r>
    </w:p>
    <w:p>
      <w:pPr>
        <w:jc w:val="both"/>
        <w:ind w:left="660"/>
        <w:spacing w:after="0" w:line="229" w:lineRule="auto"/>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color w:val="auto"/>
        </w:rPr>
        <w:t>— as well as associated professional services. This segment also includes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spacing w:after="0" w:line="14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CODM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amounts are allocated to the segments from their internal cost centers as described above.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segment information for the quarters and six-month periods ended March 31, 2022 and 2021:</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 Ended March 31, 2022</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149,088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149,088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0" w:type="dxa"/>
            <w:vAlign w:val="bottom"/>
          </w:tcPr>
          <w:p>
            <w:pPr>
              <w:spacing w:after="0"/>
              <w:rPr>
                <w:sz w:val="1"/>
                <w:szCs w:val="1"/>
                <w:color w:val="auto"/>
              </w:rPr>
            </w:pPr>
          </w:p>
        </w:tc>
      </w:tr>
      <w:tr>
        <w:trPr>
          <w:trHeight w:val="229"/>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Scores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183,742</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segment revenues</w:t>
            </w: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357,195</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operating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(35,680)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(176,659)</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(35,680)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(27,936)</w:t>
            </w:r>
          </w:p>
        </w:tc>
        <w:tc>
          <w:tcPr>
            <w:tcW w:w="0" w:type="dxa"/>
            <w:vAlign w:val="bottom"/>
          </w:tcPr>
          <w:p>
            <w:pPr>
              <w:spacing w:after="0" w:line="20" w:lineRule="exact"/>
              <w:rPr>
                <w:sz w:val="1"/>
                <w:szCs w:val="1"/>
                <w:color w:val="auto"/>
              </w:rPr>
            </w:pPr>
          </w:p>
        </w:tc>
      </w:tr>
      <w:tr>
        <w:trPr>
          <w:trHeight w:val="176"/>
        </w:trPr>
        <w:tc>
          <w:tcPr>
            <w:tcW w:w="4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152,057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Unallocated other expense, net</w:t>
            </w: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0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bottom w:val="single" w:sz="8" w:color="CCEEFF"/>
            </w:tcBorders>
            <w:vMerge w:val="restart"/>
          </w:tcPr>
          <w:p>
            <w:pPr>
              <w:ind w:left="9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Quarter Ended March 31, 2021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26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37,091</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168,719</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segment revenues</w:t>
            </w: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331,361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(33,392)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(201,011)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(33,392)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(28,206)</w:t>
            </w: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other income, net</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vMerge w:val="restart"/>
          </w:tcPr>
          <w:p>
            <w:pPr>
              <w:ind w:left="9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0"/>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 March 31, 2022</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26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275,426</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353,229</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segment revenues</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353,229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326,327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(71,468)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(353,012)</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310,219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(71,468)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326,544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(57,814)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267,643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other expense,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March 31, 2021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26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252,006</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313,370</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313,370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330,405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643,775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(63,645)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(399,969)</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269,567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(63,645)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243,806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(53,338)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gains on product line asset sales and business divestiture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195,920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other income, net</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vMerge w:val="restart"/>
          </w:tcPr>
          <w:p>
            <w:pPr>
              <w:ind w:left="94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10,809</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w:t>
      </w:r>
    </w:p>
    <w:p>
      <w:pPr>
        <w:spacing w:after="0" w:line="1" w:lineRule="exact"/>
        <w:rPr>
          <w:sz w:val="20"/>
          <w:szCs w:val="20"/>
          <w:color w:val="auto"/>
        </w:rPr>
      </w:pPr>
    </w:p>
    <w:p>
      <w:pPr>
        <w:jc w:val="both"/>
        <w:ind w:firstLine="8"/>
        <w:spacing w:after="0" w:line="251" w:lineRule="auto"/>
        <w:tabs>
          <w:tab w:leader="none" w:pos="24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their characteristics, performance, sales potential or effect in the hands of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this Quarterly Report on Form 10-Q.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We were founded in 1956 on the premise that data, used intelligently, can improve business decisions. Today, FICO’s software and the widely used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companies, public agencies, and organizations in other industries. We also serve consumers through online services that enable people to access and understand their FICO Scores — the standard measure in the U.S. of consumer credit risk — empowering them to increase financial literacy and manage their financial health.</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business consists of two operating segments: Scores and Software.</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Scores segment includes our business-to-business (“B2B”) scoring solutions and services which give our clients access to predictive credit and other scores that can be easily integrated into their transaction workflows and decision-making processes. This segment also includes our business-to-consumer (“B2C”) scoring solutions, including our myFICO.com subscription offerings.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Software segment includes pre-configured analytic and decision management solutions designed for a specific type of business need or process</w:t>
      </w:r>
    </w:p>
    <w:p>
      <w:pPr>
        <w:spacing w:after="0" w:line="2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such as account origination, customer management, customer engagement, fraud detection, financial crimes compliance, and marketing — as well as associated professional services. This segment also includes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Due to the COVID-19 pandemic, we continue to conduct business with substantial modifications to employee travel and work locations. We expect these modifications to remain in place throughout calendar year 2022, along with substantially modified interactions with customers and suppliers, among other adjustments. We have maintained a “Remote Work Policy” providing our employees with valued flexibility. While we have not experienced material disruptions to our operations from the COVID-19 pandemic, we are unable to predict the full impact that the COVID-19 pandemic will have on our operations and future financial performance, including demand for our offerings, impact to our customers and partners, actions that may be taken by governmental authorities, and other factors identified in “Risk Factors” in Part II, Item 1A of this Report.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the quarter and six months ended March 31, 2022</w:t>
      </w:r>
    </w:p>
    <w:p>
      <w:pPr>
        <w:spacing w:after="0" w:line="121"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revenue was $357.2 million during the quarter ended March 31, 2022, an 8% increase from the quarter ended March 31, 2021, and $679.6 million during the six months ended March 31, 2022, a 6% increase from the six months ended March 31, 2021.</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revenue for our Scores segment was $183.7 million during the quarter ended March 31, 2022, a 9% increase from the quarter ended March 31, 2021, and $353.2 million during the six months ended March 31, 2022, a 13% increase from the six months ended March 31, 2021.</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for our Software segment as of March 31, 2022 was $550.3 million, a 11% increase from March 31, 2021, excluding divestitures.</w:t>
      </w:r>
    </w:p>
    <w:p>
      <w:pPr>
        <w:ind w:left="660" w:hanging="328"/>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Dollar-Based Net Retention Rate for our Software segment was 110% during the quarter ended March 31, 2022, excluding divestitures.</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income was $152.1 million during the quarter ended March 31, 2022, a 50% increase from the quarter ended March 31, 2021, and $267.6 million during the six months ended March 31, 2022, a 37% increase from the six months ended March 31, 2021.</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$104.4 million during the quarter ended March 31, 2022, a 52% increase from the quarter ended March 31, 2021, and $189.3 million during the six months ended March 31, 2022, a 22% increase from the six months ended March 31, 2021.</w:t>
      </w: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EPS was $3.95 during the quarter ended March 31, 2022, a 70% increase from the quarter ended March 31, 2021, and $7.02 during the six months ended March 31, 2022, a 34% increase from the six months ended March 31, 2021.</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flows from operations were $247.5 million during the six months ended March 31, 2022, compared with $231.5 million during the six months ended March 31, 2021.</w:t>
      </w:r>
    </w:p>
    <w:p>
      <w:pPr>
        <w:ind w:left="660" w:hanging="328"/>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were $174.2 million as of March 31, 2022, compared with $195.4 million as of September 30, 2021.</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debt balance was $1.79 billion as of March 31, 2022, compared with $1.26 billion as of September 30, 2021.</w:t>
      </w:r>
    </w:p>
    <w:p>
      <w:pPr>
        <w:spacing w:after="0" w:line="31" w:lineRule="exact"/>
        <w:rPr>
          <w:rFonts w:ascii="Times New Roman" w:cs="Times New Roman" w:eastAsia="Times New Roman" w:hAnsi="Times New Roman"/>
          <w:sz w:val="18"/>
          <w:szCs w:val="18"/>
          <w:b w:val="1"/>
          <w:bCs w:val="1"/>
          <w:color w:val="auto"/>
        </w:rPr>
      </w:pPr>
    </w:p>
    <w:p>
      <w:pPr>
        <w:jc w:val="both"/>
        <w:ind w:left="660" w:hanging="328"/>
        <w:spacing w:after="0" w:line="239" w:lineRule="auto"/>
        <w:tabs>
          <w:tab w:leader="none" w:pos="655"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Total share repurchases during the quarter ended March 31, 2022 were $264.0 million, compared with $205.2 million during the quarter ended March 31, 2021, and during the six months ended March 31, 2022 were $757.6 million, compared with $255.2 million during the six months ended March 31,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 for Software segment</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Annual Contract Value Bookings (“ACV Bookings”)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Management regards ACV Bookings as an important indicator of future revenues, but they are not comparable to, nor are they a substitute for, an analysis of our revenues and other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revenues that are non-recurring in nature. For renewals of existing software subscription contracts, we count only incremental annual revenue expected over the current contract as ACV Bookings.</w:t>
      </w:r>
    </w:p>
    <w:p>
      <w:pPr>
        <w:spacing w:after="0" w:line="12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ACV Bookings is calculated by dividing the total expected contract value by the contract term in years. The expected contract value equals the fixed amount — including guaranteed minimums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disclose estimated revenue expected to be recognized in the future related to remaining performance obligations in Note 8 to the accompanying condensed consolidated financial statements. However, we believe ACV Bookings is a more meaningful measure of our business as it includes estimated revenues and future billings excluded from Note 8, such as usage-based fees and guaranteed minimums derived from our on-premises software licenses, among others.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ACV Bookings during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80" w:type="dxa"/>
            <w:vAlign w:val="bottom"/>
          </w:tcPr>
          <w:p>
            <w:pPr>
              <w:spacing w:after="0"/>
              <w:rPr>
                <w:sz w:val="16"/>
                <w:szCs w:val="16"/>
                <w:color w:val="auto"/>
              </w:rPr>
            </w:pPr>
          </w:p>
        </w:tc>
        <w:tc>
          <w:tcPr>
            <w:tcW w:w="302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on-premises and SaaS software *</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37.2</w:t>
            </w: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4141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86" w:lineRule="exact"/>
        <w:rPr>
          <w:sz w:val="20"/>
          <w:szCs w:val="20"/>
          <w:color w:val="auto"/>
        </w:rPr>
      </w:pPr>
    </w:p>
    <w:p>
      <w:pPr>
        <w:jc w:val="both"/>
        <w:ind w:firstLine="8"/>
        <w:spacing w:after="0" w:line="266"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2021, we sold all assets related to our cyber risk score operations, sold certain assets related to our Software segment to an affiliated joint venture in China, and divested our Collections and Recovery (“C&amp;R”) business. The amounts for the quarter and six months ended March 31, 2021 excluded these divested product lines and businesses.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121"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Accounting Standards Codification 606 requires us to recognize a significant portion of revenue from our on-premises software subscriptions at the point in time when the software is first made available to the customer, or at the beginning of the subscription term, despite 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w:t>
      </w:r>
    </w:p>
    <w:p>
      <w:pPr>
        <w:spacing w:after="0" w:line="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arrangements that are not expected to recur (primarily perpetual licenses) are excluded. We calculate ARR as the quarterly recurring revenue run-rate multiplied by four.</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ARR at each of the dates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30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196"/>
        </w:trPr>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16"/>
        </w:trPr>
        <w:tc>
          <w:tcPr>
            <w:tcW w:w="12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ARR </w:t>
            </w:r>
            <w:r>
              <w:rPr>
                <w:rFonts w:ascii="Times New Roman" w:cs="Times New Roman" w:eastAsia="Times New Roman" w:hAnsi="Times New Roman"/>
                <w:sz w:val="23"/>
                <w:szCs w:val="23"/>
                <w:b w:val="1"/>
                <w:bCs w:val="1"/>
                <w:color w:val="auto"/>
                <w:vertAlign w:val="superscript"/>
              </w:rPr>
              <w: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1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Platform </w:t>
            </w:r>
            <w:r>
              <w:rPr>
                <w:rFonts w:ascii="Times New Roman" w:cs="Times New Roman" w:eastAsia="Times New Roman" w:hAnsi="Times New Roman"/>
                <w:sz w:val="23"/>
                <w:szCs w:val="23"/>
                <w:b w:val="1"/>
                <w:bCs w:val="1"/>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r>
      <w:tr>
        <w:trPr>
          <w:trHeight w:val="230"/>
        </w:trPr>
        <w:tc>
          <w:tcPr>
            <w:tcW w:w="1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443.6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439.9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437.1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445.9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448.8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454.4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453.6</w:t>
            </w:r>
          </w:p>
        </w:tc>
      </w:tr>
      <w:tr>
        <w:trPr>
          <w:trHeight w:val="248"/>
        </w:trPr>
        <w:tc>
          <w:tcPr>
            <w:tcW w:w="1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491.3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495.0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497.3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513.6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524.0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546.6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550.3</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3"/>
        </w:trPr>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176"/>
        </w:trPr>
        <w:tc>
          <w:tcPr>
            <w:tcW w:w="1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Total on-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75"/>
        </w:trPr>
        <w:tc>
          <w:tcPr>
            <w:tcW w:w="1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premises and</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SaaS software</w:t>
            </w:r>
          </w:p>
        </w:tc>
        <w:tc>
          <w:tcPr>
            <w:tcW w:w="2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162"/>
        </w:trPr>
        <w:tc>
          <w:tcPr>
            <w:tcW w:w="1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30" w:lineRule="exact"/>
        <w:rPr>
          <w:sz w:val="20"/>
          <w:szCs w:val="20"/>
          <w:color w:val="auto"/>
        </w:rPr>
      </w:pPr>
    </w:p>
    <w:p>
      <w:pPr>
        <w:jc w:val="both"/>
        <w:ind w:firstLine="8"/>
        <w:spacing w:after="0" w:line="266"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2021, we sold all assets related to our cyber risk score operations, sold certain assets related to our Software segment to an affiliated joint venture in China, and divested our C&amp;R business. The amounts and percentages above excluded these divested product lines and businesses at all dates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8"/>
        <w:spacing w:after="0" w:line="266" w:lineRule="auto"/>
        <w:tabs>
          <w:tab w:leader="none" w:pos="3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FICO platform software is a set of interoperable services which use software assets owned and/or governed by FICO for building solutions and which conform to FICO architectural standards based on key elements of Cloud Native Computing design principles. These standards encompass shared security context and pre-integration using FICO standard application programming interfaces for all services.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 (“DBNRR”)</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DBNRR for each of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80" w:type="dxa"/>
            <w:vAlign w:val="bottom"/>
            <w:gridSpan w:val="2"/>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4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Pr>
          <w:p>
            <w:pPr>
              <w:jc w:val="right"/>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1160" w:type="dxa"/>
            <w:vAlign w:val="bottom"/>
          </w:tcPr>
          <w:p>
            <w:pPr>
              <w:jc w:val="right"/>
              <w:ind w:right="377"/>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140" w:type="dxa"/>
            <w:vAlign w:val="bottom"/>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195"/>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DBNRR </w:t>
            </w:r>
            <w:r>
              <w:rPr>
                <w:rFonts w:ascii="Times New Roman" w:cs="Times New Roman" w:eastAsia="Times New Roman" w:hAnsi="Times New Roman"/>
                <w:sz w:val="23"/>
                <w:szCs w:val="23"/>
                <w:b w:val="1"/>
                <w:bCs w:val="1"/>
                <w:color w:val="auto"/>
                <w:vertAlign w:val="superscript"/>
              </w:rPr>
              <w:t>(*)</w:t>
            </w:r>
          </w:p>
        </w:tc>
        <w:tc>
          <w:tcPr>
            <w:tcW w:w="10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108 %</w:t>
            </w:r>
          </w:p>
        </w:tc>
        <w:tc>
          <w:tcPr>
            <w:tcW w:w="13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116 %</w:t>
            </w: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123 %</w:t>
            </w:r>
          </w:p>
        </w:tc>
        <w:tc>
          <w:tcPr>
            <w:tcW w:w="13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130 %</w:t>
            </w:r>
          </w:p>
        </w:tc>
        <w:tc>
          <w:tcPr>
            <w:tcW w:w="11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137 %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95 %</w:t>
            </w: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96 %</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97 %</w:t>
            </w:r>
          </w:p>
        </w:tc>
        <w:tc>
          <w:tcPr>
            <w:tcW w:w="13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96 %</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100 %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Total on-</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premises and</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SaaS software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3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99 %</w:t>
            </w: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100 %</w:t>
            </w:r>
          </w:p>
        </w:tc>
        <w:tc>
          <w:tcPr>
            <w:tcW w:w="13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100 %</w:t>
            </w:r>
          </w:p>
        </w:tc>
        <w:tc>
          <w:tcPr>
            <w:tcW w:w="11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105 %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176"/>
        </w:trPr>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firstLine="8"/>
        <w:spacing w:after="0" w:line="282"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2021, we sold all assets related to our cyber risk score operations, sold certain assets related to our Software segment to an affiliated joint venture in China, and divested our C&amp;R business. The percentages above excluded these divested product lines and businesses for all periods presented.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organized into the following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Segment revenues, operating income, and related financial information, including disaggregation of revenue are set forth in Note 8 and Note 11 to the accompanying condensed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certain summary information on a segment basis related to our revenues for the quarters and six-month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56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9"/>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45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220" w:type="dxa"/>
            <w:vAlign w:val="bottom"/>
          </w:tcPr>
          <w:p>
            <w:pPr>
              <w:jc w:val="right"/>
              <w:ind w:right="377"/>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40" w:type="dxa"/>
            <w:vAlign w:val="bottom"/>
          </w:tcPr>
          <w:p>
            <w:pPr>
              <w:jc w:val="right"/>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15,023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162,642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10,811</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357,195</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25,834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56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Pr>
          <w:p>
            <w:pPr>
              <w:spacing w:after="0"/>
              <w:rPr>
                <w:sz w:val="9"/>
                <w:szCs w:val="9"/>
                <w:color w:val="auto"/>
              </w:rPr>
            </w:pPr>
          </w:p>
        </w:tc>
        <w:tc>
          <w:tcPr>
            <w:tcW w:w="104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122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12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353,229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39,859</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330,405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w w:val="98"/>
              </w:rPr>
              <w:t>(4,078)</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643,775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35,781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Quarter Ended March 31, 2022 Compared to Quarter Ended March 31, 2021</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Scores</w:t>
      </w:r>
    </w:p>
    <w:p>
      <w:pPr>
        <w:spacing w:after="0" w:line="108"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Scores segment revenues increased $15.0 million due to an increase of $5.9 million in our business-to-business scores revenue and $9.1 million in our business-to-consumer revenue. The increase in business-to-business scores revenue was primarily attributable to a higher unit price across several business-to-business offerings and an increase in unsecured originations volume, partially offset by a decrease in mortgage originations volume during the quarter ended March 31, 2022. The increase in business-to-consumer revenue was attributable to an increase in both royalties derived from scores sold indirectly to consumers through credit reporting agencies and direct sales generated from the myFICO.com website.</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6"/>
              </w:rPr>
              <w:t>23,537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center"/>
              <w:ind w:left="519"/>
              <w:spacing w:after="0"/>
              <w:rPr>
                <w:sz w:val="20"/>
                <w:szCs w:val="20"/>
                <w:color w:val="auto"/>
              </w:rPr>
            </w:pPr>
            <w:r>
              <w:rPr>
                <w:rFonts w:ascii="Times New Roman" w:cs="Times New Roman" w:eastAsia="Times New Roman" w:hAnsi="Times New Roman"/>
                <w:sz w:val="18"/>
                <w:szCs w:val="18"/>
                <w:color w:val="auto"/>
              </w:rPr>
              <w:t>(12,726)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6"/>
              </w:rPr>
              <w:t>10,811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Software segment revenues increased $10.8 million due to a $23.5 million increase in our on-premises and SaaS software revenue, partially offset by a $12.7 million decrease in services revenue. The increase in our on-premises and SaaS software revenue was primarily attributable to an increase in point-in-time recognition due to a large license deal, as well as an increase in over-time recognition due to SaaS growth, partially offset by the C&amp;R business divestiture. The decrease in services revenue was primarily attributable to our strategic shift to emphasize software over services, as well as the C&amp;R business divestiture. The total impact to current quarter revenue from the divestiture was $15.9 million — an $8.1 million decrease from on-premises and SaaS software and a $7.8 million decrease from professional services.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2022 Compared to Six Months Ended March 31, 2021</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Scores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Scores segment revenues increased $39.9 million due to an increase of $18.8 million in our business-to-business scores revenue and $21.1 million in our business-to-consumer revenue. The increase in business-to-business scores revenue was primarily attributable to a higher unit price across several business-to-business offerings, partially offset by a decrease in mortgage originations volume during the six months ended March 31, 2022. The increase in business-to-consumer revenue was attributable to an increase in both royalties derived from scores sold indirectly to consumers through credit reporting agencies and direct sales generated from the myFICO.com website.</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Software segment revenues decreased $4.1 million due to a $27.5 million decrease in services revenue, partially offset by a $23.4 million increase in our on-premises and SaaS software revenue. The decrease in services revenue was primarily attributable to our strategic shift to emphasize software over services, as well as the divestiture of our C&amp;R business in June 2021. The increase in our on-premises and SaaS software revenue was primarily attributable to an increase in our platform software revenue, partially offset by the C&amp;R business divestiture. The total impact to current year-to-date revenue from the divestiture was $32.2 million — a $16.4 million decrease from on-premises and SaaS software and a $15.8 million decrease from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Income / Expenses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summary information related to our condensed consolidated statements of income and comprehensive income for the quarters and six-month periods ended March 31,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0" w:type="dxa"/>
            <w:vAlign w:val="bottom"/>
          </w:tcPr>
          <w:p>
            <w:pPr>
              <w:spacing w:after="0"/>
              <w:rPr>
                <w:sz w:val="16"/>
                <w:szCs w:val="16"/>
                <w:color w:val="auto"/>
              </w:rPr>
            </w:pPr>
          </w:p>
        </w:tc>
        <w:tc>
          <w:tcPr>
            <w:tcW w:w="2880" w:type="dxa"/>
            <w:vAlign w:val="bottom"/>
            <w:gridSpan w:val="7"/>
          </w:tcPr>
          <w:p>
            <w:pPr>
              <w:ind w:left="64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6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8"/>
        </w:trPr>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36"/>
        </w:trPr>
        <w:tc>
          <w:tcPr>
            <w:tcW w:w="25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6"/>
          </w:tcPr>
          <w:p>
            <w:pPr>
              <w:jc w:val="center"/>
              <w:ind w:right="231"/>
              <w:spacing w:after="0" w:line="136"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74"/>
              <w:spacing w:after="0" w:line="136"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5"/>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except employees)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357,195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331,361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intangible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230,162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Number of employees at quarter</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0" w:type="dxa"/>
            <w:vAlign w:val="bottom"/>
          </w:tcPr>
          <w:p>
            <w:pPr>
              <w:spacing w:after="0"/>
              <w:rPr>
                <w:sz w:val="24"/>
                <w:szCs w:val="24"/>
                <w:color w:val="auto"/>
              </w:rPr>
            </w:pPr>
          </w:p>
        </w:tc>
        <w:tc>
          <w:tcPr>
            <w:tcW w:w="288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Period-to-Period</w:t>
            </w:r>
          </w:p>
        </w:tc>
        <w:tc>
          <w:tcPr>
            <w:tcW w:w="136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2"/>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5"/>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intangible</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Gains on product line asset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business divestiture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411,913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447,855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237,305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934"/>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employee salaries and benefits for personnel directly involved in delivering software products, operating SaaS infrastructure, and providing support, implementation and consulting services; allocated overhead, facilities and data center costs; software royalty fees; credit bureau data and processing services; third-party hosting fees related to our SaaS services; travel costs; and outside services.</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quarter-over-prior year quarter decrease in cost of revenues of $16.5 million was primarily attributable to a $14.1 million decrease in personnel and labor costs and a $2.6 million decrease in allocated facilities and infrastructure costs. Both were largely driven by a decrease in our headcount as a result of the divestiture of our C&amp;R business in June 2021, as well as reduced resource requirements associated with decreased services revenue. Cost of revenues as a percentage of revenues decreased to 20% during the quarter ended March 31, 2022 from 27% during the quarter ended March 31, 2021, primarily due to an increase in license revenue recognized at a point in time, increased sales of our higher-margin Scores products and decreased sales of lower-margin professional services.</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year-to-date period over period decrease in cost of revenues of $36.9 million was primarily attributable to a $30.7 million decrease in personnel and labor costs and a $7.1 million decrease in allocated facilities and infrastructure costs. Both were largely driven by a decrease in our headcount as a result of the divestiture of our C&amp;R business in June 2021, as well as reduced resource requirements associated with decreased services revenue. Cost of revenues as a percentage of revenues decreased to 21% during the six months ended March 31, 2022 from 28% during the six months ended March 31, 2021, primarily due to an increase in license revenue recognized at a point in time, increased sales of our higher-margin Scores products and decreased sales of lower-margin professional services.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overhead costs incurred in the development of new products and services, including research of mathematical and statistical models and development of new versions of Software products.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decrease in research and development expenses of $7.2 million was primarily attributable to a $5.0 million decrease in personnel and labor costs as a result of decreased headcount and a $0.9 million decrease in third-party cloud computing costs. Research and development expenses as a percentage of revenues decreased to 10% during the quarter ended March 31, 2022 from 13% during the quarter ended March 31, 2021.</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year-to-date period over period decrease in research and development expenses of $8.9 million was primarily attributable to a $4.7 million decrease in personnel and labor costs as a result of decreased headcount and a $1.8 million decrease in third-party cloud computing costs. Research and development expenses as a percentage of revenues decreased to 11% during the six months ended March 31, 2022 from 13% during the six months ended March 31, 2021.</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decrease in selling, general and administrative expenses of $0.9 million was primarily attributable to a $3.0 million decrease in personnel and labor costs as a result of decreased headcount, partially offset by $0.9 million increase in insurance costs, and a $0.7 million increase in travel costs. Selling, general and administrative expenses as a percentage of revenues decreased to 27% during the quarter ended March 31, 2022 from 29% during the quarter ended March 31,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year-to-date period over period increase in selling, general and administrative expenses of $3.3 million was primarily attributable to a $1.6 million increase in insurance costs, a $1.4 million increase in facilities and infrastructure costs, a $1.2 million increase in travel activity, and a $0.7 million increase in third-party cloud computing costs, partially offset by a $3.4 million decrease in personnel and labor costs as a result of decreased headcount. Selling, general and administrative expenses as a percentage of revenues decreased to 29% during the six months ended March 31, 2022 from 30% during the six months ended March 31, 2021.</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five to ten years.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was $0.5 million during the quarter ended March 31, 2022 compared to $0.9 million during the quarter ended March 31, 2021.</w:t>
      </w:r>
    </w:p>
    <w:p>
      <w:pPr>
        <w:spacing w:after="0" w:line="22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Amortization expense was $1.1 million during the six months ended March 31, 2022 compared to $1.9 million during the six months ended March 31, 2021. The decrease was primarily attributable to certain assets associated with the divestiture of our C&amp;R business in June 2021.</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Gains on Product Line Asset Sales and Business Divestiture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$7.3 million gain on product line asset sales and business divestiture during the six months ended March 31, 2021 was attributable to the sale of all assets related to our cyber risk score operations in October 2020 and the sale of certain assets related to our Software operations to an affiliated joint venture in China in December 2020.</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Interest expense includes interest on the senior notes issued in December 2021, December 2019 and May 2018, as well as interest and credit facility fees on the revolving line of credit and term loan. Our condensed consolidated statements of income and comprehensive income include interest expense netted with interest income, which is derived primarily from the investment of funds in excess of our immediate operating requirements.</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quarter-over-prior year quarter increase in interest expense of $7.3 million was primarily attributable to a higher average outstanding debt balance during the quarter ended March 31, 2022.</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year-to-date period over period increase in interest expense of $9.8 million was primarily attributable to a higher average outstanding debt balance during the six months ended March 31, 2022.</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realized investment gains/losses, exchange rate gains/losses resulting from remeasurement of foreign-currency-denominated receivable and cash balances into their respective functional currencies at period-end market rates, net of the impact of offsetting foreign currency forward contracts, and other non-operating items.</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quarter-over-prior year quarter change in other income (expense), net of $2.9 million was primarily attributable to a decrease in net unrealized gains on our supplemental retirement and savings plan.</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year-to-date period over period change in other income (expense), net of $4.4 million was primarily attributable to a decrease in net unrealized gains on our supplemental retirement and savings plan.</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effective income tax rate was 21.2% and 25.2% during the quarters ended March 31, 2022 and 2021, respectively, and 20.2% and 13.7% during</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six months ended March 31, 2022 and 2021,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effective tax rates for the six months ended March 31, 2022 and 2021 were both favorably impacted by the recording of excess tax benefits relating to stock awards. The impact is dependent upon grants of share-based compensation and the future stock price in relation to the fair value of awards on the grant date. The decrease in stock price for awards that vested in December 2021 has resulted in a decreased net excess tax benefit for the six months ended March 31, 2022, as compared to the six months ended March 31,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summary information on a segment basis related to our operating income for the quarters and six-month periods ended March 31, 2022 and 2021:</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Scores</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162,716</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146,542</w:t>
            </w:r>
          </w:p>
        </w:tc>
        <w:tc>
          <w:tcPr>
            <w:tcW w:w="42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16,174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130,350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50,186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share-based compensation</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Scores</w:t>
            </w: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3"/>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4"/>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5"/>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3"/>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5"/>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183,742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168,719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173,453</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operating expense</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(22,177)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(119,953)</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(145,442)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162,716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146,542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quarter-over-prior year quarter $50.9 million increase in operating income was primarily attributable to a $26.6 million decrease in segment operating expenses and a $25.8 million increase in segment revenues, partially offset by a $2.3 million increase in corporate expenses.</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the segment level, the quarter-over-prior year quarter $50.2 million increase in segment operating income was the result of a $36.3 million increase in our Software segment operating income and a $16.2 million increase in our Scores segment operating income, partially offset by a $2.3 million increase in corporate expenses.</w:t>
      </w:r>
    </w:p>
    <w:p>
      <w:pPr>
        <w:spacing w:after="0" w:line="17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quarter-over-prior year quarter $16.2 million increase in Scores segment operating income was due to a $15.0 million increase in segment revenue and a $1.2 million decrease in segment operating expenses. Segment operating income as a percentage of segment revenue for Scores increased to 89% from 87%.</w:t>
      </w:r>
    </w:p>
    <w:p>
      <w:pPr>
        <w:spacing w:after="0" w:line="17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$36.3 million increase in Software segment operating income was due to a $25.5 million decrease in segment operating expenses and a $10.8 million increase in segment revenue. Segment operating income as a percentage of segment revenue for Software increased to 31% from 11%, primarily attributable to the divestiture of our lower-margin C&amp;R business, an increase in license revenue recognized at a point in time, and a decrease in sales of our lower-margin professional services.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16"/>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Scores</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310,219</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269,567</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49,909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243,806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82,738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share-based compensation</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gains on product line asset sales and business divestiture</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267,643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195,920</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71,723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Scores</w:t>
            </w: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40" w:type="dxa"/>
            <w:vAlign w:val="bottom"/>
            <w:gridSpan w:val="6"/>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340" w:type="dxa"/>
            <w:vAlign w:val="bottom"/>
          </w:tcPr>
          <w:p>
            <w:pPr>
              <w:spacing w:after="0"/>
              <w:rPr>
                <w:sz w:val="11"/>
                <w:szCs w:val="11"/>
                <w:color w:val="auto"/>
              </w:rPr>
            </w:pPr>
          </w:p>
        </w:tc>
        <w:tc>
          <w:tcPr>
            <w:tcW w:w="1520" w:type="dxa"/>
            <w:vAlign w:val="bottom"/>
            <w:gridSpan w:val="4"/>
          </w:tcPr>
          <w:p>
            <w:pPr>
              <w:jc w:val="right"/>
              <w:ind w:right="60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60" w:type="dxa"/>
            <w:vAlign w:val="bottom"/>
            <w:gridSpan w:val="8"/>
          </w:tcPr>
          <w:p>
            <w:pPr>
              <w:jc w:val="right"/>
              <w:ind w:right="1080"/>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5"/>
          </w:tcPr>
          <w:p>
            <w:pPr>
              <w:jc w:val="right"/>
              <w:ind w:right="60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3"/>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6"/>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353,229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313,370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326,327</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operating expense</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(43,010)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(43,803)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(238,534)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310,219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269,567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year-to-date period over period increase of $71.7 million in operating income was primarily attributable to a $54.8 million decrease in segment operating expenses and a $35.8 million increase in segment revenues, partially offset by a $7.8 million increase in corporate expenses, a $7.3 million decrease in gain on sale of product line assets, and a $4.5 million increase in share-based compensation cost.</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the segment level, the year-to-date period over period increase of $82.7 million in segment operating income was the result of a $49.9 million increase in our Software segment operating income and a $40.6 million increase in our Scores segment operating income, partially offset by a $7.8 million increase in corporate expenses.</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year-to-date period over period $40.6 million increase in Scores segment operating income was attributable to a $39.9 million increase in segment revenue and a $0.8 million decrease in segment operating expenses. Segment operating income as a percentage of segment revenue for Scores increased to 88% from 86%.</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year-to-date period over period $49.9 million increase in Software segment operating income was due to a $54.0 million decrease in segment operating expenses, partially offset by a $4.1 million decrease in segment revenue. Segment operating income as a percentage of segment revenue for Software increased to 27% from 11%, primarily attributable to the divestiture of our lower-margin C&amp;R business, an increase in license revenue recognized at a point in time, and a decrease in sales of our lower-margin professional services.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March 31, 2022, we had $174.2 million in cash and cash equivalents, which included $114.2 million held by our foreign subsidiaries. Our cash position could be affected by various risks and uncertainties, including, but not limited to, the effects of the COVID-19 pandemic and other risks detailed in Part II, Item 1A titled “Risk Factors” of this Quarterly Report on Form 10-Q. However, based on our current business plan and revenue prospects, we believe our cash and cash equivalents balances, as well as available borrowings from our $600 million revolving line of credit and anticipated cash flows from operating activities, will be sufficient to fund our working and other capital requirements as well as the $15.0 million principal payments on our term loan over the next twelve months. Under our current financing arrangements, we have no other significant debt obligations maturing over the next twelve months. Our undistributed earnings outside the U.S. are deemed to be permanently reinvested in foreign jurisdictions. We currently do not foresee a need to repatriate cash and cash equivalents held by our foreign subsidiaries. If these funds are needed for our operations in the U.S., we may be required to accrue for state income or foreign withholding taxes on the distributed foreign earnings, which we expect to be immaterial.</w:t>
      </w:r>
    </w:p>
    <w:p>
      <w:pPr>
        <w:spacing w:after="0" w:line="18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60" w:type="dxa"/>
            <w:vAlign w:val="bottom"/>
          </w:tcPr>
          <w:p>
            <w:pPr>
              <w:spacing w:after="0"/>
              <w:rPr>
                <w:sz w:val="16"/>
                <w:szCs w:val="16"/>
                <w:color w:val="auto"/>
              </w:rPr>
            </w:pPr>
          </w:p>
        </w:tc>
        <w:tc>
          <w:tcPr>
            <w:tcW w:w="12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231,470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(196,795)</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primary method for funding operations and growth has been through cash flows generated from operating activities. Net cash provided by operating activities increased to $247.5 million during the six months ended March 31, 2022 from $231.5 million during the six months ended March 31, 2021. The $16.0 million increase was primarily attributable to a $34.2 million increase in net income and an $18.5 million increase in non-cash items, partially offset by a $36.7 million decrease that resulted from timing of receipts and payments in our ordinary course of business.</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$3.7 million for the six months ended March 31, 2022 as compared to net cash provided of $1.7 million for the six months ended March 31, 2021. The $5.4 million change was primarily attributable to a $6.0 million decrease in cash proceeds from the product line asset sales and business divestiture.</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increased to $263.2 million for the six months ended March 31, 2022 from $196.8 million for the six months ended March 31, 2021. The $66.4 million increase was primarily attributable to a $510.5 million increase in repurchases of common stock and a $136.8 million increase in payments, net of proceeds, on our revolving line of credit, partially offset by a $550.0 million increase in proceeds from the issuance of senior notes and a $38.8 million decrease in taxes paid related to net share settlement of equity awards.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January 2022, our Board of Directors approved a new stock repurchase program following the completion of our previous program. This program is open-ended and authorizes repurchases of shares of our common stock up to an aggregate cost of $500.0 million in the open market or in negotiated transactions.</w:t>
      </w:r>
    </w:p>
    <w:p>
      <w:pPr>
        <w:spacing w:after="0" w:line="122" w:lineRule="exact"/>
        <w:rPr>
          <w:sz w:val="20"/>
          <w:szCs w:val="20"/>
          <w:color w:val="auto"/>
        </w:rPr>
      </w:pPr>
    </w:p>
    <w:p>
      <w:pPr>
        <w:jc w:val="both"/>
        <w:ind w:firstLine="445"/>
        <w:spacing w:after="0" w:line="273" w:lineRule="auto"/>
        <w:rPr>
          <w:sz w:val="20"/>
          <w:szCs w:val="20"/>
          <w:color w:val="auto"/>
        </w:rPr>
      </w:pPr>
      <w:r>
        <w:rPr>
          <w:rFonts w:ascii="Times New Roman" w:cs="Times New Roman" w:eastAsia="Times New Roman" w:hAnsi="Times New Roman"/>
          <w:sz w:val="18"/>
          <w:szCs w:val="18"/>
          <w:color w:val="auto"/>
        </w:rPr>
        <w:t>Pursuant to our previously-authorized stock repurchase programs and the January 2022 program, we repurchased approximately 579,875 shares and 1,823,494 shares of our common stock at a total repurchase price of $264.0 million and $757.6 million during the quarter and six months ended March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respectively. As of March 31, 2022, we had $400.2 million remaining under the January 2022 program.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Line of Credit and Term Loan</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a $600 million unsecured revolving line of credit with a syndicate of banks that expires on August 19, 2026. Borrowings under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greatest of (a) the prime rate, (b) the Federal Funds rate plus 0.500% and (c) the one-month LIBOR rate plus 1.000%, plus, in each case, an applicable margin, or (ii) an adjusted LIBOR rate plus an applicable margin. The applicable margin for base rate borrowings ranges from 0% to 0.750% and for LIBOR borrowings ranges from 1.000% to 1.750%, and is determined based on our consolidated leverage ratio. In addition, we must pay credit facility fees. The credit facility contains certain restrictive covenants including a maximum consolidated leverage ratio of 3.50, subject to a step up to 4.00 following certain permitted acquisitions; and a minimum interest coverage ratio of 3.00. The credit agreement also contains other covenants typical of unsecured facilities.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we have a term loan in an initial principal amount of $300 million. The term loan is subject to the same pricing and covenants as the revolving line of credit and matures at the expiration of the facility on August 19, 2026. The term loan requires principal payments in consecutive quarterly installments of $3.75 million on the last business day of each quarter.</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2022, we had $215.0 million in borrowings outstanding under the revolving credit facility at a weighted-average interest rate of 1.932%, and $296.3 million in outstanding balance of the term loan at an interest rate of 1.955%, of which $381.3 million was classified as a long-term liability and recorded in long-term debt within the accompanying condensed consolidated balance sheets. We were in compliance with all financial covenants under this credit facility as of March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March 31, 2022, the carrying value of the Senior Notes was $1.30 billion and we were in compliance with all financial covenants under these obligations, and do not believe we are at material risk of not meeting these covenants due to COVID-19.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involve the most significant judgments and estimates used in the preparation of our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Contracts with Customers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revenue is primarily derived from on-premises software and SaaS subscriptions, professional services, and scoring services. For contracts with customers that contain various combinations of products and services, we evaluate whether the products or services are distinct — 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on-premises software is primarily sold on a subscription basis, which includes a term-based license and post-contract support or maintenance, both of which generally represent distinct performance obligations and are accounted for separately. The transaction price is either a fixed fee, or a usage-based fee — sometimes subject to a guaranteed minimum. When the amount is fixed, including the guaranteed minimum in a usage-based fee, license revenue is recognized at the point in time when the software is made available to the customer. Maintenance revenue is recognized ratably over the contract period as customers simultaneously consume and receive benefits. Any usage-based fees not subject to a guaranteed minimum or earned in excess of the minimum amount are recognized when the subsequent usage occurs. We occasionally sell software arrangements consisting of on-premises perpetual licenses and maintenance. License revenue is recognized at a point in time when the software is made available to the customer and maintenance revenue is recognized ratably over the contract term.</w:t>
      </w:r>
    </w:p>
    <w:p>
      <w:pPr>
        <w:spacing w:after="0" w:line="13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SaaS products provide customers with access to and standard support for our software on a subscription basis, delivered through our own infrastructure or third-party cloud services. The SaaS transaction contracts typically include a guaranteed minimum fee per period that allows up to a certain level of usage and a consumption-based variable fee in excess of the minimum threshold; or a consumption-based variable fee not subject to a minimum threshold. The nature of our SaaS arrangements is to provide continuous access to our hosted solutions in the cloud, i.e., a stand-ready obligation that comprises a series of distinct service periods (e.g., a series of distinct daily, monthly or annual periods of service). We estimate the total variable consideration at contract inception — subject to any constraints that may apply — 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professional services include software implementation, consulting, model development and training. Professional services are sold either standalone, or together with other products or services and generally represent distinct performance obligations. The transaction price can be a fixed amount or a variable amount based upon the time and materials expended. Revenue on fixed-price services is recognized using an input method based on labor hours expended, which we believe provides a faithful depiction of the transfer of services. Revenue on services provided on a time and materials basis is recognized by applying the “right-to-invoice” practical expedient as the amount to which we have a right to invoice the customer corresponds directly with the value of our performance to the customer.</w:t>
      </w:r>
    </w:p>
    <w:p>
      <w:pPr>
        <w:spacing w:after="0" w:line="133"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Our scoring services include both business-to-business and business-to-consumer offerings. Our business-to-business scoring services typically include a license that grants consumer reporting agencies the right to use our scoring solutions in exchange for a usage-based royalty. Revenue is generally recognized when the usage occurs. Business-to-consumer offerings provide consumers with access to their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 and credit reports, as well as other value-add services. These are provided as either a one-time or ongoing subscription service renewed monthly or annually, all with a fixed consideration.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of SaaS service and will result in the combination of software or SaaS service and implementation service as one performance obligation.</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Commission Costs</w:t>
      </w:r>
    </w:p>
    <w:p>
      <w:pPr>
        <w:spacing w:after="0" w:line="175"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We capitalize incremental commission fees paid as a result of obtaining customer contracts. 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consolidated statements of income and comprehensive income.</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over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13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 (iii) 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3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Acquisition Intangibles and Other Long-Lived Assets - Impairment Assessment</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w:t>
      </w:r>
    </w:p>
    <w:p>
      <w:pPr>
        <w:spacing w:after="0" w:line="122"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During the fourth quarter of fiscal 2021, we reevaluated our operating segments to better align with how our CODM evaluates performance and allocates resources, which resulted in a change from three operating segments — Applications, Decision Management Software and Scores — to two operating segments, Software and Scores. As part of this reevaluation, we determined our operating segments continue to represent our reporting units.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Alternatively, we may bypass the qualitative assessment described above for any reporting unit in any period and proceed directly to performing step one of the goodwill impairment test.</w:t>
      </w:r>
    </w:p>
    <w:p>
      <w:pPr>
        <w:spacing w:after="0" w:line="14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performed a step one quantitative impairment test on the Software and Scores reporting units before and immediately following the change in reporting units. There was a substantial excess of fair value over carrying value for the reporting units and we determined goodwill was not impaired for any of our reporting units before or after the change for fiscal 2021. For fiscal 2019 and 2020,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and determined goodwill was not impaired for any of our reporting units for fiscal 2019 and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 We did not recognize any impairment charges on intangible assets that have finite useful lives or other long-lived assets in fiscal 2021, 2020, and 2019.</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measure share-based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a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3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3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and Litigation</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No. 2021-08,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(Topic 805): Accounting for Contract Assets and Contract Liabilities from Contracts with Customers</w:t>
      </w:r>
      <w:r>
        <w:rPr>
          <w:rFonts w:ascii="Times New Roman" w:cs="Times New Roman" w:eastAsia="Times New Roman" w:hAnsi="Times New Roman"/>
          <w:sz w:val="18"/>
          <w:szCs w:val="18"/>
          <w:color w:val="auto"/>
        </w:rPr>
        <w:t>” (“ASU 2021-08”). ASU 2021-08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an acquirer in a business combination to recognize and measure contract assets and contract liabilities from acquired contracts using the revenue recognition guidance under Accounting Standards Codification Topic 606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consolidated financial statements.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expect that any other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Disclosures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and foreign exchange rates. We do not use derivative financial instruments for speculative or trading purposes.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March 31, 2022 and September 30,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340" w:type="dxa"/>
            <w:vAlign w:val="bottom"/>
          </w:tcPr>
          <w:p>
            <w:pPr>
              <w:spacing w:after="0"/>
              <w:rPr>
                <w:sz w:val="16"/>
                <w:szCs w:val="16"/>
                <w:color w:val="auto"/>
              </w:rPr>
            </w:pPr>
          </w:p>
        </w:tc>
      </w:tr>
      <w:tr>
        <w:trPr>
          <w:trHeight w:val="23"/>
        </w:trPr>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31"/>
        </w:trPr>
        <w:tc>
          <w:tcPr>
            <w:tcW w:w="20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8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60" w:type="dxa"/>
            <w:vAlign w:val="bottom"/>
            <w:tcBorders>
              <w:top w:val="single" w:sz="8" w:color="auto"/>
            </w:tcBorders>
          </w:tcPr>
          <w:p>
            <w:pPr>
              <w:jc w:val="center"/>
              <w:ind w:right="84"/>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34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40" w:type="dxa"/>
            <w:vAlign w:val="bottom"/>
            <w:tcBorders>
              <w:top w:val="single" w:sz="8" w:color="auto"/>
            </w:tcBorders>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95"/>
        </w:trPr>
        <w:tc>
          <w:tcPr>
            <w:tcW w:w="2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8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Yield</w:t>
            </w:r>
          </w:p>
        </w:tc>
      </w:tr>
      <w:tr>
        <w:trPr>
          <w:trHeight w:val="195"/>
        </w:trPr>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8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6"/>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174,219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174,219</w:t>
            </w:r>
          </w:p>
        </w:tc>
        <w:tc>
          <w:tcPr>
            <w:tcW w:w="1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0.25 %  $</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195,354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195,354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March 31, 2022 and September 30,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278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3"/>
        </w:trPr>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Face Value (*)</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2018</w:t>
            </w:r>
          </w:p>
        </w:tc>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453,000</w:t>
            </w:r>
          </w:p>
        </w:tc>
      </w:tr>
      <w:tr>
        <w:trPr>
          <w:trHeight w:val="229"/>
        </w:trPr>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The 2019</w:t>
            </w:r>
          </w:p>
        </w:tc>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and the 2021 Senior Notes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357,000</w:t>
            </w:r>
          </w:p>
        </w:tc>
      </w:tr>
      <w:tr>
        <w:trPr>
          <w:trHeight w:val="248"/>
        </w:trPr>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7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r>
    </w:tbl>
    <w:p>
      <w:pPr>
        <w:spacing w:after="0" w:line="184" w:lineRule="exact"/>
        <w:rPr>
          <w:sz w:val="20"/>
          <w:szCs w:val="20"/>
          <w:color w:val="auto"/>
        </w:rPr>
      </w:pPr>
    </w:p>
    <w:p>
      <w:pPr>
        <w:ind w:firstLine="413"/>
        <w:spacing w:after="0" w:line="282" w:lineRule="auto"/>
        <w:tabs>
          <w:tab w:leader="none" w:pos="64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carrying value of the Senior Notes was the face value reduced by the net debt issuance costs of $15.7 million and $9.0 million at March 31, 2022 and September 30, 2021, respectively.</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have interest rate risk with respect to our unsecured revolving line of credit and term loan. Interest on amounts borrowed under the credit facility is based on (i) a base rate, which is the greatest of (a) the prime rate, (b) the Federal Funds rate plus 0.500% and (c) the one-month LIBOR rate plus 1.000%, plus, in each case, an applicable margin, or (ii) an adjusted LIBOR rate plus an applicable margin. The applicable margin for base rate borrowings ranges from 0% to 0.750% and for LIBOR borrowings ranges from 1.000% to 1.750%, and is determined based on our consolidated leverage ratio. A change in interest rates on this variable rate debt impacts the interest incurred and cash flows, but does not impact the fair value of the instrument. As of March 31, 2022, we had $215.0 million in borrowings outstanding under the revolving credit facility at a weighted-average interest rate of 1.932% and $296.3 million in outstanding balance of the term loan at an interest rate of 1.955%.</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our outstanding foreign currency forward contracts, by currency, at March 31, 2022 and September 30,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480" w:type="dxa"/>
            <w:vAlign w:val="bottom"/>
          </w:tcPr>
          <w:p>
            <w:pPr>
              <w:jc w:val="center"/>
              <w:ind w:left="599"/>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18,330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5"/>
        </w:trPr>
        <w:tc>
          <w:tcPr>
            <w:tcW w:w="5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480" w:type="dxa"/>
            <w:vAlign w:val="bottom"/>
          </w:tcPr>
          <w:p>
            <w:pPr>
              <w:jc w:val="center"/>
              <w:ind w:left="599"/>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00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19,829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100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foreign currency forward contracts were entered into on March 31, 2022 and September 30, 2021, respectively; therefore, their fair value was $0 on each of these 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March 31, 2022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Market and Strategy Risks</w:t>
      </w:r>
    </w:p>
    <w:p>
      <w:pPr>
        <w:spacing w:after="0" w:line="171"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the COVID-19 pandemic have negatively affected how we and our customers are operating our businesses. The duration of these effects, and the extent to which they will impact our future revenues, results of operations and overall financial performance, remain uncertain.</w:t>
      </w:r>
    </w:p>
    <w:p>
      <w:pPr>
        <w:spacing w:after="0" w:line="10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COVID-19 pandemic has resulted in a widespread health crisis that has adversely affected the global economy, leading to reduced consumer spending and lending activities and disruptions and volatility in the global capital markets. COVID-19 has caused shutdowns to businesses and cities worldwide and has disrupted supply chains, business operations, travel, and consumer confidence.</w:t>
      </w:r>
    </w:p>
    <w:p>
      <w:pPr>
        <w:spacing w:after="0" w:line="12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we temporarily closed the majority of our offices (including our corporate headquarters in the United States), but are in the process of re-opening them. Although our company-wide voluntary work from home policy expired on March 31, 2022, we continue to allow the majority of our workforce the flexibility to work remotely on an ongoing basis. In addition, we continue to impose certain travel restrictions where applicable. Both of these actions have disrupted how we operate our business. Due in part to anticipated post-pandemic workforce patterns, in late fiscal 2020 and early fiscal 2021, we permanently closed certain non-core offices, reduced certain other office space and reduced our global workforce. Our operations may be further negatively affected by a range of external factors related to the COVID-19 pandemic that are not within our control. For example, many cities, counties, states, and countries may impose or continue to impose requirements and restrictions related to COVID-19 that affect us, including a wide range of restrictions on our employees’, partners’ and customers’ physical movement to limit the spread of COVID-19. We postponed, canceled or shifted certain of our customer, employee or industry events to virtual-only experiences and may decide to do so in the future. If the COVID-19 pandemic has a substantial impact on our employees’, partners’ or customers’ productivity or ability to collaborate, our results of operations and overall financial performance may be harmed.</w:t>
      </w:r>
    </w:p>
    <w:p>
      <w:pPr>
        <w:spacing w:after="0" w:line="13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situation surrounding the COVID-19 pandemic is constantly evolving and both the short-term and long-term effects remain unknown. Our customers, and therefore our business and revenues, are sensitive to negative changes in general economic conditions and lending activities. The COVID-19 pandemic may affect the rate of spending on our solutions and could adversely affect our customers’ ability or willingness to purchase our products and services, cause prospective customers to change product selections or term commitments, delay or cancel their purchasing decisions, extend sales cycles, and potentially increase payment defaults, all of which could adversely affect our future revenues, results of operations and overall financial performance.</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COVID-19 has adversely affected certain segments and originations volume, which may impact future revenue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We are unable to accurately predict the complete impact that COVID-19 will have on our future results of operations, financial condition, liquidity and cash flows due to numerous uncertainties, including the severity and transmission rate of the virus and its variants, the duration and any resurgence of the outbreak, the extent and effectiveness of containment actions, the effectiveness and acceptance of any medical treatment and prevention options, and the impact of these and other factors on us, our employees, customers, partners and vendors, and on worldwide and U.S. economic conditions. If we are not able to respond to and manage these impacts effectively, our business may be harmed to a material extent.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executing our business strategy, which could cause our growth prospects and results of operations to suffer.</w:t>
      </w:r>
    </w:p>
    <w:p>
      <w:pPr>
        <w:spacing w:after="0" w:line="175"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We have increasingly focused our business strategy on investing significant development resources to enable substantially all of our software to run on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our modular software offering designed to enable advanced analytics and decisioning use cases. Our business strategy is designed to enable us to increase our business by selling multiple connectable and extensible products to clients, as well as to enable the development of custom client solutions and to allow our clients to more easily expand their usage and the use cases they enable over time. The market may be unreceptive to our general business approach, including being unreceptive to our cloud-based offerings, unreceptive to purchasing multiple products from us, or unreceptive to our customized solutions. As we continue to pursue our business strategy, we may experience volatility in our revenues and operating results caused by various factors, including differences in revenue recognition treatment between our cloud-based offerings and on-premises software licenses, the timing of investments and other expenditures necessary to develop and operate our cloud-based offerings, and the adoption of new sales and delivery methods. If our business strategy is not successful, we may not be able to grow our business, growth may occur more slowly than we anticipate, or our revenues and profits may decline.</w:t>
      </w:r>
    </w:p>
    <w:p>
      <w:pPr>
        <w:spacing w:after="0" w:line="218"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05" w:lineRule="exact"/>
        <w:rPr>
          <w:sz w:val="20"/>
          <w:szCs w:val="20"/>
          <w:color w:val="auto"/>
        </w:rPr>
      </w:pPr>
    </w:p>
    <w:p>
      <w:pPr>
        <w:ind w:right="20" w:firstLine="243"/>
        <w:spacing w:after="0" w:line="261" w:lineRule="auto"/>
        <w:rPr>
          <w:sz w:val="20"/>
          <w:szCs w:val="20"/>
          <w:color w:val="auto"/>
        </w:rPr>
      </w:pPr>
      <w:r>
        <w:rPr>
          <w:rFonts w:ascii="Times New Roman" w:cs="Times New Roman" w:eastAsia="Times New Roman" w:hAnsi="Times New Roman"/>
          <w:sz w:val="18"/>
          <w:szCs w:val="18"/>
          <w:color w:val="auto"/>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9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business analytics industry;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technology;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obtain or use key data for our products;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saturation or contraction of market demand;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loss of key customers;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industry consolidation;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successfully adopt cloud-based technologies;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obtain regulatory approvals for our products and services, including credit score models;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increasing availability of free or relatively inexpensive consumer credit, credit score and other information from public or commercial sources;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execute our selling approach;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successfully sell our products in new vertical markets.</w:t>
      </w:r>
    </w:p>
    <w:p>
      <w:pPr>
        <w:spacing w:after="0" w:line="221"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depend, to a great extent, upon conditions in the banking (including consumer credit) industry. If our clients’ industry experiences uncertainty, it will likely harm our business, financial condition or results of operations.</w:t>
      </w:r>
    </w:p>
    <w:p>
      <w:pPr>
        <w:spacing w:after="0" w:line="18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fiscal 2021, 89% of our revenues were derived from sales of products and services to the banking industry. Periods of global economic uncertainty experienced in the past have produced substantial stress, volatility, illiquidity and disruption of global credit and other financial markets, resulting in the bankruptcy or acquisition of, or government assistance to, several major domestic and international financial institutions. The potential for future stress and disruptions, including in connection with the COVID-19 pandemic, rising inflation and rising interest rates,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 In addition, if consumer demand for financial services and products and the number of credit applications decrease, the demand for our products and services could also be materially reduced. These types of disruptions could lead to a decline in the volumes of services we provide our customers and could negatively impact our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While the rate of account growth in the U.S. bankcard industry has been slow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While we are attempting to expand our sales of consumer credit and banking products and services into international markets, the risks are greater as these markets are also experiencing substantial disruption and we are less well-known in them.</w:t>
      </w:r>
    </w:p>
    <w:p>
      <w:pPr>
        <w:spacing w:after="0" w:line="185"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relatively few customers, as well as our contracts with the three major consumer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Most of our customers are relatively large enterprises, such as banks, credit card issuers, insurers, retailers, telecommunications providers, automotive</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public agencies, and organizations in other industries. As a result, many of our customers and potential customers are significantly larger than we are and may have sufficient bargaining power to demand reduced prices and favorable nonstandard terms.</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addition, the U.S. and other key international economies are experiencing and have experienced in the past a downturn in which economic activity was impacted by falling demand for a variety of goods and services, the level and volatility of interest rates, the level of inflation, restricted credit, poor liquidity, reduced corporate profitability, volatility in credit, equity and foreign exchange markets, bankruptcies and overall uncertainty with respect to the economy. The potential for economic disruption presents considerable risks to our business, including potential bankruptcies or credit deterioration of financial institutions with which we have substantial relationships. Such disruption, whether arising in connection with the current COVID-19 pandemic and military conflict or otherwise, could result in a decline in the volume of transactions that we execute for our customers.</w:t>
      </w:r>
    </w:p>
    <w:p>
      <w:pPr>
        <w:spacing w:after="0" w:line="214" w:lineRule="exact"/>
        <w:rPr>
          <w:sz w:val="20"/>
          <w:szCs w:val="20"/>
          <w:color w:val="auto"/>
        </w:rPr>
      </w:pPr>
    </w:p>
    <w:p>
      <w:pPr>
        <w:jc w:val="both"/>
        <w:ind w:firstLine="243"/>
        <w:spacing w:after="0" w:line="243" w:lineRule="auto"/>
        <w:rPr>
          <w:sz w:val="20"/>
          <w:szCs w:val="20"/>
          <w:color w:val="auto"/>
        </w:rPr>
      </w:pPr>
      <w:r>
        <w:rPr>
          <w:rFonts w:ascii="Times New Roman" w:cs="Times New Roman" w:eastAsia="Times New Roman" w:hAnsi="Times New Roman"/>
          <w:sz w:val="18"/>
          <w:szCs w:val="18"/>
          <w:color w:val="auto"/>
        </w:rPr>
        <w:t>We also derive a substantial portion of our revenues and operating income from our contracts with the three major consumer reporting agencies in the U.S., Experian, TransUnion and Equifax, and other parties that distribute our products to certain markets. The loss of or a significant change in a relationship with one of the three consumer reporting agencies with respect to their distribution of our products or with respect to our myFICO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offerings, the loss of or a significant change in a relationship with a major customer, the loss of or a significant change in a relationship with a significant third-party distributor (including payment card processors), or the loss of or delay of significant revenues from these sources, could have a material adverse effect on our revenues and results of operations.</w:t>
      </w:r>
    </w:p>
    <w:p>
      <w:pPr>
        <w:spacing w:after="0" w:line="219" w:lineRule="exact"/>
        <w:rPr>
          <w:sz w:val="20"/>
          <w:szCs w:val="20"/>
          <w:color w:val="auto"/>
        </w:rPr>
      </w:pPr>
    </w:p>
    <w:p>
      <w:pPr>
        <w:jc w:val="both"/>
        <w:ind w:right="20" w:firstLine="162"/>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use of the </w:t>
      </w:r>
      <w:r>
        <w:rPr>
          <w:rFonts w:ascii="Times New Roman" w:cs="Times New Roman" w:eastAsia="Times New Roman" w:hAnsi="Times New Roman"/>
          <w:sz w:val="18"/>
          <w:szCs w:val="18"/>
          <w:b w:val="1"/>
          <w:bCs w:val="1"/>
          <w:color w:val="auto"/>
        </w:rPr>
        <w:t>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Score by Fannie Mae and Freddie Mac were to cease or decline, it could have a material adverse effect on our revenues, results of operations and stock price.</w:t>
      </w:r>
    </w:p>
    <w:p>
      <w:pPr>
        <w:spacing w:after="0" w:line="225" w:lineRule="exact"/>
        <w:rPr>
          <w:sz w:val="20"/>
          <w:szCs w:val="20"/>
          <w:color w:val="auto"/>
        </w:rPr>
      </w:pPr>
    </w:p>
    <w:p>
      <w:pPr>
        <w:jc w:val="both"/>
        <w:ind w:firstLine="243"/>
        <w:spacing w:after="0" w:line="243" w:lineRule="auto"/>
        <w:rPr>
          <w:sz w:val="20"/>
          <w:szCs w:val="20"/>
          <w:color w:val="auto"/>
        </w:rPr>
      </w:pPr>
      <w:r>
        <w:rPr>
          <w:rFonts w:ascii="Times New Roman" w:cs="Times New Roman" w:eastAsia="Times New Roman" w:hAnsi="Times New Roman"/>
          <w:sz w:val="18"/>
          <w:szCs w:val="18"/>
          <w:color w:val="auto"/>
        </w:rPr>
        <w:t>A significant portion of our revenues in our Scores segment is attributable to the U.S. mortgage market, which includes, for mortgages eligible for purchase by The Federal National Mortgage Association (“Fannie Mae”) and The Federal Home Loan Mortgage Corporation (“Freddie Mac”), a requirement by those enterprises that U.S. lenders provide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 for each mortgage delivered to them. However, their continued use of the FICO Score is currently subject to validation and approval by those enterprises and the Federal Housing Finance Agency. If </w:t>
      </w:r>
      <w:r>
        <w:rPr>
          <w:rFonts w:ascii="Times New Roman" w:cs="Times New Roman" w:eastAsia="Times New Roman" w:hAnsi="Times New Roman"/>
          <w:sz w:val="18"/>
          <w:szCs w:val="18"/>
          <w:color w:val="121212"/>
        </w:rPr>
        <w:t>other credit score models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21212"/>
        </w:rPr>
        <w:t>approved for use with mortgages delivered to Fannie Mae and Freddie Mac, or the FICO Score is not approved for continued use with those mortgages, it could have a material adverse effect on our revenues, results of operations and stock price.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access new markets or develop new distribution channels, our business and growth prospects could suffer.</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expect that part of the growth that we seek to achieve through our business strategy will be derived from the sale of products and service solutions in industries and markets we do not currently serve. We also expect to grow our business by delivering our solutions through additional distribution channels. If we fail to penetrate these industries and markets to the degree we anticipate utilizing our business strategy, or if we fail to develop additional distribution channels, we may not be able to grow our business, growth may occur more slowly than we anticipate, or our revenues and profits may decline.</w:t>
      </w:r>
    </w:p>
    <w:p>
      <w:pPr>
        <w:spacing w:after="0" w:line="203"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8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growth and the success of our business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215"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8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business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fail to keep up with rapidly changing technologies, our products could become less competitive or obsolete.</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our markets, technology changes rapidly, and there are continuous improvements in computer hardware, network operating systems, programming tools, programming languages, operating systems, database technologies, cloud-based technologies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23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innovate by internally developing new and competitive technologies;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use leading third-party technologies effectively;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continue to develop our technical expertise;</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 and effectively respond to changing customer needs;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initiate new product introductions in a way that minimizes the impact of customers delaying purchases of existing products in anticipation of new product releases; and</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influence and respond to emerging industry standards and other technological changes.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and pricing strategies may not be successful. If our competitors introduce new products and pricing strategies, it could decrease our product sales and market share, or could pressure us to reduce our product prices in a manner that reduces our margins.</w:t>
      </w:r>
    </w:p>
    <w:p>
      <w:pPr>
        <w:spacing w:after="0" w:line="18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In addition, we may not be able to compete successfully against our competitors, and this inability could impair our capacity to sell our products. The market for our solutions is intensely competitive and is constantly changing, and we expect competition to persist and intensify. Our regional and global competitors vary in size and in the scope of the products and services they offer, and include:</w:t>
      </w:r>
    </w:p>
    <w:p>
      <w:pPr>
        <w:spacing w:after="0" w:line="23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in-house analytic and systems developers;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neural network developers and artificial intelligence system builders;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fraud and compliance solutions providers;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scoring model builders;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providers of credit reports and credit scores;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software companies supplying predictive analytic modeling, rules, or analytic development tools;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entity resolution and social network analysis solutions providers;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providers of customer engagement and risk management solutions;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providers of account/workflow management software;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business process management and decision rules management providers;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enterprise resource planning and customer relationship management solutions providers;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business intelligence solutions providers;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providers of automated application processing services;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third-party professional services and consulting organizations.</w:t>
      </w:r>
    </w:p>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expect to experience additional competition from other established and emerging companies. This could include customers of ours that develop their own scoring models or other products, and as a result no longer purchase or reduce their purchases from us. We also expect to experience competition from other technologies. For example, certain of our fraud solutions products compete against other methods of preventing payment card fraud, such as payment cards that contain the cardholder’s photograph; smart cards; cardholder verification and authentication solutions; biometric measures on devices including fingerprint and face matching; and other card authorization techniques and user verification techniques.</w:t>
      </w:r>
    </w:p>
    <w:p>
      <w:pPr>
        <w:spacing w:after="0" w:line="21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Many of our existing and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Experian, TransUnion and Equifax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2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relationships with third parties for marketing, distribution and certain services. If we experience difficulties in these relationships, including competition from these third parties, our future revenues may be adversely affected.</w:t>
      </w:r>
    </w:p>
    <w:p>
      <w:pPr>
        <w:spacing w:after="0" w:line="18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Many of our products rely on distributors, and we intend to continue to market and distribute our products through existing and future distributor relationships. Our Scores segment relies on, among others, Experian, TransUnion and Equifax. Failure of our existing and future distributors to generate significant revenues or otherwise perform their expected services or functions,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collectively selling the product. Competition from distributors or other sales and marketing partners could significantly harm sales of our products and services.</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reengineering efforts may cause our growth prospects and profitability to suffer.</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part of our management approach, we pursue ongoing reengineering efforts designed to grow revenues through strategic resource allocation and improve profitability through cost reductions. In addition, we have implemented a Remote Work Policy which allows a portion of our workforce to partially or fully work from home. Our reengineering efforts may not be successful over the long term should we fail to reduce expenses at the anticipated level, should we fail to increase revenues to anticipated levels or at all, or should productivity decline or employees’ ability to collaborate fall as a result of the Remote Work Policy. If our reengineering efforts are not successful over the long term, our revenues, results of operations and business may suffer.</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strategic divestitures will provide business benefits.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part of our strategy, we continuously evaluate our portfolio of businesses. We have previously and may in the future make other changes to our portfolio as well, which may be material. Divestitures involve risks, including:</w:t>
      </w:r>
    </w:p>
    <w:p>
      <w:pPr>
        <w:spacing w:after="0" w:line="21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 of our operations or businesses;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reductions of our revenues or earnings per share;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in the separation of operations, services, products and personnel;</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finding a suitable purchaser;</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disposing of businesses or assets at a price or on terms that are less favorable than we had anticipated, or with purchase price adjustments or the exclusion of assets or liabilities that must be divested, managed or run off separately;</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diversion of management's attention from our other businesses;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the potential loss of key personnel;</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adverse effects on relationships with our customers, suppliers or their businesses;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the erosion of employee morale or customer confidence; and</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the retention of contingent liabilities related to the divested business.</w:t>
      </w:r>
    </w:p>
    <w:p>
      <w:pPr>
        <w:spacing w:after="0" w:line="225"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If we do not successfully manage the risks associated with divestitures, our business, financial condition, and results of operations could be adversely affected as the potential strategic benefits may not be realized or may take longer to realize than expected.</w:t>
      </w:r>
    </w:p>
    <w:p>
      <w:pPr>
        <w:spacing w:after="0" w:line="185" w:lineRule="exact"/>
        <w:rPr>
          <w:sz w:val="20"/>
          <w:szCs w:val="20"/>
          <w:color w:val="auto"/>
        </w:rPr>
      </w:pPr>
    </w:p>
    <w:p>
      <w:pPr>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186"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We have acquired and expect to continue to acquire companies, businesses, products, services and technologies. Acquisitions involve significant risks and uncertainties, including:</w:t>
      </w:r>
    </w:p>
    <w:p>
      <w:pPr>
        <w:spacing w:after="0" w:line="21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our ongoing business may be disrupted and our management’s attention may be diverted by acquisition, transition or integration activities;</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ind w:left="5540"/>
        <w:spacing w:after="0"/>
        <w:rPr>
          <w:rFonts w:ascii="Arial" w:cs="Arial" w:eastAsia="Arial" w:hAnsi="Arial"/>
          <w:sz w:val="22"/>
          <w:szCs w:val="22"/>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39"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retain the key employees, customers and other business partners of the acquired operation;</w:t>
      </w:r>
    </w:p>
    <w:p>
      <w:pPr>
        <w:spacing w:after="0" w:line="22" w:lineRule="exact"/>
        <w:rPr>
          <w:rFonts w:ascii="Arial" w:cs="Arial" w:eastAsia="Arial" w:hAnsi="Arial"/>
          <w:sz w:val="22"/>
          <w:szCs w:val="22"/>
          <w:color w:val="auto"/>
        </w:rPr>
      </w:pPr>
    </w:p>
    <w:p>
      <w:pPr>
        <w:ind w:left="660" w:hanging="328"/>
        <w:spacing w:after="0" w:line="242"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we may have difficulties entering new markets where we have no or limited direct prior experience or where competitors may have stronger market positions;</w:t>
      </w:r>
    </w:p>
    <w:p>
      <w:pPr>
        <w:spacing w:after="0" w:line="2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our operating results or financial condition may be adversely impacted by known or unknown claims or liabilities we assume in an acquisition or that are imposed on us as a result of an acquisition, including claims by government agencies or authorities, terminated employees, current or former customers, former stockholders or other third parties;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we could incur material charges in connection with the impairment of goodwill or other assets that we acquire;</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a company that we acquire may have experienced a security incident that it has yet to discover, investigate and remediate which we might not be identify in a timely manner and which could spread more broadly to other parts of our company during the integration effort;</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we may incur material charges as a result of acquisition costs, costs incurred in combining and/or operating the acquired business, or liabilities assumed in the acquisition that are greater than anticipated;</w:t>
      </w:r>
    </w:p>
    <w:p>
      <w:pPr>
        <w:spacing w:after="0" w:line="24" w:lineRule="exact"/>
        <w:rPr>
          <w:rFonts w:ascii="Arial" w:cs="Arial" w:eastAsia="Arial" w:hAnsi="Arial"/>
          <w:sz w:val="22"/>
          <w:szCs w:val="22"/>
          <w:color w:val="auto"/>
        </w:rPr>
      </w:pPr>
    </w:p>
    <w:p>
      <w:pPr>
        <w:jc w:val="both"/>
        <w:ind w:left="660" w:hanging="328"/>
        <w:spacing w:after="0" w:line="246"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realize the anticipated increase in our revenues from an acquisition for a number of reasons, including if a larger than predicted number of customers decline to renew their contracts, if we are unable to incorporate the acquired technologies or products with our existing product lines in a uniform manner, if we are unable to sell the acquired products to our customer base or if contract models of an acquired company or changes in accounting treatment do not allow us to recognize revenues on a timely basis;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our use of cash to pay for acquisitions may limit other potential uses of our cash, including stock repurchases, dividend payments and retirement of outstanding indebtedness; and</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to the extent we issue a significant amount of equity securities in connection with future acquisitions, existing stockholders may be diluted and earnings per share may decrease.</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Because acquisitions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rely upon proprietary technology rights, and if we are unable to protect them, our business could be harmed.</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21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20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Because our business requires the storage, transmission and utilization of sensitive consumer and customer information, we will continue to routinely be the target of attempted cybersecurity and other security threats by outside third parties, including technically sophisticated and well-resourced bad actors attempting to access or steal the data we store. Many of our products are provided by us through the Internet. We may be exposed to additional cybersecurity threats as we migrate our data from our legacy systems to cloud-based solutions. We operate in an environment of significant risk of cybersecurity incidents resulting from unintentional events or deliberate attacks by third parties or insiders, which may involve exploiting highly obscure security vulnerabilities or sophisticated attack methods. These threats include phishing attacks on our email systems and other cyber-attacks, including state-sponsored cyber-attacks, industrial espionage, insider threats, denial-of-service attacks, computer viruses, ransomware and other malware, payment fraud or other cyber incidents. As a software and technology vendor, we may incorporate or distribute software or other materials from third parties. Attacks or other threats to our supply chain for such software and materials may render us unable to provide assurances of the origin of such software and materials, and could put us at risk of distributing software or other materials that may cause harm to ourselves, our customers or other third parties.</w:t>
      </w:r>
    </w:p>
    <w:p>
      <w:pPr>
        <w:spacing w:after="0" w:line="22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Cybersecurity breaches could expose us to a risk of loss, the unauthorized disclosure of consumer or customer information, significant litigation, regulatory fines, penalties, loss of customers or reputational damage, indemnity obligations and other liability. If our cybersecurity measures are breached as a result of third-party action, employee error, malfeasance or otherwise, and as a result, someone obtains unauthorized access to our systems or to consumer or customer information, sensitive data may be accessed, stolen, disclosed or lost, our reputation may be damaged, our business may suffer and we could incur significant liability. Because the techniques used to obtain unauthorized access, disable or degrade service or to sabotage systems change frequently and generally are not recognized until launched against a target, or even for some time after, we may be unable to anticipate these techniques, implement adequate preventative measures or remediate any intrusion on a timely or effective basis. Because a successful breach of our computer systems, software, networks or other technology asset could occur and persist for an extended period of time before being detected, we may not be able to immediately address the consequences of a cybersecurity incident.</w:t>
      </w:r>
    </w:p>
    <w:p>
      <w:pPr>
        <w:spacing w:after="0" w:line="21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Malicious third parties may also conduct attacks designed to temporarily deny customers, distributors and vendors access to our systems and services. Cybersecurity breaches experienced by our vendors, by our distributors, by our customers, by companies that we acquire, or by us may trigger governmental notice requirements and public disclosures, which may lead to widespread negative publicity. Any such cybersecurity breach,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 In addition, the COVID-19 pandemic may cause increased cybersecurity risk, as cybercriminals attempt to capitalize from the disruption, including remote working arrangements. Further, the recent military conflict between Russia and Ukraine could result in cyberattacks that could directly or indirectly impact us, including retaliatory acts of cyberwarfare from Russia against U.S. companies, or the potential proliferation of malware from the conflict into systems unrelated to the conflict.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business interruptions or failure of our information technology and communication systems, the availability of our products and services could be interrupted which could adversely affect our reputation, business and financial condition.</w:t>
      </w:r>
    </w:p>
    <w:p>
      <w:pPr>
        <w:spacing w:after="0" w:line="18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ability to provide reliable service in our businesses depends on the efficient and uninterrupted operation of our data centers, information technology and communication systems, and increasingly those of our external service providers, including Amazon Web Services. As we continue to grow our SaaS business, our dependency on the continuing operation and availability of these systems increases. Our systems and data centers, and those of our external service providers, could be exposed to damage or interruption. These interruptions can include software or hardware malfunctions, communication failures, outages or other failures of third-party environments or service providers, fires, floods, earthquakes, pandemics (including the COVID-19 pandemic), war, terrorist acts or civil unrest, power losses, equipment failures, computer viruses, denial-of-service or other cybersecurity attacks, employee or insider malfeasance, human error and other events beyond our control. Although we have taken steps to prevent system failures and we have installed back-up systems and procedures to prevent or reduce disruption, such steps may not be sufficient to prevent an interruption of services and our disaster recovery planning may not account for all eventualities.</w:t>
      </w:r>
    </w:p>
    <w:p>
      <w:pPr>
        <w:spacing w:after="0" w:line="21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An operational failure or outage in any of these systems, or damage to or destruction of these systems, which causes disruptions in our services, could result in loss of customers, damage to customer relationships, reduced revenues and profits, refunds of customer charges and damage to our brand and reputation and may require us to incur substantial additional expense to repair or replace damaged equipment and recover data loss caused by the interruption. Any one or more of the foregoing occurrences could have a material adverse effect on our reputation, business, financial condition, cash flows and results of operations.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failure to recruit and retain additional qualified personnel could hinder our ability to successfully manage our business.</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business strategy and our future success will depend in large part on our ability to attract and retain experienced sales, consulting, research and development, marketing, technical support and management personnel. The complexity of our products requires highly trained personnel for research and development and to assist customers with product installation, deployment, maintenance and support.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failure to obtain certain forms of model construction data from our customers or others could harm our business.</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business strategy depends in part upon our ability to access new forms of data to develop custom and proprietary analytic tools. If we fail to maintain sufficient data sourcing relationships with our customers and business partners, or if they decline to provide such data due to privacy, security, competition or regulatory concerns, prohibitions or a lack of permission from their customers or partners, we could lose access to required data and our products, and the development of new products, might become less effective. We could also become subject to increased legislative, regulatory or judicial restrictions or mandates on the collection, disclosure, transfer or use of such data, in particular if such data is not collected by our providers in a way that allows us to legally use the data. Third parties have asserted copyright and other intellectual property interests in these data, and these assertions, if successful, could prevent us from using these data. We may not be successful in maintaining our relationships with these external data source providers or in continuing to obtain data from them on acceptable terms or at all. Any interruption of our supply of data could seriously harm our business, financial condition or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Global Operational Risks</w:t>
      </w:r>
    </w:p>
    <w:p>
      <w:pPr>
        <w:spacing w:after="0" w:line="25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18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in the past, and currently as a result of the COVID-19 pandemic, has produced substantial stress, volatility, illiquidity and disruption of global credit and other financial markets. The COVID-19 pandemic has adversely affected the global economy, leading to reduced consumer spending and lending activities and disruptions and volatility in the global capital markets. The pandemic has also caused shutdowns to businesses and cities worldwide and has disrupted supply chains, business operations, travel, and consumer confidence. In addition, the consequences of the conflict between Russia and Ukraine, including related sanctions and countermeasures, are difficult to predict, and could adversely impact geopolitical and macroeconomic conditions.</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Economic uncertainty has and could continue to negatively affect the businesses and purchasing decisions of companies in the industries we serve. Such disruptions present considerable risks to our businesses and operations. As global economic conditions experience stress and negative volatility, or if there is an escalation in regional or global conflicts, such as that between Russia and Ukraine,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21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subject to risks and uncertainties associated with the United Kingdom’s withdrawal from the European Union (“E.U.”), commonly referred to as “Brexit,” including implications for the free flow of labor and goods in the United Kingdom (“U.K.”) and the E.U. and other economic, financial, legal, tax and trade implications. The post-Brexit relationship between the U.K. and the E.U. continues to evolve, which could cause disruptions to and create uncertainty surrounding our business in the U.K., including affecting our relationships with our existing and future customers, suppliers and employees, and could contribute to long-term instability in financial, stock and currency exchange markets, any of which could have an adverse effect on our business, financial results and operations. Further, any continuing legal or economic disruptions resulting from Brexit may negatively impact our clients with operations in the U.K., which may cause them to reduce their spending budget on our products and services.</w:t>
      </w:r>
    </w:p>
    <w:p>
      <w:pPr>
        <w:spacing w:after="0" w:line="216" w:lineRule="exact"/>
        <w:rPr>
          <w:sz w:val="20"/>
          <w:szCs w:val="20"/>
          <w:color w:val="auto"/>
        </w:rPr>
      </w:pPr>
    </w:p>
    <w:p>
      <w:pPr>
        <w:jc w:val="both"/>
        <w:ind w:firstLine="202"/>
        <w:spacing w:after="0" w:line="258" w:lineRule="auto"/>
        <w:rPr>
          <w:sz w:val="20"/>
          <w:szCs w:val="20"/>
          <w:color w:val="auto"/>
        </w:rPr>
      </w:pPr>
      <w:r>
        <w:rPr>
          <w:rFonts w:ascii="Times New Roman" w:cs="Times New Roman" w:eastAsia="Times New Roman" w:hAnsi="Times New Roman"/>
          <w:sz w:val="18"/>
          <w:szCs w:val="18"/>
          <w:color w:val="auto"/>
        </w:rPr>
        <w:t>As a result of these conditions, risks and uncertainties,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 operations outside the U.S., we are subject to additional risks that may harm our business, financial condition or results of operations.</w:t>
      </w:r>
    </w:p>
    <w:p>
      <w:pPr>
        <w:spacing w:after="0" w:line="25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 large portion of our revenues is derived from international sales. During fiscal 2021, 28%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22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and political conditions in countries where we sell our products and services;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difficulty in staffing and efficiently managing our operations in multiple geographic locations and in various countries;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effects of a variety of foreign laws and regulations, including restrictions on access to personal information;</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data privacy and consumer protection laws and regulations;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import and export licensing requirements;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longer payment cycles;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in enforcing contracts and collecting accounts receivable;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reduced protection for intellectual property rights;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currency fluctuations;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unfavorable tax rules or changes in tariffs and other trade barriers;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the presence and acceptance of varying levels of business corruption in international markets;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212529"/>
        </w:rPr>
        <w:t>terrorism, war, natural disasters and pandemics, including the COVID-19 pandemic;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and delays in translating products and related documentation into foreign languages.</w:t>
      </w:r>
    </w:p>
    <w:p>
      <w:pPr>
        <w:spacing w:after="0" w:line="22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address each of these challenges.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252"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in the U.S. and abroad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Laws and governmental regulation affect how our business is conducted and, in some cases, subject us to the possibility of government supervision and future lawsuits arising from our products and services. Laws and governmental regulations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in the following significant regulatory areas:</w:t>
      </w:r>
    </w:p>
    <w:p>
      <w:pPr>
        <w:spacing w:after="0" w:line="207" w:lineRule="exact"/>
        <w:rPr>
          <w:sz w:val="20"/>
          <w:szCs w:val="20"/>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security laws and regulations that limit the use and disclosure of personally identifiable information, require security procedures, or otherwise apply to the collection, processing, storage, use and transfer of protected data (e.g., the U.S. Financial Services Modernization Act of 1999, also known as the Gramm Leach Bliley Act; the General Data Protection Regulation (the “GDPR”) and country-specific data protection laws enacted to supplement the GDPR; and identity theft, file freezing, security breach notification and similar state privacy laws);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57"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Laws and regulations </w:t>
      </w:r>
      <w:r>
        <w:rPr>
          <w:rFonts w:ascii="Times New Roman" w:cs="Times New Roman" w:eastAsia="Times New Roman" w:hAnsi="Times New Roman"/>
          <w:sz w:val="18"/>
          <w:szCs w:val="18"/>
          <w:color w:val="000000"/>
        </w:rPr>
        <w:t>relating to the privacy, security and transmission of individually identifiable health information, including t</w:t>
      </w:r>
      <w:r>
        <w:rPr>
          <w:rFonts w:ascii="Times New Roman" w:cs="Times New Roman" w:eastAsia="Times New Roman" w:hAnsi="Times New Roman"/>
          <w:sz w:val="18"/>
          <w:szCs w:val="18"/>
          <w:color w:val="212529"/>
        </w:rPr>
        <w:t xml:space="preserve">he Health Insurance Portability and Accountability Act of </w:t>
      </w:r>
      <w:r>
        <w:rPr>
          <w:rFonts w:ascii="Times New Roman" w:cs="Times New Roman" w:eastAsia="Times New Roman" w:hAnsi="Times New Roman"/>
          <w:sz w:val="18"/>
          <w:szCs w:val="18"/>
          <w:color w:val="000000"/>
        </w:rPr>
        <w:t>1996, as amended by the American Recovery and Reinvestment Act of 2009 (“HIPAA”) and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Health Information Technology for Economic and Clinical Health Act (“HITECH”) and their respective implementing regulations;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65" w:lineRule="auto"/>
        <w:tabs>
          <w:tab w:leader="none" w:pos="6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regulatory reform stemming from the Dodd-Frank Wall Street Reform and Consumer Protection Act and the many regulations mandated by that Act, including regulations issued by, and the supervisory and investigative authority of, the Consumer Financial Protection Bureau;</w:t>
      </w:r>
    </w:p>
    <w:p>
      <w:pPr>
        <w:jc w:val="both"/>
        <w:ind w:left="660" w:right="2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or extension of consumer protection laws, including implementing regulations (e.g., the Consumer Financial Protection Act, the Federal Trade Commission Act, the Truth In Lending Act and Regulation Z, the Fair Debt Collection Practices Act, the Servicemembers Civil Relief Act, the Military Lending Act, and the Credit Repair Organizations Act);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data by creditors and consumer reporting agencies (e.g., the U.S. Fair Credit Reporting Act and similar state laws);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requirements that may apply when we provide services directly or indirectly to U.S. federal, state and local government agencies (e.g., the Privacy Act of 1974, the Internal Revenue Service’s Publication 4812 and the Federal Acquisition Regulation);</w:t>
      </w: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lending laws (e.g., the Equal Credit Opportunity Act and Regulation B, and the Fair Housing Act);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Cybersecurity Act of 2015; the U.S. Department of Commerce’s National Institute of Standards and Technology’s Cybersecurity Framework; the Clarifying Lawful Overseas Use of Data Act; and identity theft, file freezing, and similar state privacy laws;</w:t>
      </w:r>
    </w:p>
    <w:p>
      <w:pPr>
        <w:ind w:left="660" w:hanging="328"/>
        <w:spacing w:after="0" w:line="217" w:lineRule="exact"/>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related to extension of credit to consumers through the Electronic Fund Transfers Act and Regulation E, as well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VISA and MasterCard electronic payment standards;</w:t>
      </w:r>
    </w:p>
    <w:p>
      <w:pPr>
        <w:jc w:val="both"/>
        <w:ind w:left="660" w:hanging="328"/>
        <w:spacing w:after="0" w:line="249"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secondary market participants (e.g., Fannie Mae and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our customer communication clients and their use of our products and services (e.g., the Telemarketing Sales Rule, Telephone Consumer Protection Act, the CAN-SPAM Act, the Fair Debt Collection Practices Act, and regulations promulgated thereunder);</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our insurance clients and their use of our insurance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the use of the Internet and social media, telemarketing, advertising, endorsements and testimonials;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Anti-money laundering laws and regulations (e.g., the Bank Secrecy Act and the USA PATRIOT Act);</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restricting transactions with sanctioned parties and regarding export controls as they apply to FICO products delivered in non-U.S. countries (e.g., Office of Foreign Asset Control sanctions and Export Administration Regulations);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 and corruption laws and regulations (e.g., the Foreign Corrupt Practices Act and the UK Bribery Act 2010);</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regulatory standards (e.g., Sarbanes-Oxley Act requirements to maintain and verify internal process controls, including controls for material event awareness and notification); and</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for managing third parties (e.g., vendors, contractors, suppliers and distributors).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addition, many U.S. and foreign jurisdictions have passed, or are currently contemplating, a variety of consumer protection, privacy, and data security laws and regulations that may relate to our business or affect the demand for our products and services. For example, the U.K and E.U. GDPR impose, among other things, strict obligations and restrictions on the ability to collect, analyze and transfer U.K. and E.U. personal data, a requirement for prompt notice of data breaches in certain circumstances, and possible substantial fines for any violations (including possible fines for certain violations of up to the greater of 20 million Euros or 4% of total worldwide annual revenue under the E.U. GDPR and up to the greater of 17.5 million Pounds or 4% of annual global turnover under the U.K. GDPR). A decision in July 2020 by the Court of Justice of the European Union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Schrems II), called into question certain data transfer mechanisms between the E.U. and the U.S. In June 2021, the European Commission issued new standard contractual clauses (“SCCs”) governing cross-border data transfers and data exchanges among controllers and processors, which reflect more recent data protection laws, such as the GDPR, and account for the analysis in the Schrems II decision. The European Data Protection Board (the pan-E.U. data protection regulator) has issued authoritative guidance on the requirements for cross-border transfers which, in accordance with Schrems II, include carrying out a data transfer impact assessment in respect of all cross-border data flows to evaluate whether adequate protection will be afforded to the data transferred in the destination territory. The U.K. Information Commissioner’s Office has also issued its own set of SCCs and authoritative guidance to account for the decision in Schrems II. Our transition to the new SCCs, which may involve interpretive issues and may have an adverse impact on cross-border transfers of personal data, may subject us to additional scrutiny from E.U. or U.K. regulators or may increase our costs of compliance.</w:t>
      </w:r>
    </w:p>
    <w:p>
      <w:pPr>
        <w:spacing w:after="0" w:line="22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Brazil, India, South Africa, Japan, China, Israel, Canada, and several other countries have introduced and, in some cases, enacted, similar privacy and data security laws.</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California Consumer Privacy Act of 2018 (“CCPA”) gives California residents certain privacy rights in the collection and disclosure of their personal information and requires businesses to make certain disclosures and take certain other acts in furtherance of those rights. Additionally, effective starting January 1, 2023, the California Privacy Rights Act (the “CPRA”) will revise and significantly expand the scope of the CCPA. The CPRA also creates a new California data protection agency authorized to implement and enforce the CCPA and the CPRA, which could result in increased privacy and information security enforcement. Other U.S. states have considered and/or enacted similar privacy laws, including Virginia and Colorado, which passed new consumer privacy laws in 2021.</w:t>
      </w:r>
    </w:p>
    <w:p>
      <w:pPr>
        <w:spacing w:after="0" w:line="21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costs and other burdens of compliance with privacy and data security laws and regulations could negatively impact the use and adoption of our solutions and reduce overall demand for them. Additionally, concerns regarding data privacy may cause our customers, or their customers and potential customers, to resist providing the data necessary to allow us to deliver our solutions effectively. Even the perception that the privacy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to existing laws and regulations, changes in the U.S. or foreign legislative, judicial, regulatory or consumer environments could harm our business, financial condition or results of operations. The laws and regulations above, and changes to them or their interpretation by the courts, could affect the demand for or profitability of our products, including scoring and consumer products. New laws and regulations pertaining to our customers could cause them to pursue new strategies, reducing the demand for our products.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infringement claims, it could harm our business.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incur significant defense costs or substantial damages;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be required to cease the use or sale of infringing products;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expend significant resources to develop or license a substitute non-infringing technology;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discontinue the use of some technology; or</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be required to obtain a license under the intellectual property rights of the third-party claiming infringement, which license may not be available or might require substantial royalties or license fees that would reduce our margins.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25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18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For example, the sales cycle of our products can extend to greater than a year and as</w:t>
      </w:r>
    </w:p>
    <w:p>
      <w:pPr>
        <w:jc w:val="both"/>
        <w:spacing w:after="0" w:line="255" w:lineRule="auto"/>
        <w:rPr>
          <w:sz w:val="20"/>
          <w:szCs w:val="20"/>
          <w:color w:val="auto"/>
        </w:rPr>
      </w:pPr>
      <w:r>
        <w:rPr>
          <w:rFonts w:ascii="Times New Roman" w:cs="Times New Roman" w:eastAsia="Times New Roman" w:hAnsi="Times New Roman"/>
          <w:sz w:val="18"/>
          <w:szCs w:val="18"/>
          <w:color w:val="auto"/>
        </w:rPr>
        <w:t>a result, revenues and operating results may vary significantly from period to period.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21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18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Large portions of our customer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and key metrics fluctuate within each quarter and from quarter to quarter, making our future revenue, annual recurring</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 (“ARR”), and financial results difficult to predict, which may cause us to miss analyst expectations and may cause the price of our common stock to decline.</w:t>
      </w:r>
    </w:p>
    <w:p>
      <w:pPr>
        <w:spacing w:after="0" w:line="18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quarterly financial results and key metrics have fluctuated in the past and will continue to do so in the future, and therefore period-to-period comparisons should not be relied upon as an indication of future performance. These fluctuations could cause our stock price to change significantly or experience declines. We also may provide investors with quarterly and annual financial forward-looking guidance that could prove to be inaccurate as a result of these fluctuations and other factors. In addition to the other risks described in these risk factors, some of the factors that could cause our financial results and key metrics to fluctuate include:</w:t>
      </w:r>
    </w:p>
    <w:p>
      <w:pPr>
        <w:spacing w:after="0" w:line="23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variability in demand from our existing customers;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meet the expectations of market analysts;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recommendations by market analysts;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lengthy and variable sales cycle of many products, combined with the relatively large size of orders for our products, increases the likelihood of short-term fluctuation in revenues;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consumer or customer dissatisfaction with, or problems caused by, the performance of our products;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timing of new product announcements and introductions in comparison with our competitors;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level of our operating expenses;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demand and competitive and other conditions in the consumer credit, banking and insurance industries;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the level and volatility of interest rates and the level of inflation;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domestic and international economic conditions, such as those which have occurred as a result of the COVID-19 pandemic;</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complete large installations, and to adopt and configure cloud-based deployments, on schedule and within budget;</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relating to litigation or regulatory matters;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senior management or key personnel;</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acquisition-related expenses and charges;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timing of orders for and deliveries of software systems.</w:t>
      </w:r>
    </w:p>
    <w:p>
      <w:pPr>
        <w:spacing w:after="0" w:line="22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many are fixed and cannot be quickly adjusted as revenue changes. Accordingly, any revenue shortfall below expectations has had, and in the future could have, an immediate and significant adverse effect on our operating results and profitability. Greater than anticipated expenses or a failure to maintain rigorous cost controls would also negatively affect profitability.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5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subject to fluctuations, and will likely continue to be subject to fluctuations, or may decline, regardless of our operating performance.</w:t>
      </w:r>
    </w:p>
    <w:p>
      <w:pPr>
        <w:spacing w:after="0" w:line="18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stock price has been subject to fluctuations due to a number of factors, including variations in our revenues and operating results.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206"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8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third-party to acquire, or discouraging a third-party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211"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8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(including any changes that result from the comprehensive corporate tax reform proposed by the current administration),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3"/>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17"/>
                <w:szCs w:val="17"/>
                <w:b w:val="1"/>
                <w:bCs w:val="1"/>
                <w:color w:val="auto"/>
                <w:w w:val="97"/>
                <w:vertAlign w:val="superscript"/>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7"/>
              </w:rPr>
              <w:t xml:space="preserve">Programs </w:t>
            </w:r>
            <w:r>
              <w:rPr>
                <w:rFonts w:ascii="Times New Roman" w:cs="Times New Roman" w:eastAsia="Times New Roman" w:hAnsi="Times New Roman"/>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2022 through January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3,342,333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 2022 through February 28,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455,078,570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2022 through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115,498</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477.35</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400,185,950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581,577</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455.31</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400,185,950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line="261"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1,702 shares delivered in satisfaction of the tax withholding obligations resulting from the vesting of restricted stock units held by employees during the quarter ended March 31, 2022.</w:t>
      </w:r>
    </w:p>
    <w:p>
      <w:pPr>
        <w:jc w:val="both"/>
        <w:ind w:left="340" w:hanging="332"/>
        <w:spacing w:after="0" w:line="255"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our Board of Directors approved a stock repurchase program following the completion of our previous program. This program is open-ended and authorizes repurchases of shares of our common stock up to an aggregate cost of $500.0 million in the open market or in negotiated transactions.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92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3.1</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48" w:lineRule="exact"/>
        <w:rPr>
          <w:sz w:val="20"/>
          <w:szCs w:val="20"/>
          <w:color w:val="auto"/>
        </w:rPr>
      </w:pPr>
    </w:p>
    <w:p>
      <w:pPr>
        <w:ind w:right="880"/>
        <w:spacing w:after="0" w:line="250"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Composite Restated Certificate of Incorporation of Fair Isaac Corporation. (Incorporated by reference to Exhibit 3.2 to the</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Company’s Form 10-Q for the quarter ended December 31, 2009).</w:t>
        </w:r>
      </w:hyperlink>
    </w:p>
    <w:p>
      <w:pPr>
        <w:spacing w:after="0" w:line="41" w:lineRule="exact"/>
        <w:rPr>
          <w:sz w:val="20"/>
          <w:szCs w:val="20"/>
          <w:color w:val="auto"/>
        </w:rPr>
      </w:pPr>
    </w:p>
    <w:p>
      <w:pPr>
        <w:ind w:right="480"/>
        <w:spacing w:after="0" w:line="250"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By-laws of Fair Isaac Corporation. (Incorporated by reference to Exhibit 3.1 to the Company’s Form 10-Q for the quarter ended</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December 31, 2009).</w:t>
        </w:r>
      </w:hyperlink>
    </w:p>
    <w:p>
      <w:pPr>
        <w:spacing w:after="0" w:line="82" w:lineRule="exact"/>
        <w:rPr>
          <w:sz w:val="20"/>
          <w:szCs w:val="20"/>
          <w:color w:val="auto"/>
        </w:rPr>
      </w:pPr>
    </w:p>
    <w:p>
      <w:pPr>
        <w:sectPr>
          <w:pgSz w:w="11900" w:h="16838" w:orient="portrait"/>
          <w:cols w:equalWidth="0" w:num="2">
            <w:col w:w="1280" w:space="280"/>
            <w:col w:w="968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5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10.1</w:t>
            </w:r>
          </w:p>
        </w:tc>
        <w:tc>
          <w:tcPr>
            <w:tcW w:w="9680" w:type="dxa"/>
            <w:vAlign w:val="bottom"/>
            <w:gridSpan w:val="8"/>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Letter Agreement dated January 6, 2022 by and between the Company and Claus Moldt (Incorporated by reference to Exhibit 10.1 to</w:t>
              </w:r>
            </w:hyperlink>
          </w:p>
        </w:tc>
        <w:tc>
          <w:tcPr>
            <w:tcW w:w="0" w:type="dxa"/>
            <w:vAlign w:val="bottom"/>
          </w:tcPr>
          <w:p>
            <w:pPr>
              <w:spacing w:after="0"/>
              <w:rPr>
                <w:sz w:val="1"/>
                <w:szCs w:val="1"/>
                <w:color w:val="auto"/>
              </w:rPr>
            </w:pPr>
          </w:p>
        </w:tc>
      </w:tr>
      <w:tr>
        <w:trPr>
          <w:trHeight w:val="115"/>
        </w:trPr>
        <w:tc>
          <w:tcPr>
            <w:tcW w:w="1560" w:type="dxa"/>
            <w:vAlign w:val="bottom"/>
            <w:vMerge w:val="continue"/>
          </w:tcPr>
          <w:p>
            <w:pPr>
              <w:spacing w:after="0"/>
              <w:rPr>
                <w:sz w:val="10"/>
                <w:szCs w:val="10"/>
                <w:color w:val="auto"/>
              </w:rPr>
            </w:pPr>
          </w:p>
        </w:tc>
        <w:tc>
          <w:tcPr>
            <w:tcW w:w="9620" w:type="dxa"/>
            <w:vAlign w:val="bottom"/>
            <w:tcBorders>
              <w:top w:val="single" w:sz="8" w:color="0000FF"/>
            </w:tcBorders>
            <w:gridSpan w:val="7"/>
            <w:vMerge w:val="restart"/>
          </w:tcPr>
          <w:p>
            <w:pPr>
              <w:spacing w:after="0" w:line="16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the Company's Form 8-K filed on January 10, 2022).</w:t>
              </w:r>
            </w:hyperlink>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9620" w:type="dxa"/>
            <w:vAlign w:val="bottom"/>
            <w:gridSpan w:val="7"/>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31.1 *</w:t>
            </w:r>
          </w:p>
        </w:tc>
        <w:tc>
          <w:tcPr>
            <w:tcW w:w="35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Certifications of CEO.</w:t>
            </w:r>
          </w:p>
        </w:tc>
        <w:tc>
          <w:tcPr>
            <w:tcW w:w="280" w:type="dxa"/>
            <w:vAlign w:val="bottom"/>
            <w:tcBorders>
              <w:top w:val="single" w:sz="8" w:color="0000FF"/>
            </w:tcBorders>
          </w:tcPr>
          <w:p>
            <w:pPr>
              <w:spacing w:after="0"/>
              <w:rPr>
                <w:sz w:val="22"/>
                <w:szCs w:val="22"/>
                <w:color w:val="auto"/>
              </w:rPr>
            </w:pPr>
          </w:p>
        </w:tc>
        <w:tc>
          <w:tcPr>
            <w:tcW w:w="58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31.2 *</w:t>
            </w:r>
          </w:p>
        </w:tc>
        <w:tc>
          <w:tcPr>
            <w:tcW w:w="3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Certifications of CFO.</w:t>
            </w:r>
          </w:p>
        </w:tc>
        <w:tc>
          <w:tcPr>
            <w:tcW w:w="61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32.1 *</w:t>
            </w:r>
          </w:p>
        </w:tc>
        <w:tc>
          <w:tcPr>
            <w:tcW w:w="2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CEO.</w:t>
            </w:r>
          </w:p>
        </w:tc>
        <w:tc>
          <w:tcPr>
            <w:tcW w:w="71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32.2 *</w:t>
            </w:r>
          </w:p>
        </w:tc>
        <w:tc>
          <w:tcPr>
            <w:tcW w:w="96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Section 1350 Certification of CFO.</w:t>
            </w:r>
          </w:p>
        </w:tc>
        <w:tc>
          <w:tcPr>
            <w:tcW w:w="0" w:type="dxa"/>
            <w:vAlign w:val="bottom"/>
          </w:tcPr>
          <w:p>
            <w:pPr>
              <w:spacing w:after="0"/>
              <w:rPr>
                <w:sz w:val="1"/>
                <w:szCs w:val="1"/>
                <w:color w:val="auto"/>
              </w:rPr>
            </w:pPr>
          </w:p>
        </w:tc>
      </w:tr>
      <w:tr>
        <w:trPr>
          <w:trHeight w:val="304"/>
        </w:trPr>
        <w:tc>
          <w:tcPr>
            <w:tcW w:w="1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101.INS *</w:t>
            </w:r>
          </w:p>
        </w:tc>
        <w:tc>
          <w:tcPr>
            <w:tcW w:w="2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101.SCH *</w:t>
            </w:r>
          </w:p>
        </w:tc>
        <w:tc>
          <w:tcPr>
            <w:tcW w:w="9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101.CAL *</w:t>
            </w:r>
          </w:p>
        </w:tc>
        <w:tc>
          <w:tcPr>
            <w:tcW w:w="9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101.DEF *</w:t>
            </w:r>
          </w:p>
        </w:tc>
        <w:tc>
          <w:tcPr>
            <w:tcW w:w="9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101.LAB *</w:t>
            </w:r>
          </w:p>
        </w:tc>
        <w:tc>
          <w:tcPr>
            <w:tcW w:w="9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101.PRE *</w:t>
            </w:r>
          </w:p>
        </w:tc>
        <w:tc>
          <w:tcPr>
            <w:tcW w:w="9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 *</w:t>
            </w:r>
          </w:p>
        </w:tc>
        <w:tc>
          <w:tcPr>
            <w:tcW w:w="9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29"/>
        </w:trPr>
        <w:tc>
          <w:tcPr>
            <w:tcW w:w="1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  Filed herewith.</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1560" w:type="dxa"/>
            <w:vAlign w:val="bottom"/>
          </w:tcPr>
          <w:p>
            <w:pPr>
              <w:spacing w:after="0"/>
              <w:rPr>
                <w:sz w:val="24"/>
                <w:szCs w:val="24"/>
                <w:color w:val="auto"/>
              </w:rPr>
            </w:pPr>
          </w:p>
        </w:tc>
        <w:tc>
          <w:tcPr>
            <w:tcW w:w="9620" w:type="dxa"/>
            <w:vAlign w:val="bottom"/>
            <w:gridSpan w:val="7"/>
          </w:tcPr>
          <w:p>
            <w:pPr>
              <w:ind w:left="398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27, 2022</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I. MCLAUGHLIN</w:t>
            </w:r>
          </w:p>
        </w:tc>
      </w:tr>
      <w:tr>
        <w:trPr>
          <w:trHeight w:val="216"/>
        </w:trPr>
        <w:tc>
          <w:tcPr>
            <w:tcW w:w="5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I. McLaughlin</w:t>
            </w:r>
          </w:p>
        </w:tc>
      </w:tr>
      <w:tr>
        <w:trPr>
          <w:trHeight w:val="230"/>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r>
        <w:trPr>
          <w:trHeight w:val="229"/>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(for Registrant as duly authorized officer and</w:t>
            </w:r>
          </w:p>
        </w:tc>
      </w:tr>
      <w:tr>
        <w:trPr>
          <w:trHeight w:val="236"/>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 Principal Financial Officer)</w:t>
            </w:r>
          </w:p>
        </w:tc>
      </w:tr>
    </w:tbl>
    <w:p>
      <w:pPr>
        <w:spacing w:after="0" w:line="265"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27, 2022</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S. LEONARD</w:t>
            </w:r>
          </w:p>
        </w:tc>
      </w:tr>
      <w:tr>
        <w:trPr>
          <w:trHeight w:val="216"/>
        </w:trPr>
        <w:tc>
          <w:tcPr>
            <w:tcW w:w="5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S. Leonard</w:t>
            </w:r>
          </w:p>
        </w:tc>
      </w:tr>
      <w:tr>
        <w:trPr>
          <w:trHeight w:val="182"/>
        </w:trPr>
        <w:tc>
          <w:tcPr>
            <w:tcW w:w="520" w:type="dxa"/>
            <w:vAlign w:val="bottom"/>
          </w:tcPr>
          <w:p>
            <w:pPr>
              <w:spacing w:after="0"/>
              <w:rPr>
                <w:sz w:val="15"/>
                <w:szCs w:val="15"/>
                <w:color w:val="auto"/>
              </w:rPr>
            </w:pPr>
          </w:p>
        </w:tc>
        <w:tc>
          <w:tcPr>
            <w:tcW w:w="53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Vice President and Chief Accounting Officer</w:t>
            </w:r>
          </w:p>
        </w:tc>
      </w:tr>
      <w:tr>
        <w:trPr>
          <w:trHeight w:val="236"/>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Lansing, certify that:</w:t>
      </w:r>
    </w:p>
    <w:p>
      <w:pPr>
        <w:spacing w:after="0" w:line="144"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Fair Isaac Corporation;</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657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Lansing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I. McLaughlin, certify that:</w:t>
      </w:r>
    </w:p>
    <w:p>
      <w:pPr>
        <w:spacing w:after="0" w:line="252"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Fair Isaac Corporation;</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2022</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657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I. McLaughlin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2022</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LANSING</w:t>
            </w:r>
          </w:p>
        </w:tc>
      </w:tr>
      <w:tr>
        <w:trPr>
          <w:trHeight w:val="218"/>
        </w:trPr>
        <w:tc>
          <w:tcPr>
            <w:tcW w:w="50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Lansing</w:t>
            </w:r>
          </w:p>
        </w:tc>
      </w:tr>
      <w:tr>
        <w:trPr>
          <w:trHeight w:val="234"/>
        </w:trPr>
        <w:tc>
          <w:tcPr>
            <w:tcW w:w="50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2022</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I. MCLAUGHLIN</w:t>
            </w:r>
          </w:p>
        </w:tc>
      </w:tr>
      <w:tr>
        <w:trPr>
          <w:trHeight w:val="218"/>
        </w:trPr>
        <w:tc>
          <w:tcPr>
            <w:tcW w:w="496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I. McLaughlin</w:t>
            </w:r>
          </w:p>
        </w:tc>
      </w:tr>
      <w:tr>
        <w:trPr>
          <w:trHeight w:val="234"/>
        </w:trPr>
        <w:tc>
          <w:tcPr>
            <w:tcW w:w="49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8"/>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9"/>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emdash "/>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78" Type="http://schemas.openxmlformats.org/officeDocument/2006/relationships/hyperlink" Target="http://www.sec.gov/Archives/edgar/data/814547/000095012310009970/c56194exv3w2.htm" TargetMode="External"/><Relationship Id="rId79" Type="http://schemas.openxmlformats.org/officeDocument/2006/relationships/hyperlink" Target="http://www.sec.gov/Archives/edgar/data/814547/000095012310009970/c56194exv3w1.htm" TargetMode="External"/><Relationship Id="rId80" Type="http://schemas.openxmlformats.org/officeDocument/2006/relationships/hyperlink" Target="http://www.sec.gov/Archives/edgar/data/0000814547/000119312522005793/d12401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2022-04-27T15:36:19Z</dcterms:created>
  <dcterms:modified xsi:type="dcterms:W3CDTF">2022-04-27T15:36:19Z</dcterms:modified>
</cp:coreProperties>
</file>