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312420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337820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108585</wp:posOffset>
            </wp:positionV>
            <wp:extent cx="13836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85725</wp:posOffset>
            </wp:positionV>
            <wp:extent cx="138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0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12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27"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0" w:lineRule="exact"/>
        <w:rPr>
          <w:sz w:val="24"/>
          <w:szCs w:val="24"/>
          <w:color w:val="auto"/>
        </w:rPr>
      </w:pPr>
    </w:p>
    <w:tbl>
      <w:tblPr>
        <w:tblLayout w:type="fixed"/>
        <w:tblInd w:w="3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75"/>
        </w:trPr>
        <w:tc>
          <w:tcPr>
            <w:tcW w:w="3400" w:type="dxa"/>
            <w:vAlign w:val="bottom"/>
            <w:gridSpan w:val="3"/>
          </w:tcPr>
          <w:p>
            <w:pPr>
              <w:ind w:left="840"/>
              <w:spacing w:after="0"/>
              <w:rPr>
                <w:sz w:val="20"/>
                <w:szCs w:val="20"/>
                <w:color w:val="auto"/>
              </w:rPr>
            </w:pPr>
            <w:r>
              <w:rPr>
                <w:rFonts w:ascii="Arial" w:cs="Arial" w:eastAsia="Arial" w:hAnsi="Arial"/>
                <w:sz w:val="18"/>
                <w:szCs w:val="18"/>
                <w:b w:val="1"/>
                <w:bCs w:val="1"/>
                <w:color w:val="auto"/>
                <w:w w:val="88"/>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4381500</wp:posOffset>
            </wp:positionH>
            <wp:positionV relativeFrom="paragraph">
              <wp:posOffset>-250190</wp:posOffset>
            </wp:positionV>
            <wp:extent cx="558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800" cy="825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76200</wp:posOffset>
            </wp:positionV>
            <wp:extent cx="1383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Fair Isaac Corporation</w:t>
      </w:r>
    </w:p>
    <w:p>
      <w:pPr>
        <w:spacing w:after="0" w:line="68" w:lineRule="exact"/>
        <w:rPr>
          <w:sz w:val="24"/>
          <w:szCs w:val="24"/>
          <w:color w:val="auto"/>
        </w:rPr>
      </w:pPr>
    </w:p>
    <w:tbl>
      <w:tblPr>
        <w:tblLayout w:type="fixed"/>
        <w:tblInd w:w="2100" w:type="dxa"/>
        <w:tblCellMar>
          <w:top w:w="0" w:type="dxa"/>
          <w:left w:w="0" w:type="dxa"/>
          <w:bottom w:w="0" w:type="dxa"/>
          <w:right w:w="0" w:type="dxa"/>
        </w:tblCellMar>
      </w:tblPr>
      <w:tr>
        <w:trPr>
          <w:trHeight w:val="229"/>
        </w:trPr>
        <w:tc>
          <w:tcPr>
            <w:tcW w:w="6100" w:type="dxa"/>
            <w:vAlign w:val="bottom"/>
            <w:gridSpan w:val="3"/>
          </w:tcPr>
          <w:p>
            <w:pPr>
              <w:ind w:left="156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240" w:type="dxa"/>
            <w:vAlign w:val="bottom"/>
          </w:tcPr>
          <w:p>
            <w:pPr>
              <w:spacing w:after="0"/>
              <w:rPr>
                <w:sz w:val="19"/>
                <w:szCs w:val="19"/>
                <w:color w:val="auto"/>
              </w:rPr>
            </w:pPr>
          </w:p>
        </w:tc>
      </w:tr>
      <w:tr>
        <w:trPr>
          <w:trHeight w:val="172"/>
        </w:trPr>
        <w:tc>
          <w:tcPr>
            <w:tcW w:w="244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7"/>
        </w:trPr>
        <w:tc>
          <w:tcPr>
            <w:tcW w:w="610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8"/>
              </w:rPr>
              <w:t>Delaware</w:t>
            </w:r>
          </w:p>
        </w:tc>
        <w:tc>
          <w:tcPr>
            <w:tcW w:w="1240" w:type="dxa"/>
            <w:vAlign w:val="bottom"/>
          </w:tcPr>
          <w:p>
            <w:pPr>
              <w:jc w:val="center"/>
              <w:ind w:left="63"/>
              <w:spacing w:after="0"/>
              <w:rPr>
                <w:sz w:val="20"/>
                <w:szCs w:val="20"/>
                <w:color w:val="auto"/>
              </w:rPr>
            </w:pPr>
            <w:r>
              <w:rPr>
                <w:rFonts w:ascii="Arial" w:cs="Arial" w:eastAsia="Arial" w:hAnsi="Arial"/>
                <w:sz w:val="18"/>
                <w:szCs w:val="18"/>
                <w:b w:val="1"/>
                <w:bCs w:val="1"/>
                <w:color w:val="auto"/>
                <w:w w:val="89"/>
              </w:rPr>
              <w:t>94-1499887</w:t>
            </w:r>
          </w:p>
        </w:tc>
      </w:tr>
      <w:tr>
        <w:trPr>
          <w:trHeight w:val="183"/>
        </w:trPr>
        <w:tc>
          <w:tcPr>
            <w:tcW w:w="610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(State or other jurisdiction of</w:t>
            </w:r>
          </w:p>
        </w:tc>
        <w:tc>
          <w:tcPr>
            <w:tcW w:w="1240" w:type="dxa"/>
            <w:vAlign w:val="bottom"/>
          </w:tcPr>
          <w:p>
            <w:pPr>
              <w:jc w:val="center"/>
              <w:ind w:left="63"/>
              <w:spacing w:after="0"/>
              <w:rPr>
                <w:sz w:val="20"/>
                <w:szCs w:val="20"/>
                <w:color w:val="auto"/>
              </w:rPr>
            </w:pPr>
            <w:r>
              <w:rPr>
                <w:rFonts w:ascii="Arial" w:cs="Arial" w:eastAsia="Arial" w:hAnsi="Arial"/>
                <w:sz w:val="14"/>
                <w:szCs w:val="14"/>
                <w:b w:val="1"/>
                <w:bCs w:val="1"/>
                <w:color w:val="auto"/>
                <w:w w:val="94"/>
              </w:rPr>
              <w:t>(I.R.S. Employer</w:t>
            </w:r>
          </w:p>
        </w:tc>
      </w:tr>
      <w:tr>
        <w:trPr>
          <w:trHeight w:val="185"/>
        </w:trPr>
        <w:tc>
          <w:tcPr>
            <w:tcW w:w="610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2"/>
              </w:rPr>
              <w:t>incorporation or organization)</w:t>
            </w:r>
          </w:p>
        </w:tc>
        <w:tc>
          <w:tcPr>
            <w:tcW w:w="1240" w:type="dxa"/>
            <w:vAlign w:val="bottom"/>
          </w:tcPr>
          <w:p>
            <w:pPr>
              <w:jc w:val="center"/>
              <w:ind w:left="63"/>
              <w:spacing w:after="0"/>
              <w:rPr>
                <w:sz w:val="20"/>
                <w:szCs w:val="20"/>
                <w:color w:val="auto"/>
              </w:rPr>
            </w:pPr>
            <w:r>
              <w:rPr>
                <w:rFonts w:ascii="Arial" w:cs="Arial" w:eastAsia="Arial" w:hAnsi="Arial"/>
                <w:sz w:val="14"/>
                <w:szCs w:val="14"/>
                <w:b w:val="1"/>
                <w:bCs w:val="1"/>
                <w:color w:val="auto"/>
                <w:w w:val="92"/>
              </w:rPr>
              <w:t>Identification No.)</w:t>
            </w:r>
          </w:p>
        </w:tc>
      </w:tr>
      <w:tr>
        <w:trPr>
          <w:trHeight w:val="283"/>
        </w:trPr>
        <w:tc>
          <w:tcPr>
            <w:tcW w:w="610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0"/>
              </w:rPr>
              <w:t>181 Metro Drive, Suite 700</w:t>
            </w:r>
          </w:p>
        </w:tc>
        <w:tc>
          <w:tcPr>
            <w:tcW w:w="1240" w:type="dxa"/>
            <w:vAlign w:val="bottom"/>
          </w:tcPr>
          <w:p>
            <w:pPr>
              <w:jc w:val="center"/>
              <w:ind w:left="43"/>
              <w:spacing w:after="0"/>
              <w:rPr>
                <w:sz w:val="20"/>
                <w:szCs w:val="20"/>
                <w:color w:val="auto"/>
              </w:rPr>
            </w:pPr>
            <w:r>
              <w:rPr>
                <w:rFonts w:ascii="Arial" w:cs="Arial" w:eastAsia="Arial" w:hAnsi="Arial"/>
                <w:sz w:val="18"/>
                <w:szCs w:val="18"/>
                <w:b w:val="1"/>
                <w:bCs w:val="1"/>
                <w:color w:val="auto"/>
                <w:w w:val="87"/>
              </w:rPr>
              <w:t>95110-1346</w:t>
            </w:r>
          </w:p>
        </w:tc>
      </w:tr>
      <w:tr>
        <w:trPr>
          <w:trHeight w:val="220"/>
        </w:trPr>
        <w:tc>
          <w:tcPr>
            <w:tcW w:w="6100" w:type="dxa"/>
            <w:vAlign w:val="bottom"/>
            <w:gridSpan w:val="3"/>
          </w:tcPr>
          <w:p>
            <w:pPr>
              <w:ind w:left="320"/>
              <w:spacing w:after="0"/>
              <w:rPr>
                <w:sz w:val="20"/>
                <w:szCs w:val="20"/>
                <w:color w:val="auto"/>
              </w:rPr>
            </w:pPr>
            <w:r>
              <w:rPr>
                <w:rFonts w:ascii="Arial" w:cs="Arial" w:eastAsia="Arial" w:hAnsi="Arial"/>
                <w:sz w:val="18"/>
                <w:szCs w:val="18"/>
                <w:b w:val="1"/>
                <w:bCs w:val="1"/>
                <w:color w:val="auto"/>
              </w:rPr>
              <w:t>San Jose, California</w:t>
            </w:r>
          </w:p>
        </w:tc>
        <w:tc>
          <w:tcPr>
            <w:tcW w:w="1240" w:type="dxa"/>
            <w:vAlign w:val="bottom"/>
          </w:tcPr>
          <w:p>
            <w:pPr>
              <w:spacing w:after="0"/>
              <w:rPr>
                <w:sz w:val="19"/>
                <w:szCs w:val="19"/>
                <w:color w:val="auto"/>
              </w:rPr>
            </w:pPr>
          </w:p>
        </w:tc>
      </w:tr>
      <w:tr>
        <w:trPr>
          <w:trHeight w:val="183"/>
        </w:trPr>
        <w:tc>
          <w:tcPr>
            <w:tcW w:w="610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1240" w:type="dxa"/>
            <w:vAlign w:val="bottom"/>
          </w:tcPr>
          <w:p>
            <w:pPr>
              <w:jc w:val="center"/>
              <w:ind w:left="63"/>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6100" w:type="dxa"/>
            <w:vAlign w:val="bottom"/>
            <w:gridSpan w:val="3"/>
          </w:tcPr>
          <w:p>
            <w:pPr>
              <w:ind w:left="1000"/>
              <w:spacing w:after="0"/>
              <w:rPr>
                <w:sz w:val="20"/>
                <w:szCs w:val="20"/>
                <w:color w:val="auto"/>
              </w:rPr>
            </w:pPr>
            <w:r>
              <w:rPr>
                <w:rFonts w:ascii="Arial" w:cs="Arial" w:eastAsia="Arial" w:hAnsi="Arial"/>
                <w:sz w:val="18"/>
                <w:szCs w:val="18"/>
                <w:b w:val="1"/>
                <w:bCs w:val="1"/>
                <w:color w:val="auto"/>
                <w:w w:val="89"/>
              </w:rPr>
              <w:t>Registrant’s telephone number, including area code: 408-535-1500</w:t>
            </w:r>
          </w:p>
        </w:tc>
        <w:tc>
          <w:tcPr>
            <w:tcW w:w="1240" w:type="dxa"/>
            <w:vAlign w:val="bottom"/>
          </w:tcPr>
          <w:p>
            <w:pPr>
              <w:spacing w:after="0"/>
              <w:rPr>
                <w:sz w:val="24"/>
                <w:szCs w:val="24"/>
                <w:color w:val="auto"/>
              </w:rPr>
            </w:pPr>
          </w:p>
        </w:tc>
      </w:tr>
      <w:tr>
        <w:trPr>
          <w:trHeight w:val="159"/>
        </w:trPr>
        <w:tc>
          <w:tcPr>
            <w:tcW w:w="2440" w:type="dxa"/>
            <w:vAlign w:val="bottom"/>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290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5"/>
              </w:rPr>
              <w:t>Title of each class</w:t>
            </w:r>
          </w:p>
        </w:tc>
        <w:tc>
          <w:tcPr>
            <w:tcW w:w="2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Trading Symbol(s)</w:t>
            </w: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r>
        <w:trPr>
          <w:trHeight w:val="243"/>
        </w:trPr>
        <w:tc>
          <w:tcPr>
            <w:tcW w:w="3720" w:type="dxa"/>
            <w:vAlign w:val="bottom"/>
            <w:gridSpan w:val="3"/>
          </w:tcPr>
          <w:p>
            <w:pPr>
              <w:jc w:val="center"/>
              <w:ind w:right="760"/>
              <w:spacing w:after="0"/>
              <w:rPr>
                <w:sz w:val="20"/>
                <w:szCs w:val="20"/>
                <w:color w:val="auto"/>
              </w:rPr>
            </w:pPr>
            <w:r>
              <w:rPr>
                <w:rFonts w:ascii="Arial" w:cs="Arial" w:eastAsia="Arial" w:hAnsi="Arial"/>
                <w:sz w:val="18"/>
                <w:szCs w:val="18"/>
                <w:color w:val="auto"/>
                <w:w w:val="87"/>
              </w:rPr>
              <w:t>Common Stock, $0.01 par value per share</w:t>
            </w:r>
          </w:p>
        </w:tc>
        <w:tc>
          <w:tcPr>
            <w:tcW w:w="2760" w:type="dxa"/>
            <w:vAlign w:val="bottom"/>
            <w:gridSpan w:val="2"/>
          </w:tcPr>
          <w:p>
            <w:pPr>
              <w:jc w:val="center"/>
              <w:ind w:right="1360"/>
              <w:spacing w:after="0"/>
              <w:rPr>
                <w:sz w:val="20"/>
                <w:szCs w:val="20"/>
                <w:color w:val="auto"/>
              </w:rPr>
            </w:pPr>
            <w:r>
              <w:rPr>
                <w:rFonts w:ascii="Arial" w:cs="Arial" w:eastAsia="Arial" w:hAnsi="Arial"/>
                <w:sz w:val="18"/>
                <w:szCs w:val="18"/>
                <w:color w:val="auto"/>
                <w:w w:val="92"/>
              </w:rPr>
              <w:t>FICO</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bl>
    <w:p>
      <w:pPr>
        <w:spacing w:after="0" w:line="94" w:lineRule="exact"/>
        <w:rPr>
          <w:sz w:val="24"/>
          <w:szCs w:val="24"/>
          <w:color w:val="auto"/>
        </w:rPr>
      </w:pPr>
    </w:p>
    <w:p>
      <w:pPr>
        <w:jc w:val="both"/>
        <w:ind w:firstLine="436"/>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firstLine="436"/>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firstLine="43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3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9"/>
        </w:trPr>
        <w:tc>
          <w:tcPr>
            <w:tcW w:w="3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89"/>
        </w:trPr>
        <w:tc>
          <w:tcPr>
            <w:tcW w:w="3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6"/>
        </w:trPr>
        <w:tc>
          <w:tcPr>
            <w:tcW w:w="33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7" w:lineRule="exact"/>
        <w:rPr>
          <w:sz w:val="24"/>
          <w:szCs w:val="24"/>
          <w:color w:val="auto"/>
        </w:rPr>
      </w:pPr>
    </w:p>
    <w:p>
      <w:pPr>
        <w:ind w:firstLine="436"/>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310515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1" w:lineRule="exact"/>
        <w:rPr>
          <w:sz w:val="20"/>
          <w:szCs w:val="20"/>
          <w:color w:val="auto"/>
        </w:rPr>
      </w:pPr>
    </w:p>
    <w:p>
      <w:pPr>
        <w:ind w:left="900"/>
        <w:spacing w:after="0" w:line="207" w:lineRule="exact"/>
        <w:tabs>
          <w:tab w:leader="none" w:pos="1540" w:val="left"/>
          <w:tab w:leader="none" w:pos="2280" w:val="left"/>
          <w:tab w:leader="none" w:pos="29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number of shares of common stock outstanding on July 23, 2021 was 28,387,185 (excluding 60,469,598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464185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116205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141605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680"/>
          </w:cols>
          <w:pgMar w:left="320" w:top="127"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00" w:type="dxa"/>
            <w:vAlign w:val="bottom"/>
            <w:gridSpan w:val="1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71"/>
        </w:trPr>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80" w:type="dxa"/>
            <w:vAlign w:val="bottom"/>
            <w:gridSpan w:val="4"/>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60" w:type="dxa"/>
            <w:vAlign w:val="bottom"/>
            <w:gridSpan w:val="1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080" w:type="dxa"/>
            <w:vAlign w:val="bottom"/>
            <w:tcBorders>
              <w:top w:val="single" w:sz="8" w:color="0000FF"/>
            </w:tcBorders>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5080" w:type="dxa"/>
            <w:vAlign w:val="bottom"/>
            <w:gridSpan w:val="4"/>
          </w:tcPr>
          <w:p>
            <w:pPr>
              <w:spacing w:after="0"/>
              <w:rPr>
                <w:sz w:val="22"/>
                <w:szCs w:val="22"/>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8160" w:type="dxa"/>
            <w:vAlign w:val="bottom"/>
            <w:gridSpan w:val="14"/>
          </w:tcPr>
          <w:p>
            <w:pPr>
              <w:spacing w:after="0" w:line="205"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2040" w:type="dxa"/>
            <w:vAlign w:val="bottom"/>
            <w:gridSpan w:val="3"/>
          </w:tcPr>
          <w:p>
            <w:pPr>
              <w:jc w:val="right"/>
              <w:spacing w:after="0" w:line="205"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8160" w:type="dxa"/>
            <w:vAlign w:val="bottom"/>
            <w:gridSpan w:val="14"/>
          </w:tcPr>
          <w:p>
            <w:pPr>
              <w:spacing w:after="0" w:line="205" w:lineRule="exact"/>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2040" w:type="dxa"/>
            <w:vAlign w:val="bottom"/>
            <w:gridSpan w:val="3"/>
          </w:tcPr>
          <w:p>
            <w:pPr>
              <w:jc w:val="right"/>
              <w:spacing w:after="0" w:line="205" w:lineRule="exact"/>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920" w:type="dxa"/>
            <w:vAlign w:val="bottom"/>
            <w:gridSpan w:val="3"/>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8160" w:type="dxa"/>
            <w:vAlign w:val="bottom"/>
            <w:gridSpan w:val="14"/>
          </w:tcPr>
          <w:p>
            <w:pPr>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2040" w:type="dxa"/>
            <w:vAlign w:val="bottom"/>
            <w:gridSpan w:val="3"/>
          </w:tcPr>
          <w:p>
            <w:pPr>
              <w:jc w:val="right"/>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160" w:type="dxa"/>
            <w:vAlign w:val="bottom"/>
            <w:gridSpan w:val="14"/>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 – OTHER INFORMATION</w:t>
              </w:r>
            </w:hyperlink>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tcBorders>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520" w:type="dxa"/>
            <w:vAlign w:val="bottom"/>
            <w:tcBorders>
              <w:top w:val="single" w:sz="8" w:color="0000FF"/>
            </w:tcBorders>
          </w:tcPr>
          <w:p>
            <w:pPr>
              <w:spacing w:after="0"/>
              <w:rPr>
                <w:sz w:val="22"/>
                <w:szCs w:val="22"/>
                <w:color w:val="auto"/>
              </w:rPr>
            </w:pPr>
          </w:p>
        </w:tc>
        <w:tc>
          <w:tcPr>
            <w:tcW w:w="5380" w:type="dxa"/>
            <w:vAlign w:val="bottom"/>
            <w:gridSpan w:val="5"/>
          </w:tcPr>
          <w:p>
            <w:pPr>
              <w:spacing w:after="0"/>
              <w:rPr>
                <w:sz w:val="22"/>
                <w:szCs w:val="22"/>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1A.</w:t>
            </w:r>
          </w:p>
        </w:tc>
        <w:tc>
          <w:tcPr>
            <w:tcW w:w="880" w:type="dxa"/>
            <w:vAlign w:val="bottom"/>
            <w:gridSpan w:val="3"/>
          </w:tcPr>
          <w:p>
            <w:pPr>
              <w:spacing w:after="0" w:line="205" w:lineRule="exact"/>
              <w:rPr>
                <w:rFonts w:ascii="Arial" w:cs="Arial" w:eastAsia="Arial" w:hAnsi="Arial"/>
                <w:sz w:val="18"/>
                <w:szCs w:val="18"/>
                <w:color w:val="0000FF"/>
                <w:w w:val="85"/>
              </w:rPr>
            </w:pPr>
            <w:hyperlink w:anchor="page43">
              <w:r>
                <w:rPr>
                  <w:rFonts w:ascii="Arial" w:cs="Arial" w:eastAsia="Arial" w:hAnsi="Arial"/>
                  <w:sz w:val="18"/>
                  <w:szCs w:val="18"/>
                  <w:color w:val="0000FF"/>
                  <w:w w:val="85"/>
                </w:rPr>
                <w:t>Risk Factors</w:t>
              </w:r>
            </w:hyperlink>
          </w:p>
        </w:tc>
        <w:tc>
          <w:tcPr>
            <w:tcW w:w="1380" w:type="dxa"/>
            <w:vAlign w:val="bottom"/>
            <w:gridSpan w:val="5"/>
          </w:tcPr>
          <w:p>
            <w:pPr>
              <w:spacing w:after="0"/>
              <w:rPr>
                <w:sz w:val="17"/>
                <w:szCs w:val="17"/>
                <w:color w:val="auto"/>
              </w:rPr>
            </w:pPr>
          </w:p>
        </w:tc>
        <w:tc>
          <w:tcPr>
            <w:tcW w:w="5900" w:type="dxa"/>
            <w:vAlign w:val="bottom"/>
            <w:gridSpan w:val="6"/>
          </w:tcPr>
          <w:p>
            <w:pPr>
              <w:spacing w:after="0"/>
              <w:rPr>
                <w:sz w:val="17"/>
                <w:szCs w:val="17"/>
                <w:color w:val="auto"/>
              </w:rPr>
            </w:pPr>
          </w:p>
        </w:tc>
        <w:tc>
          <w:tcPr>
            <w:tcW w:w="2040" w:type="dxa"/>
            <w:vAlign w:val="bottom"/>
            <w:gridSpan w:val="3"/>
          </w:tcPr>
          <w:p>
            <w:pPr>
              <w:jc w:val="right"/>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8160" w:type="dxa"/>
            <w:vAlign w:val="bottom"/>
            <w:gridSpan w:val="14"/>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2040" w:type="dxa"/>
            <w:vAlign w:val="bottom"/>
            <w:gridSpan w:val="3"/>
          </w:tcPr>
          <w:p>
            <w:pPr>
              <w:jc w:val="right"/>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4240" w:type="dxa"/>
            <w:vAlign w:val="bottom"/>
            <w:gridSpan w:val="11"/>
          </w:tcPr>
          <w:p>
            <w:pPr>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Defaults Upon Senior Securities</w:t>
              </w:r>
            </w:hyperlink>
          </w:p>
        </w:tc>
        <w:tc>
          <w:tcPr>
            <w:tcW w:w="3920" w:type="dxa"/>
            <w:vAlign w:val="bottom"/>
            <w:gridSpan w:val="3"/>
          </w:tcPr>
          <w:p>
            <w:pPr>
              <w:spacing w:after="0"/>
              <w:rPr>
                <w:sz w:val="17"/>
                <w:szCs w:val="17"/>
                <w:color w:val="auto"/>
              </w:rPr>
            </w:pPr>
          </w:p>
        </w:tc>
        <w:tc>
          <w:tcPr>
            <w:tcW w:w="2040" w:type="dxa"/>
            <w:vAlign w:val="bottom"/>
            <w:gridSpan w:val="3"/>
          </w:tcPr>
          <w:p>
            <w:pPr>
              <w:jc w:val="right"/>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2260" w:type="dxa"/>
            <w:vAlign w:val="bottom"/>
            <w:gridSpan w:val="8"/>
          </w:tcPr>
          <w:p>
            <w:pPr>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5900" w:type="dxa"/>
            <w:vAlign w:val="bottom"/>
            <w:gridSpan w:val="6"/>
          </w:tcPr>
          <w:p>
            <w:pPr>
              <w:spacing w:after="0"/>
              <w:rPr>
                <w:sz w:val="17"/>
                <w:szCs w:val="17"/>
                <w:color w:val="auto"/>
              </w:rPr>
            </w:pPr>
          </w:p>
        </w:tc>
        <w:tc>
          <w:tcPr>
            <w:tcW w:w="2040" w:type="dxa"/>
            <w:vAlign w:val="bottom"/>
            <w:gridSpan w:val="3"/>
          </w:tcPr>
          <w:p>
            <w:pPr>
              <w:jc w:val="right"/>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1280" w:type="dxa"/>
            <w:vAlign w:val="bottom"/>
            <w:gridSpan w:val="4"/>
          </w:tcPr>
          <w:p>
            <w:pPr>
              <w:spacing w:after="0" w:line="205"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Other Information</w:t>
              </w:r>
            </w:hyperlink>
          </w:p>
        </w:tc>
        <w:tc>
          <w:tcPr>
            <w:tcW w:w="440" w:type="dxa"/>
            <w:vAlign w:val="bottom"/>
            <w:gridSpan w:val="3"/>
          </w:tcPr>
          <w:p>
            <w:pPr>
              <w:spacing w:after="0"/>
              <w:rPr>
                <w:sz w:val="17"/>
                <w:szCs w:val="17"/>
                <w:color w:val="auto"/>
              </w:rPr>
            </w:pPr>
          </w:p>
        </w:tc>
        <w:tc>
          <w:tcPr>
            <w:tcW w:w="6440" w:type="dxa"/>
            <w:vAlign w:val="bottom"/>
            <w:gridSpan w:val="7"/>
          </w:tcPr>
          <w:p>
            <w:pPr>
              <w:spacing w:after="0"/>
              <w:rPr>
                <w:sz w:val="17"/>
                <w:szCs w:val="17"/>
                <w:color w:val="auto"/>
              </w:rPr>
            </w:pPr>
          </w:p>
        </w:tc>
        <w:tc>
          <w:tcPr>
            <w:tcW w:w="2040" w:type="dxa"/>
            <w:vAlign w:val="bottom"/>
            <w:gridSpan w:val="3"/>
          </w:tcPr>
          <w:p>
            <w:pPr>
              <w:jc w:val="right"/>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gridSpan w:val="4"/>
          </w:tcPr>
          <w:p>
            <w:pPr>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6880" w:type="dxa"/>
            <w:vAlign w:val="bottom"/>
            <w:gridSpan w:val="10"/>
          </w:tcPr>
          <w:p>
            <w:pPr>
              <w:spacing w:after="0"/>
              <w:rPr>
                <w:sz w:val="17"/>
                <w:szCs w:val="17"/>
                <w:color w:val="auto"/>
              </w:rPr>
            </w:pPr>
          </w:p>
        </w:tc>
        <w:tc>
          <w:tcPr>
            <w:tcW w:w="2040" w:type="dxa"/>
            <w:vAlign w:val="bottom"/>
            <w:gridSpan w:val="3"/>
          </w:tcPr>
          <w:p>
            <w:pPr>
              <w:jc w:val="right"/>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20" w:type="dxa"/>
            <w:vAlign w:val="bottom"/>
            <w:gridSpan w:val="2"/>
          </w:tcPr>
          <w:p>
            <w:pPr>
              <w:spacing w:after="0" w:line="205" w:lineRule="exact"/>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40" w:type="dxa"/>
            <w:vAlign w:val="bottom"/>
            <w:gridSpan w:val="3"/>
          </w:tcPr>
          <w:p>
            <w:pPr>
              <w:jc w:val="right"/>
              <w:spacing w:after="0" w:line="205"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4" w:right="4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4"/>
              </w:rPr>
              <w:t>(In thousands, except par value data)</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157,394</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334,180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42,504</w:t>
            </w:r>
          </w:p>
        </w:tc>
        <w:tc>
          <w:tcPr>
            <w:tcW w:w="0" w:type="dxa"/>
            <w:vAlign w:val="bottom"/>
          </w:tcPr>
          <w:p>
            <w:pPr>
              <w:spacing w:after="0"/>
              <w:rPr>
                <w:sz w:val="1"/>
                <w:szCs w:val="1"/>
                <w:color w:val="auto"/>
              </w:rPr>
            </w:pPr>
          </w:p>
        </w:tc>
      </w:tr>
      <w:tr>
        <w:trPr>
          <w:trHeight w:val="217"/>
        </w:trPr>
        <w:tc>
          <w:tcPr>
            <w:tcW w:w="8260" w:type="dxa"/>
            <w:vAlign w:val="bottom"/>
          </w:tcPr>
          <w:p>
            <w:pPr>
              <w:ind w:left="660"/>
              <w:spacing w:after="0" w:line="204"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556,880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534,078</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57,656</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812,364</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105,285</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1,606,240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7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19,639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23,033</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117,952</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63,367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115,159</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maturities on debt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414,511</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806,622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739,435</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48,005</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1,464,317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1,275,158</w:t>
            </w:r>
          </w:p>
        </w:tc>
        <w:tc>
          <w:tcPr>
            <w:tcW w:w="0" w:type="dxa"/>
            <w:vAlign w:val="bottom"/>
          </w:tcPr>
          <w:p>
            <w:pPr>
              <w:spacing w:after="0"/>
              <w:rPr>
                <w:sz w:val="1"/>
                <w:szCs w:val="1"/>
                <w:color w:val="auto"/>
              </w:rPr>
            </w:pPr>
          </w:p>
        </w:tc>
      </w:tr>
      <w:tr>
        <w:trPr>
          <w:trHeight w:val="204"/>
        </w:trPr>
        <w:tc>
          <w:tcPr>
            <w:tcW w:w="826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260" w:type="dxa"/>
            <w:vAlign w:val="bottom"/>
            <w:shd w:val="clear" w:color="auto" w:fill="CCEEFF"/>
          </w:tcPr>
          <w:p>
            <w:pPr>
              <w:ind w:left="340"/>
              <w:spacing w:after="0" w:line="173" w:lineRule="exact"/>
              <w:rPr>
                <w:sz w:val="20"/>
                <w:szCs w:val="20"/>
                <w:color w:val="auto"/>
              </w:rPr>
            </w:pPr>
            <w:r>
              <w:rPr>
                <w:rFonts w:ascii="Arial" w:cs="Arial" w:eastAsia="Arial" w:hAnsi="Arial"/>
                <w:sz w:val="18"/>
                <w:szCs w:val="18"/>
                <w:color w:val="auto"/>
                <w:w w:val="86"/>
              </w:rPr>
              <w:t>Common stock ($0.01 par value; 200,000 shares authorized, 88,857 shares issued and 28,386 and 29,096 shares</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June 30, 2021 and September 30, 2020, respectively)</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1,171,164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1,218,583</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Treasury stock, at cost (60,471 and 59,761 shares at June 30, 2021 and September 30, 2020, respectively)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(2,997,856)</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2,499,423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2,193,059</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331,082</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1,606,240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Pr>
          <w:p>
            <w:pPr>
              <w:spacing w:after="0"/>
              <w:rPr>
                <w:sz w:val="16"/>
                <w:szCs w:val="16"/>
                <w:color w:val="auto"/>
              </w:rPr>
            </w:pPr>
          </w:p>
        </w:tc>
        <w:tc>
          <w:tcPr>
            <w:tcW w:w="298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tcPr>
          <w:p>
            <w:pPr>
              <w:ind w:left="340"/>
              <w:spacing w:after="0"/>
              <w:rPr>
                <w:sz w:val="20"/>
                <w:szCs w:val="20"/>
                <w:color w:val="auto"/>
              </w:rPr>
            </w:pPr>
            <w:r>
              <w:rPr>
                <w:rFonts w:ascii="Arial" w:cs="Arial" w:eastAsia="Arial" w:hAnsi="Arial"/>
                <w:sz w:val="18"/>
                <w:szCs w:val="18"/>
                <w:color w:val="auto"/>
              </w:rPr>
              <w:t>Transactional and maintenance</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288,078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246,829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821,147</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707,905</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135,563</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License</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76,738</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revenues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338,184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920,206</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267,466</w:t>
            </w:r>
          </w:p>
        </w:tc>
        <w:tc>
          <w:tcPr>
            <w:tcW w:w="0" w:type="dxa"/>
            <w:vAlign w:val="bottom"/>
          </w:tcPr>
          <w:p>
            <w:pPr>
              <w:spacing w:after="0"/>
              <w:rPr>
                <w:sz w:val="1"/>
                <w:szCs w:val="1"/>
                <w:color w:val="auto"/>
              </w:rPr>
            </w:pPr>
          </w:p>
        </w:tc>
      </w:tr>
      <w:tr>
        <w:trPr>
          <w:trHeight w:val="224"/>
        </w:trPr>
        <w:tc>
          <w:tcPr>
            <w:tcW w:w="4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119,793</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315,318</w:t>
            </w:r>
          </w:p>
        </w:tc>
        <w:tc>
          <w:tcPr>
            <w:tcW w:w="0" w:type="dxa"/>
            <w:vAlign w:val="bottom"/>
          </w:tcPr>
          <w:p>
            <w:pPr>
              <w:spacing w:after="0"/>
              <w:rPr>
                <w:sz w:val="1"/>
                <w:szCs w:val="1"/>
                <w:color w:val="auto"/>
              </w:rPr>
            </w:pPr>
          </w:p>
        </w:tc>
      </w:tr>
      <w:tr>
        <w:trPr>
          <w:trHeight w:val="224"/>
        </w:trPr>
        <w:tc>
          <w:tcPr>
            <w:tcW w:w="43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impairment charges</w:t>
            </w:r>
          </w:p>
        </w:tc>
        <w:tc>
          <w:tcPr>
            <w:tcW w:w="9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24"/>
        </w:trPr>
        <w:tc>
          <w:tcPr>
            <w:tcW w:w="4380" w:type="dxa"/>
            <w:vAlign w:val="bottom"/>
          </w:tcPr>
          <w:p>
            <w:pPr>
              <w:ind w:left="340"/>
              <w:spacing w:after="0"/>
              <w:rPr>
                <w:sz w:val="20"/>
                <w:szCs w:val="20"/>
                <w:color w:val="auto"/>
              </w:rPr>
            </w:pPr>
            <w:r>
              <w:rPr>
                <w:rFonts w:ascii="Arial" w:cs="Arial" w:eastAsia="Arial" w:hAnsi="Arial"/>
                <w:sz w:val="18"/>
                <w:szCs w:val="18"/>
                <w:color w:val="auto"/>
                <w:w w:val="86"/>
              </w:rPr>
              <w:t>Gains on product line asset sales and business divestiture</w:t>
            </w: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(92,805)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Borders>
              <w:top w:val="single" w:sz="8" w:color="CCEEFF"/>
            </w:tcBorders>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143,800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230,860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591,655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709,727</w:t>
            </w:r>
          </w:p>
        </w:tc>
        <w:tc>
          <w:tcPr>
            <w:tcW w:w="0" w:type="dxa"/>
            <w:vAlign w:val="bottom"/>
          </w:tcPr>
          <w:p>
            <w:pPr>
              <w:spacing w:after="0"/>
              <w:rPr>
                <w:sz w:val="1"/>
                <w:szCs w:val="1"/>
                <w:color w:val="auto"/>
              </w:rPr>
            </w:pPr>
          </w:p>
        </w:tc>
      </w:tr>
      <w:tr>
        <w:trPr>
          <w:trHeight w:val="217"/>
        </w:trPr>
        <w:tc>
          <w:tcPr>
            <w:tcW w:w="4380" w:type="dxa"/>
            <w:vAlign w:val="bottom"/>
          </w:tcPr>
          <w:p>
            <w:pPr>
              <w:ind w:left="20"/>
              <w:spacing w:after="0" w:line="204" w:lineRule="exact"/>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194,384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390,304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210,479</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180,567</w:t>
            </w: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151,198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177,285</w:t>
            </w:r>
          </w:p>
        </w:tc>
        <w:tc>
          <w:tcPr>
            <w:tcW w:w="0" w:type="dxa"/>
            <w:vAlign w:val="bottom"/>
          </w:tcPr>
          <w:p>
            <w:pPr>
              <w:spacing w:after="0"/>
              <w:rPr>
                <w:sz w:val="1"/>
                <w:szCs w:val="1"/>
                <w:color w:val="auto"/>
              </w:rPr>
            </w:pPr>
          </w:p>
        </w:tc>
      </w:tr>
      <w:tr>
        <w:trPr>
          <w:trHeight w:val="204"/>
        </w:trPr>
        <w:tc>
          <w:tcPr>
            <w:tcW w:w="438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gain (loss):</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7"/>
        </w:trPr>
        <w:tc>
          <w:tcPr>
            <w:tcW w:w="4380" w:type="dxa"/>
            <w:vAlign w:val="bottom"/>
          </w:tcPr>
          <w:p>
            <w:pPr>
              <w:ind w:left="20"/>
              <w:spacing w:after="0" w:line="204" w:lineRule="exact"/>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155,441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325,809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173,153</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Earnings per share:</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80" w:type="dxa"/>
            <w:vAlign w:val="bottom"/>
          </w:tcPr>
          <w:p>
            <w:pPr>
              <w:ind w:left="34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8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29,195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29,744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29,505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29,966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ISAAC CORPORATION</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6"/>
                <w:szCs w:val="16"/>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Paid-in-Capital</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4"/>
              </w:rPr>
              <w:t>Comprehensive Loss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Stockholders’ Equity</w:t>
            </w:r>
          </w:p>
        </w:tc>
      </w:tr>
      <w:tr>
        <w:trPr>
          <w:trHeight w:val="17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1,181,692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(3,239,109)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2,348,225</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(67,793)</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223,303</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30,004</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2,073</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(245,978)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(285,983)</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151,198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151,198</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4,243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4,243</w:t>
            </w:r>
          </w:p>
        </w:tc>
      </w:tr>
      <w:tr>
        <w:trPr>
          <w:trHeight w:val="20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(3,482,483)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2,499,423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124,838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6"/>
                <w:szCs w:val="16"/>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Paid-in-Capital</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4"/>
              </w:rPr>
              <w:t>Comprehensive Loss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Stockholders’ Equity</w:t>
            </w:r>
          </w:p>
        </w:tc>
      </w:tr>
      <w:tr>
        <w:trPr>
          <w:trHeight w:val="17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1,169,217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(2,930,165)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2,069,857</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(95,049)</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214,151</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22,264</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(53,988)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(53,990)</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64,076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64,076</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832</w:t>
            </w:r>
          </w:p>
        </w:tc>
      </w:tr>
      <w:tr>
        <w:trPr>
          <w:trHeight w:val="20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1,187,717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(2,980,437)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2,133,933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247,286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6"/>
                <w:szCs w:val="16"/>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Paid-in-Capital</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4"/>
              </w:rPr>
              <w:t>Comprehensive Loss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Stockholders’ Equity</w:t>
            </w:r>
          </w:p>
        </w:tc>
      </w:tr>
      <w:tr>
        <w:trPr>
          <w:trHeight w:val="17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1,218,583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(2,997,856)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2,193,059</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(82,995)</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331,082</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83,342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83,342</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(90,761)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16,568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(74,190)</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(1,031)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(501,195)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(541,205)</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306,364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306,364</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19,445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19,445</w:t>
            </w:r>
          </w:p>
        </w:tc>
      </w:tr>
      <w:tr>
        <w:trPr>
          <w:trHeight w:val="20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1,171,164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(3,482,483)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2,499,423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124,838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6"/>
                <w:szCs w:val="16"/>
                <w:color w:val="auto"/>
              </w:rPr>
            </w:pPr>
          </w:p>
        </w:tc>
        <w:tc>
          <w:tcPr>
            <w:tcW w:w="1060" w:type="dxa"/>
            <w:vAlign w:val="bottom"/>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197"/>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Paid-in-Capital</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4"/>
              </w:rPr>
              <w:t>Comprehensive Loss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Stockholders’ Equity</w:t>
            </w:r>
          </w:p>
        </w:tc>
      </w:tr>
      <w:tr>
        <w:trPr>
          <w:trHeight w:val="17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28,944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1,225,365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(2,802,450)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1,956,648</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(90,085)</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289,767</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68,197</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32,007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(73,831)</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(209,994)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(210,000)</w:t>
            </w:r>
          </w:p>
        </w:tc>
      </w:tr>
      <w:tr>
        <w:trPr>
          <w:trHeight w:val="188"/>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177,285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177,285</w:t>
            </w: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(4,132)</w:t>
            </w:r>
          </w:p>
        </w:tc>
      </w:tr>
      <w:tr>
        <w:trPr>
          <w:trHeight w:val="203"/>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1,187,717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(2,980,437)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2,133,933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247,286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306,364</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177,285</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68,197</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Net loss on sales and abandonment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product line asset sales and business divestiture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w:t>
            </w:r>
          </w:p>
        </w:tc>
        <w:tc>
          <w:tcPr>
            <w:tcW w:w="0" w:type="dxa"/>
            <w:vAlign w:val="bottom"/>
          </w:tcPr>
          <w:p>
            <w:pPr>
              <w:spacing w:after="0"/>
              <w:rPr>
                <w:sz w:val="1"/>
                <w:szCs w:val="1"/>
                <w:color w:val="auto"/>
              </w:rPr>
            </w:pPr>
          </w:p>
        </w:tc>
      </w:tr>
      <w:tr>
        <w:trPr>
          <w:trHeight w:val="224"/>
        </w:trPr>
        <w:tc>
          <w:tcPr>
            <w:tcW w:w="826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24"/>
        </w:trPr>
        <w:tc>
          <w:tcPr>
            <w:tcW w:w="8260" w:type="dxa"/>
            <w:vAlign w:val="bottom"/>
          </w:tcPr>
          <w:p>
            <w:pPr>
              <w:ind w:left="108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140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332,062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228,730</w:t>
            </w:r>
          </w:p>
        </w:tc>
        <w:tc>
          <w:tcPr>
            <w:tcW w:w="0" w:type="dxa"/>
            <w:vAlign w:val="bottom"/>
          </w:tcPr>
          <w:p>
            <w:pPr>
              <w:spacing w:after="0"/>
              <w:rPr>
                <w:sz w:val="1"/>
                <w:szCs w:val="1"/>
                <w:color w:val="auto"/>
              </w:rPr>
            </w:pPr>
          </w:p>
        </w:tc>
      </w:tr>
      <w:tr>
        <w:trPr>
          <w:trHeight w:val="204"/>
        </w:trPr>
        <w:tc>
          <w:tcPr>
            <w:tcW w:w="82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(21,073)</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product line asset sales and business divestiture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distribution from equity investment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1400"/>
              <w:spacing w:after="0" w:line="204"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(23,346)</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revolving line of credit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line of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debt issuance costs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Payments on finance leases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(100,067)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 including prepayment under accelerated share repurchase agreement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7"/>
        </w:trPr>
        <w:tc>
          <w:tcPr>
            <w:tcW w:w="8260" w:type="dxa"/>
            <w:vAlign w:val="bottom"/>
            <w:tcBorders>
              <w:bottom w:val="single" w:sz="8" w:color="CCEEFF"/>
            </w:tcBorders>
          </w:tcPr>
          <w:p>
            <w:pPr>
              <w:ind w:left="1400"/>
              <w:spacing w:after="0" w:line="204" w:lineRule="exact"/>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(394,572)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(183,483)</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line="204" w:lineRule="exact"/>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80,218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19,247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106,426</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line="204" w:lineRule="exact"/>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237,612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125,673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260" w:type="dxa"/>
            <w:vAlign w:val="bottom"/>
          </w:tcPr>
          <w:p>
            <w:pPr>
              <w:ind w:left="20"/>
              <w:spacing w:after="0" w:line="172" w:lineRule="exact"/>
              <w:rPr>
                <w:sz w:val="20"/>
                <w:szCs w:val="20"/>
                <w:color w:val="auto"/>
              </w:rPr>
            </w:pPr>
            <w:r>
              <w:rPr>
                <w:rFonts w:ascii="Arial" w:cs="Arial" w:eastAsia="Arial" w:hAnsi="Arial"/>
                <w:sz w:val="18"/>
                <w:szCs w:val="18"/>
                <w:color w:val="auto"/>
                <w:w w:val="91"/>
              </w:rPr>
              <w:t>Cash paid for income taxes, net of refunds of $289 and $1,552 during the nine months ended June 30, 2021, and</w:t>
            </w:r>
          </w:p>
        </w:tc>
        <w:tc>
          <w:tcPr>
            <w:tcW w:w="340" w:type="dxa"/>
            <w:vAlign w:val="bottom"/>
            <w:vMerge w:val="restart"/>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34,465</w:t>
            </w:r>
          </w:p>
        </w:tc>
        <w:tc>
          <w:tcPr>
            <w:tcW w:w="100" w:type="dxa"/>
            <w:vAlign w:val="bottom"/>
          </w:tcPr>
          <w:p>
            <w:pPr>
              <w:spacing w:after="0"/>
              <w:rPr>
                <w:sz w:val="14"/>
                <w:szCs w:val="14"/>
                <w:color w:val="auto"/>
              </w:rPr>
            </w:pPr>
          </w:p>
        </w:tc>
        <w:tc>
          <w:tcPr>
            <w:tcW w:w="480" w:type="dxa"/>
            <w:vAlign w:val="bottom"/>
            <w:vMerge w:val="restart"/>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2020, respectively</w:t>
            </w: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34,844</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Finance lease obligations incurred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left="200" w:right="9340" w:hanging="194"/>
        <w:spacing w:after="0" w:line="445" w:lineRule="auto"/>
        <w:tabs>
          <w:tab w:leader="none" w:pos="178"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Nature of Business </w:t>
      </w:r>
      <w:r>
        <w:rPr>
          <w:rFonts w:ascii="Arial" w:cs="Arial" w:eastAsia="Arial" w:hAnsi="Arial"/>
          <w:sz w:val="15"/>
          <w:szCs w:val="15"/>
          <w:b w:val="1"/>
          <w:bCs w:val="1"/>
          <w:i w:val="1"/>
          <w:iCs w:val="1"/>
          <w:color w:val="auto"/>
        </w:rPr>
        <w:t>Fair Isaac Corporation</w:t>
      </w:r>
    </w:p>
    <w:p>
      <w:pPr>
        <w:jc w:val="both"/>
        <w:ind w:firstLine="436"/>
        <w:spacing w:after="0" w:line="251" w:lineRule="auto"/>
        <w:rPr>
          <w:sz w:val="20"/>
          <w:szCs w:val="20"/>
          <w:color w:val="auto"/>
        </w:rPr>
      </w:pPr>
      <w:r>
        <w:rPr>
          <w:rFonts w:ascii="Arial" w:cs="Arial" w:eastAsia="Arial" w:hAnsi="Arial"/>
          <w:sz w:val="18"/>
          <w:szCs w:val="18"/>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 solutions, credit scoring and credit account management products and services to banks, credit reporting agencies, credit card processing agencies, insurers, retailers, healthcare organizations and public agencies.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Quarterly Report on Form 10-Q, Fair Isaac Corporation is referred to as “FICO,” “we,” “us,” “our,” or “the Company.”</w:t>
      </w:r>
    </w:p>
    <w:p>
      <w:pPr>
        <w:spacing w:after="0" w:line="3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0" w:lineRule="exact"/>
        <w:rPr>
          <w:sz w:val="20"/>
          <w:szCs w:val="20"/>
          <w:color w:val="auto"/>
        </w:rPr>
      </w:pPr>
    </w:p>
    <w:p>
      <w:pPr>
        <w:jc w:val="both"/>
        <w:ind w:firstLine="436"/>
        <w:spacing w:after="0" w:line="305" w:lineRule="auto"/>
        <w:rPr>
          <w:sz w:val="20"/>
          <w:szCs w:val="20"/>
          <w:color w:val="auto"/>
        </w:rPr>
      </w:pPr>
      <w:r>
        <w:rPr>
          <w:rFonts w:ascii="Arial" w:cs="Arial" w:eastAsia="Arial" w:hAnsi="Arial"/>
          <w:sz w:val="15"/>
          <w:szCs w:val="15"/>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2020. The interim financial information contained in this report is not necessarily indicative of the results to be expected for any other interim period or for the entire fiscal year.</w:t>
      </w:r>
    </w:p>
    <w:p>
      <w:pPr>
        <w:spacing w:after="0" w:line="103"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0"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We make estimates and assumptions that affect the amounts reported in the financial statements and the disclosures made in the accompanying notes. For example, we use estimates in determining the collectibility of accounts receivable; the appropriate levels of various accruals; variable considerations included in the transaction price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22"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3" w:lineRule="exact"/>
        <w:rPr>
          <w:sz w:val="20"/>
          <w:szCs w:val="20"/>
          <w:color w:val="auto"/>
        </w:rPr>
      </w:pPr>
    </w:p>
    <w:p>
      <w:pPr>
        <w:jc w:val="both"/>
        <w:ind w:firstLine="396"/>
        <w:spacing w:after="0" w:line="23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Internal-Use Software </w:t>
      </w:r>
      <w:r>
        <w:rPr>
          <w:rFonts w:ascii="Arial" w:cs="Arial" w:eastAsia="Arial" w:hAnsi="Arial"/>
          <w:sz w:val="18"/>
          <w:szCs w:val="18"/>
          <w:color w:val="auto"/>
        </w:rPr>
        <w:t>(“ASU 2018-15”). ASU 2018-15 aligns the requirements for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 cloud computing arrangement that is a service contract with the requirements for capitalizing implementation costs incurred to develop or obtain internal-use software. We adopted ASU 2018-15 in the first quarter of our fiscal 2021 and the adoption did not have a significant impact on our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and ASU 2019-11 (collectively, “Topic 326”).</w:t>
      </w:r>
      <w:r>
        <w:rPr>
          <w:rFonts w:ascii="Arial" w:cs="Arial" w:eastAsia="Arial" w:hAnsi="Arial"/>
          <w:sz w:val="17"/>
          <w:szCs w:val="17"/>
          <w:i w:val="1"/>
          <w:iCs w:val="1"/>
          <w:color w:val="auto"/>
        </w:rPr>
        <w:t xml:space="preserve"> </w:t>
      </w:r>
      <w:r>
        <w:rPr>
          <w:rFonts w:ascii="Arial" w:cs="Arial" w:eastAsia="Arial" w:hAnsi="Arial"/>
          <w:sz w:val="17"/>
          <w:szCs w:val="17"/>
          <w:color w:val="auto"/>
        </w:rPr>
        <w:t>Topic 326 requires measurement and recognition of expected credit losses for financial assets held. We adopted Topic 326 in the first quarter of our fiscal 2021 and the adoption did not have a significant impact on our condensed consolidated financial statements.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do not expect that any recently issued accounting pronouncements will have a significant effect on our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Divestiture</w:t>
      </w:r>
    </w:p>
    <w:p>
      <w:pPr>
        <w:spacing w:after="0" w:line="103" w:lineRule="exact"/>
        <w:rPr>
          <w:sz w:val="20"/>
          <w:szCs w:val="20"/>
          <w:color w:val="auto"/>
        </w:rPr>
      </w:pPr>
    </w:p>
    <w:p>
      <w:pPr>
        <w:jc w:val="both"/>
        <w:ind w:firstLine="396"/>
        <w:spacing w:after="0" w:line="232" w:lineRule="auto"/>
        <w:rPr>
          <w:sz w:val="20"/>
          <w:szCs w:val="20"/>
          <w:color w:val="auto"/>
        </w:rPr>
      </w:pPr>
      <w:r>
        <w:rPr>
          <w:rFonts w:ascii="Arial" w:cs="Arial" w:eastAsia="Arial" w:hAnsi="Arial"/>
          <w:sz w:val="17"/>
          <w:szCs w:val="17"/>
          <w:color w:val="auto"/>
        </w:rPr>
        <w:t xml:space="preserve">On May 4, 2021, we entered into a definitive agreement to sell our Collections and Recovery (“C&amp;R”) business to Jonas Collections and Recovery Inc. (“Jonas”), a company in the Jonas Software operating group of Constellation Software Inc. The decision to sell the C&amp;R business was the result of management’s decision to divest certain software products that are not built on the FICO Decision Management Platform. This divestiture will allow us to focus our development and go to market resources on the growth of our Decision Management Platform products. On June 7, 2021, we completed the sale to Jonas. As the C&amp;R business has the input, process and output elements defined in Accounting Standards Codification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concluded the sale qualified as a sale of a business. The gain recognized from the sale was $92.8 million, which was recorded in gains on product line asset sales and business divestiture within the accompanying condensed consolidated statements of income and comprehensive income. Our C&amp;R business was part of the Applications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16" w:lineRule="exact"/>
        <w:rPr>
          <w:sz w:val="20"/>
          <w:szCs w:val="20"/>
          <w:color w:val="auto"/>
        </w:rPr>
      </w:pPr>
    </w:p>
    <w:p>
      <w:pPr>
        <w:jc w:val="both"/>
        <w:ind w:firstLine="436"/>
        <w:spacing w:after="0" w:line="328" w:lineRule="auto"/>
        <w:rPr>
          <w:sz w:val="20"/>
          <w:szCs w:val="20"/>
          <w:color w:val="auto"/>
        </w:rPr>
      </w:pPr>
      <w:r>
        <w:rPr>
          <w:rFonts w:ascii="Arial" w:cs="Arial" w:eastAsia="Arial" w:hAnsi="Arial"/>
          <w:sz w:val="15"/>
          <w:szCs w:val="15"/>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51" w:lineRule="exact"/>
        <w:rPr>
          <w:sz w:val="20"/>
          <w:szCs w:val="20"/>
          <w:color w:val="auto"/>
        </w:rPr>
      </w:pPr>
    </w:p>
    <w:p>
      <w:pPr>
        <w:jc w:val="both"/>
        <w:ind w:left="1280" w:hanging="561"/>
        <w:spacing w:after="0" w:line="25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marketable securities. We did not have any liabilities that are valued using inputs identified under a Level 1 hierarchy as of June 30, 2021 and September 30, 2020.</w:t>
      </w:r>
    </w:p>
    <w:p>
      <w:pPr>
        <w:spacing w:after="0" w:line="82" w:lineRule="exact"/>
        <w:rPr>
          <w:rFonts w:ascii="Arial" w:cs="Arial" w:eastAsia="Arial" w:hAnsi="Arial"/>
          <w:sz w:val="18"/>
          <w:szCs w:val="18"/>
          <w:color w:val="auto"/>
        </w:rPr>
      </w:pPr>
    </w:p>
    <w:p>
      <w:pPr>
        <w:jc w:val="both"/>
        <w:ind w:left="1280" w:hanging="561"/>
        <w:spacing w:after="0" w:line="248"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that are valued using inputs identified under a Level 2 hierarchy as of June 30, 2021 and September 30, 2020. We measure the fair value of our senior notes based on Level 2 inputs, which include quoted market prices and interest rate spreads of similar securities.</w:t>
      </w:r>
    </w:p>
    <w:p>
      <w:pPr>
        <w:spacing w:after="0" w:line="87" w:lineRule="exact"/>
        <w:rPr>
          <w:rFonts w:ascii="Arial" w:cs="Arial" w:eastAsia="Arial" w:hAnsi="Arial"/>
          <w:sz w:val="18"/>
          <w:szCs w:val="18"/>
          <w:color w:val="auto"/>
        </w:rPr>
      </w:pPr>
    </w:p>
    <w:p>
      <w:pPr>
        <w:jc w:val="both"/>
        <w:ind w:left="1280" w:hanging="561"/>
        <w:spacing w:after="0" w:line="249"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June 30, 2021 and September 30,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June 30, 2021 and September 30,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Active Markets for</w:t>
            </w:r>
          </w:p>
        </w:tc>
        <w:tc>
          <w:tcPr>
            <w:tcW w:w="320" w:type="dxa"/>
            <w:vAlign w:val="bottom"/>
          </w:tcPr>
          <w:p>
            <w:pPr>
              <w:spacing w:after="0"/>
              <w:rPr>
                <w:sz w:val="14"/>
                <w:szCs w:val="14"/>
                <w:color w:val="auto"/>
              </w:rPr>
            </w:pPr>
          </w:p>
        </w:tc>
        <w:tc>
          <w:tcPr>
            <w:tcW w:w="1360" w:type="dxa"/>
            <w:vAlign w:val="bottom"/>
            <w:vMerge w:val="restart"/>
          </w:tcPr>
          <w:p>
            <w:pPr>
              <w:jc w:val="center"/>
              <w:ind w:right="278"/>
              <w:spacing w:after="0"/>
              <w:rPr>
                <w:sz w:val="20"/>
                <w:szCs w:val="20"/>
                <w:color w:val="auto"/>
              </w:rPr>
            </w:pPr>
            <w:r>
              <w:rPr>
                <w:rFonts w:ascii="Arial" w:cs="Arial" w:eastAsia="Arial" w:hAnsi="Arial"/>
                <w:sz w:val="14"/>
                <w:szCs w:val="14"/>
                <w:b w:val="1"/>
                <w:bCs w:val="1"/>
                <w:color w:val="auto"/>
                <w:w w:val="88"/>
              </w:rPr>
              <w:t>Fair Value as of</w:t>
            </w:r>
          </w:p>
        </w:tc>
        <w:tc>
          <w:tcPr>
            <w:tcW w:w="0" w:type="dxa"/>
            <w:vAlign w:val="bottom"/>
          </w:tcPr>
          <w:p>
            <w:pPr>
              <w:spacing w:after="0"/>
              <w:rPr>
                <w:sz w:val="1"/>
                <w:szCs w:val="1"/>
                <w:color w:val="auto"/>
              </w:rPr>
            </w:pPr>
          </w:p>
        </w:tc>
      </w:tr>
      <w:tr>
        <w:trPr>
          <w:trHeight w:val="132"/>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2"/>
              </w:rPr>
              <w:t>Identical Instruments</w:t>
            </w:r>
          </w:p>
        </w:tc>
        <w:tc>
          <w:tcPr>
            <w:tcW w:w="3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5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178"/>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ind w:left="120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2"/>
                <w:szCs w:val="22"/>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0" w:type="dxa"/>
            <w:vAlign w:val="bottom"/>
          </w:tcPr>
          <w:p>
            <w:pPr>
              <w:spacing w:after="0"/>
              <w:rPr>
                <w:sz w:val="1"/>
                <w:szCs w:val="1"/>
                <w:color w:val="auto"/>
              </w:rPr>
            </w:pPr>
          </w:p>
        </w:tc>
      </w:tr>
      <w:tr>
        <w:trPr>
          <w:trHeight w:val="217"/>
        </w:trPr>
        <w:tc>
          <w:tcPr>
            <w:tcW w:w="754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33,240</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Active Markets for</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Fair Value as of September</w:t>
            </w:r>
          </w:p>
        </w:tc>
        <w:tc>
          <w:tcPr>
            <w:tcW w:w="0" w:type="dxa"/>
            <w:vAlign w:val="bottom"/>
          </w:tcPr>
          <w:p>
            <w:pPr>
              <w:spacing w:after="0"/>
              <w:rPr>
                <w:sz w:val="1"/>
                <w:szCs w:val="1"/>
                <w:color w:val="auto"/>
              </w:rPr>
            </w:pPr>
          </w:p>
        </w:tc>
      </w:tr>
      <w:tr>
        <w:trPr>
          <w:trHeight w:val="132"/>
        </w:trPr>
        <w:tc>
          <w:tcPr>
            <w:tcW w:w="7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2"/>
              </w:rPr>
              <w:t>Identical Instruments</w:t>
            </w: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5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8"/>
              </w:rPr>
              <w:t>30, 2020</w:t>
            </w:r>
          </w:p>
        </w:tc>
        <w:tc>
          <w:tcPr>
            <w:tcW w:w="0" w:type="dxa"/>
            <w:vAlign w:val="bottom"/>
          </w:tcPr>
          <w:p>
            <w:pPr>
              <w:spacing w:after="0"/>
              <w:rPr>
                <w:sz w:val="1"/>
                <w:szCs w:val="1"/>
                <w:color w:val="auto"/>
              </w:rPr>
            </w:pPr>
          </w:p>
        </w:tc>
      </w:tr>
      <w:tr>
        <w:trPr>
          <w:trHeight w:val="178"/>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ind w:left="120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2"/>
                <w:szCs w:val="22"/>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35,275</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35,275</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17"/>
        </w:trPr>
        <w:tc>
          <w:tcPr>
            <w:tcW w:w="754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60,788</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551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98" w:lineRule="exact"/>
        <w:rPr>
          <w:sz w:val="20"/>
          <w:szCs w:val="20"/>
          <w:color w:val="auto"/>
        </w:rPr>
      </w:pPr>
    </w:p>
    <w:p>
      <w:pPr>
        <w:ind w:left="320" w:hanging="314"/>
        <w:spacing w:after="0" w:line="263"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 at June 30, 2021 and September 30, 2020. Not included in these tables are cash deposits of $237.4 million and $122.1 million at June 30, 2021 and September 30, 2020, respectively.</w:t>
      </w:r>
    </w:p>
    <w:p>
      <w:pPr>
        <w:spacing w:after="0" w:line="21" w:lineRule="exact"/>
        <w:rPr>
          <w:rFonts w:ascii="Arial" w:cs="Arial" w:eastAsia="Arial" w:hAnsi="Arial"/>
          <w:sz w:val="18"/>
          <w:szCs w:val="18"/>
          <w:color w:val="auto"/>
        </w:rPr>
      </w:pPr>
    </w:p>
    <w:p>
      <w:pPr>
        <w:ind w:left="320" w:hanging="314"/>
        <w:spacing w:after="0" w:line="364" w:lineRule="auto"/>
        <w:tabs>
          <w:tab w:leader="none" w:pos="314"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securities held under a supplemental retirement and savings plan for senior management employees, which are distributed upon termination or retirement of the employees. Included in marketable securities on our condensed consolidated balance sheets at June 30, 2021 and September 30, 2020.</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8 for the fair value of our senior notes.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There were no transfers between Level 1, Level 2, and Level 3 of the fair value hierarchy during the quarters and nine-month periods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16" w:lineRule="exact"/>
        <w:rPr>
          <w:sz w:val="20"/>
          <w:szCs w:val="20"/>
          <w:color w:val="auto"/>
        </w:rPr>
      </w:pPr>
    </w:p>
    <w:p>
      <w:pPr>
        <w:jc w:val="both"/>
        <w:ind w:firstLine="436"/>
        <w:spacing w:after="0" w:line="249"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94" w:lineRule="exact"/>
        <w:rPr>
          <w:sz w:val="20"/>
          <w:szCs w:val="20"/>
          <w:color w:val="auto"/>
        </w:rPr>
      </w:pPr>
    </w:p>
    <w:p>
      <w:pPr>
        <w:jc w:val="both"/>
        <w:ind w:firstLine="436"/>
        <w:spacing w:after="0" w:line="317" w:lineRule="auto"/>
        <w:rPr>
          <w:sz w:val="20"/>
          <w:szCs w:val="20"/>
          <w:color w:val="auto"/>
        </w:rPr>
      </w:pPr>
      <w:r>
        <w:rPr>
          <w:rFonts w:ascii="Arial" w:cs="Arial" w:eastAsia="Arial" w:hAnsi="Arial"/>
          <w:sz w:val="15"/>
          <w:szCs w:val="15"/>
          <w:color w:val="auto"/>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June 30, 2021 and 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June 30, 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81"/>
              <w:spacing w:after="0" w:line="131"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1"/>
                <w:szCs w:val="11"/>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4"/>
        </w:trPr>
        <w:tc>
          <w:tcPr>
            <w:tcW w:w="6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91"/>
              </w:rPr>
              <w:t>Currency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60" w:type="dxa"/>
            <w:vAlign w:val="bottom"/>
          </w:tcPr>
          <w:p>
            <w:pPr>
              <w:ind w:left="34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16,600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6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14,601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65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September 30, 2020</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81"/>
              <w:spacing w:after="0" w:line="131"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1"/>
                <w:szCs w:val="11"/>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4"/>
        </w:trPr>
        <w:tc>
          <w:tcPr>
            <w:tcW w:w="6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91"/>
              </w:rPr>
              <w:t>Currency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60" w:type="dxa"/>
            <w:vAlign w:val="bottom"/>
          </w:tcPr>
          <w:p>
            <w:pPr>
              <w:ind w:left="34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17,656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6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16,555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21,300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7,815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foreign currency forward contracts were entered into on June 30, 2021 and September 30, 2020, respectively; therefore, their fair value was $0 on each of these dates.</w:t>
      </w:r>
    </w:p>
    <w:p>
      <w:pPr>
        <w:spacing w:after="0" w:line="180"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Gains (losses) on derivative financial instruments were recorded in our condensed consolidated statements of income and comprehensive income as a component of other income, net, and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w w:val="92"/>
              </w:rPr>
              <w:t>Quarter Ended 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Nine Months Ended June 30,</w:t>
            </w:r>
          </w:p>
        </w:tc>
      </w:tr>
      <w:tr>
        <w:trPr>
          <w:trHeight w:val="183"/>
        </w:trPr>
        <w:tc>
          <w:tcPr>
            <w:tcW w:w="45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178"/>
        </w:trPr>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foreign currency forward contracts</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w:t>
            </w:r>
          </w:p>
        </w:tc>
        <w:tc>
          <w:tcPr>
            <w:tcW w:w="112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3,003</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16" w:lineRule="exact"/>
        <w:rPr>
          <w:sz w:val="20"/>
          <w:szCs w:val="20"/>
          <w:color w:val="auto"/>
        </w:rPr>
      </w:pPr>
    </w:p>
    <w:p>
      <w:pPr>
        <w:jc w:val="both"/>
        <w:ind w:firstLine="396"/>
        <w:spacing w:after="0" w:line="321" w:lineRule="auto"/>
        <w:rPr>
          <w:sz w:val="20"/>
          <w:szCs w:val="20"/>
          <w:color w:val="auto"/>
        </w:rPr>
      </w:pPr>
      <w:r>
        <w:rPr>
          <w:rFonts w:ascii="Arial" w:cs="Arial" w:eastAsia="Arial" w:hAnsi="Arial"/>
          <w:sz w:val="15"/>
          <w:szCs w:val="15"/>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comprehensive income. Amortization expense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w w:val="92"/>
              </w:rPr>
              <w:t>Quarter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Nine Months Ended June 30,</w:t>
            </w:r>
          </w:p>
        </w:tc>
      </w:tr>
      <w:tr>
        <w:trPr>
          <w:trHeight w:val="204"/>
        </w:trPr>
        <w:tc>
          <w:tcPr>
            <w:tcW w:w="4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04"/>
        </w:trPr>
        <w:tc>
          <w:tcPr>
            <w:tcW w:w="4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4"/>
        </w:trPr>
        <w:tc>
          <w:tcPr>
            <w:tcW w:w="4140" w:type="dxa"/>
            <w:vAlign w:val="bottom"/>
          </w:tcPr>
          <w:p>
            <w:pPr>
              <w:ind w:left="20"/>
              <w:spacing w:after="0"/>
              <w:rPr>
                <w:sz w:val="20"/>
                <w:szCs w:val="20"/>
                <w:color w:val="auto"/>
              </w:rPr>
            </w:pPr>
            <w:r>
              <w:rPr>
                <w:rFonts w:ascii="Arial" w:cs="Arial" w:eastAsia="Arial" w:hAnsi="Arial"/>
                <w:sz w:val="18"/>
                <w:szCs w:val="18"/>
                <w:color w:val="auto"/>
              </w:rPr>
              <w:t>Customer contracts and relationships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2,359</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140" w:type="dxa"/>
            <w:vAlign w:val="bottom"/>
            <w:tcBorders>
              <w:bottom w:val="single" w:sz="8" w:color="CCEEFF"/>
            </w:tcBorders>
            <w:shd w:val="clear" w:color="auto" w:fill="CCEEFF"/>
          </w:tcPr>
          <w:p>
            <w:pPr>
              <w:ind w:left="320"/>
              <w:spacing w:after="0" w:line="204"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17"/>
        </w:trPr>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3"/>
        </w:trPr>
        <w:tc>
          <w:tcPr>
            <w:tcW w:w="4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Estimated future intangible asset amortization expense associated with intangible assets existing at June 30, 2021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415"/>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June 30, 2021)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4"/>
        </w:trPr>
        <w:tc>
          <w:tcPr>
            <w:tcW w:w="934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2,105</w:t>
            </w:r>
          </w:p>
        </w:tc>
      </w:tr>
      <w:tr>
        <w:trPr>
          <w:trHeight w:val="225"/>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4"/>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43"/>
        </w:trPr>
        <w:tc>
          <w:tcPr>
            <w:tcW w:w="9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summarizes changes to goodwill during the nine months ended June 30, 2021, both in total and as allocated to our segments: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9"/>
              </w:rPr>
              <w:t>Applications</w:t>
            </w:r>
          </w:p>
        </w:tc>
        <w:tc>
          <w:tcPr>
            <w:tcW w:w="380" w:type="dxa"/>
            <w:vAlign w:val="bottom"/>
          </w:tcPr>
          <w:p>
            <w:pPr>
              <w:spacing w:after="0"/>
              <w:rPr>
                <w:sz w:val="14"/>
                <w:szCs w:val="14"/>
                <w:color w:val="auto"/>
              </w:rPr>
            </w:pPr>
          </w:p>
        </w:tc>
        <w:tc>
          <w:tcPr>
            <w:tcW w:w="114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Scores</w:t>
            </w: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Decision Management</w:t>
            </w:r>
          </w:p>
        </w:tc>
        <w:tc>
          <w:tcPr>
            <w:tcW w:w="340" w:type="dxa"/>
            <w:vAlign w:val="bottom"/>
          </w:tcPr>
          <w:p>
            <w:pPr>
              <w:spacing w:after="0"/>
              <w:rPr>
                <w:sz w:val="14"/>
                <w:szCs w:val="14"/>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Software</w:t>
            </w:r>
          </w:p>
        </w:tc>
        <w:tc>
          <w:tcPr>
            <w:tcW w:w="3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596,804</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146,648</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812,364</w:t>
            </w: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5,265</w:t>
            </w:r>
          </w:p>
        </w:tc>
        <w:tc>
          <w:tcPr>
            <w:tcW w:w="38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C&amp;R business divestiture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576,473</w:t>
            </w:r>
          </w:p>
        </w:tc>
        <w:tc>
          <w:tcPr>
            <w:tcW w:w="3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146,648</w:t>
            </w:r>
          </w:p>
        </w:tc>
        <w:tc>
          <w:tcPr>
            <w:tcW w:w="5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793,185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Composition of Certain Financial Statement Captions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composition of property and equipment, net and other assets at June 30, 2021 and September 30, 2020: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r>
      <w:tr>
        <w:trPr>
          <w:trHeight w:val="184"/>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8"/>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153,879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161,119</w:t>
            </w: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(114,700)</w:t>
            </w:r>
          </w:p>
        </w:tc>
      </w:tr>
      <w:tr>
        <w:trPr>
          <w:trHeight w:val="217"/>
        </w:trPr>
        <w:tc>
          <w:tcPr>
            <w:tcW w:w="8260" w:type="dxa"/>
            <w:vAlign w:val="bottom"/>
          </w:tcPr>
          <w:p>
            <w:pPr>
              <w:ind w:left="50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46,419</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1"/>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Long-term receivables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41,492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54,074</w:t>
            </w: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commissions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38,579</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12,632</w:t>
            </w:r>
          </w:p>
        </w:tc>
      </w:tr>
      <w:tr>
        <w:trPr>
          <w:trHeight w:val="243"/>
        </w:trPr>
        <w:tc>
          <w:tcPr>
            <w:tcW w:w="8260" w:type="dxa"/>
            <w:vAlign w:val="bottom"/>
            <w:tcBorders>
              <w:bottom w:val="single" w:sz="8" w:color="CCEEFF"/>
            </w:tcBorders>
            <w:shd w:val="clear" w:color="auto" w:fill="CCEEFF"/>
          </w:tcPr>
          <w:p>
            <w:pPr>
              <w:ind w:left="52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Revolving Line of Credit</w:t>
      </w:r>
    </w:p>
    <w:p>
      <w:pPr>
        <w:spacing w:after="0" w:line="169"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5"/>
          <w:szCs w:val="15"/>
          <w:color w:val="auto"/>
        </w:rPr>
        <w:t>We have a $400 million unsecured revolving line of credit with a syndicate of banks that expires on May 8, 2023 with an option to increase it, subject to lender approval, by another $100 million.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interest coverage ratio of 3.00. The credit agreement also contains other covenants typical of unsecured facilities. As of June 30, 2021, we had $316.0 million in borrowings outstanding at a weighted-average interest rate of 1.216% and were in compliance with all financial covenants under this credit facility.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Notes</w:t>
      </w:r>
    </w:p>
    <w:p>
      <w:pPr>
        <w:spacing w:after="0" w:line="169"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27"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and with the 2018 Senior Notes, the “Senior Notes”). The 2019 Senior Notes require interest payments semi-annually at a rate of 4.00% per annum and will mature on June 15, 2028.</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indentures for the Senior Notes contain certain covenants typical of unsecured obligations.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face values and fair values for the Senior Notes at June 30, 2021 and September 30,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September 30, 2020</w:t>
            </w:r>
          </w:p>
        </w:tc>
      </w:tr>
      <w:tr>
        <w:trPr>
          <w:trHeight w:val="18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178"/>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2018 Senior Notes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442,000</w:t>
            </w:r>
          </w:p>
        </w:tc>
      </w:tr>
      <w:tr>
        <w:trPr>
          <w:trHeight w:val="224"/>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 2019 Senior Notes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358,750</w:t>
            </w:r>
          </w:p>
        </w:tc>
      </w:tr>
      <w:tr>
        <w:trPr>
          <w:trHeight w:val="243"/>
        </w:trPr>
        <w:tc>
          <w:tcPr>
            <w:tcW w:w="5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13836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51" w:lineRule="exact"/>
        <w:rPr>
          <w:sz w:val="20"/>
          <w:szCs w:val="20"/>
          <w:color w:val="auto"/>
        </w:rPr>
      </w:pPr>
    </w:p>
    <w:p>
      <w:pPr>
        <w:ind w:firstLine="6"/>
        <w:spacing w:after="0" w:line="263" w:lineRule="auto"/>
        <w:tabs>
          <w:tab w:leader="none" w:pos="224" w:val="left"/>
        </w:tabs>
        <w:numPr>
          <w:ilvl w:val="0"/>
          <w:numId w:val="6"/>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$9.4 million and $10.6 million at June 30, 2021 and September 30, 2020,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Accelerated Share Repurchase</w:t>
      </w:r>
    </w:p>
    <w:p>
      <w:pPr>
        <w:spacing w:after="0" w:line="116" w:lineRule="exact"/>
        <w:rPr>
          <w:sz w:val="20"/>
          <w:szCs w:val="20"/>
          <w:color w:val="auto"/>
        </w:rPr>
      </w:pPr>
    </w:p>
    <w:p>
      <w:pPr>
        <w:jc w:val="both"/>
        <w:ind w:firstLine="436"/>
        <w:spacing w:after="0" w:line="299" w:lineRule="auto"/>
        <w:rPr>
          <w:sz w:val="20"/>
          <w:szCs w:val="20"/>
          <w:color w:val="auto"/>
        </w:rPr>
      </w:pPr>
      <w:r>
        <w:rPr>
          <w:rFonts w:ascii="Arial" w:cs="Arial" w:eastAsia="Arial" w:hAnsi="Arial"/>
          <w:sz w:val="15"/>
          <w:szCs w:val="15"/>
          <w:color w:val="auto"/>
        </w:rPr>
        <w:t>We have authorization to make repurchases of shares of our common stock from time to time in the open market or in negotiated transactions. As part of the broader share repurchase program, we entered into an accelerated share repurchase agreement (“ASR Agreement”) with Wells Fargo on June 17, 2021 to repurchase $200.0 million of our common stock. The ASR Agreement was accounted for as two separate transactions (1) a repurchase of common stock and</w:t>
      </w:r>
    </w:p>
    <w:p>
      <w:pPr>
        <w:spacing w:after="0" w:line="1" w:lineRule="exact"/>
        <w:rPr>
          <w:sz w:val="20"/>
          <w:szCs w:val="20"/>
          <w:color w:val="auto"/>
        </w:rPr>
      </w:pPr>
    </w:p>
    <w:p>
      <w:pPr>
        <w:jc w:val="both"/>
        <w:ind w:firstLine="6"/>
        <w:spacing w:after="0" w:line="304" w:lineRule="auto"/>
        <w:tabs>
          <w:tab w:leader="none" w:pos="265" w:val="left"/>
        </w:tabs>
        <w:numPr>
          <w:ilvl w:val="0"/>
          <w:numId w:val="7"/>
        </w:numPr>
        <w:rPr>
          <w:rFonts w:ascii="Arial" w:cs="Arial" w:eastAsia="Arial" w:hAnsi="Arial"/>
          <w:sz w:val="15"/>
          <w:szCs w:val="15"/>
          <w:color w:val="auto"/>
        </w:rPr>
      </w:pPr>
      <w:r>
        <w:rPr>
          <w:rFonts w:ascii="Arial" w:cs="Arial" w:eastAsia="Arial" w:hAnsi="Arial"/>
          <w:sz w:val="15"/>
          <w:szCs w:val="15"/>
          <w:color w:val="auto"/>
        </w:rPr>
        <w:t>an equity-linked contract on our own stock. Pursuant to the ASR Agreement, we paid $200.0 million to Wells Fargo and received an initial delivery of 319,400 shares of common stock, which approximated 80 percent of the total number of expected shares to be repurchased under the ASR Agreement. The final number of shares to be repurchased and the average price paid per share will be determined upon the expected settlement of the agreement during the fourth quarter of fiscal 2021. The final number of shares to be repurchased will be based on the volume-weighted average price of our common stock over the duration of the ASR Agreement, less a discount. The equity-linked contract for the remaining $40.0 million, representing remaining shares to be delivered by Wells Fargo under the ASR Agreement, was recorded as a reduction to stockholders’ equity as of June 30,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Effective Tax Rate</w:t>
      </w:r>
    </w:p>
    <w:p>
      <w:pPr>
        <w:spacing w:after="0" w:line="110" w:lineRule="exact"/>
        <w:rPr>
          <w:sz w:val="20"/>
          <w:szCs w:val="20"/>
          <w:color w:val="auto"/>
        </w:rPr>
      </w:pPr>
    </w:p>
    <w:p>
      <w:pPr>
        <w:jc w:val="both"/>
        <w:ind w:firstLine="436"/>
        <w:spacing w:after="0" w:line="236" w:lineRule="auto"/>
        <w:rPr>
          <w:sz w:val="20"/>
          <w:szCs w:val="20"/>
          <w:color w:val="auto"/>
        </w:rPr>
      </w:pPr>
      <w:r>
        <w:rPr>
          <w:rFonts w:ascii="Arial" w:cs="Arial" w:eastAsia="Arial" w:hAnsi="Arial"/>
          <w:sz w:val="18"/>
          <w:szCs w:val="18"/>
          <w:color w:val="auto"/>
        </w:rPr>
        <w:t>The effective income tax rates were 19.5% and 15.9% during the quarters ended June 30, 2021 and 2020, respectively, and 16.7% and 1.8% during the nine months ended June 30, 2021 and 2020,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37"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 effective tax rates for the nine months ended June 30, 2021 and 2020 were both impacted favorably by the recording of excess tax benefits relating to stock awards. In addition, the effective tax rate for the nine months ended June 30, 2021 was increased by the tax impact of the gain on the sale of C&amp;R business.</w:t>
      </w:r>
    </w:p>
    <w:p>
      <w:pPr>
        <w:spacing w:after="0" w:line="135"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The total unrecognized tax benefit for uncertain tax positions was estimated to be $12.1 million and $8.0 million at June 30, 2021 and September 30, 2020, respectively. We recognize interest expense related to unrecognized tax benefits and penalties as part of the provision for income taxes in our condensed consolidated statements of income and comprehensive income. We accrued interest of $0.6 million and $0.4 million related to unrecognized tax benefits as of June 30, 2021 and September 30, 2020, respectively.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16" w:lineRule="exact"/>
        <w:rPr>
          <w:sz w:val="20"/>
          <w:szCs w:val="20"/>
          <w:color w:val="auto"/>
        </w:rPr>
      </w:pPr>
    </w:p>
    <w:p>
      <w:pPr>
        <w:jc w:val="both"/>
        <w:ind w:firstLine="436"/>
        <w:spacing w:after="0" w:line="309"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nine-month periods ended June 30, 2021 and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480"/>
              <w:spacing w:after="0"/>
              <w:rPr>
                <w:sz w:val="20"/>
                <w:szCs w:val="20"/>
                <w:color w:val="auto"/>
              </w:rPr>
            </w:pPr>
            <w:r>
              <w:rPr>
                <w:rFonts w:ascii="Arial" w:cs="Arial" w:eastAsia="Arial" w:hAnsi="Arial"/>
                <w:sz w:val="14"/>
                <w:szCs w:val="14"/>
                <w:b w:val="1"/>
                <w:bCs w:val="1"/>
                <w:color w:val="auto"/>
              </w:rPr>
              <w:t>Quarter Ended June 30,</w:t>
            </w:r>
          </w:p>
        </w:tc>
        <w:tc>
          <w:tcPr>
            <w:tcW w:w="360" w:type="dxa"/>
            <w:vAlign w:val="bottom"/>
          </w:tcPr>
          <w:p>
            <w:pPr>
              <w:spacing w:after="0"/>
              <w:rPr>
                <w:sz w:val="16"/>
                <w:szCs w:val="16"/>
                <w:color w:val="auto"/>
              </w:rPr>
            </w:pPr>
          </w:p>
        </w:tc>
        <w:tc>
          <w:tcPr>
            <w:tcW w:w="280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 June 30,</w:t>
            </w:r>
          </w:p>
        </w:tc>
      </w:tr>
      <w:tr>
        <w:trPr>
          <w:trHeight w:val="183"/>
        </w:trPr>
        <w:tc>
          <w:tcPr>
            <w:tcW w:w="48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78"/>
        </w:trPr>
        <w:tc>
          <w:tcPr>
            <w:tcW w:w="4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and basic earnings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4"/>
        </w:trPr>
        <w:tc>
          <w:tcPr>
            <w:tcW w:w="4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177,285</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48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Denominator - share: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4"/>
        </w:trPr>
        <w:tc>
          <w:tcPr>
            <w:tcW w:w="4820" w:type="dxa"/>
            <w:vAlign w:val="bottom"/>
          </w:tcPr>
          <w:p>
            <w:pPr>
              <w:ind w:left="340"/>
              <w:spacing w:after="0"/>
              <w:rPr>
                <w:sz w:val="20"/>
                <w:szCs w:val="20"/>
                <w:color w:val="auto"/>
              </w:rPr>
            </w:pPr>
            <w:r>
              <w:rPr>
                <w:rFonts w:ascii="Arial" w:cs="Arial" w:eastAsia="Arial" w:hAnsi="Arial"/>
                <w:sz w:val="18"/>
                <w:szCs w:val="18"/>
                <w:color w:val="auto"/>
              </w:rPr>
              <w:t>Basic weighted-average shares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29,075</w:t>
            </w:r>
          </w:p>
        </w:tc>
      </w:tr>
      <w:tr>
        <w:trPr>
          <w:trHeight w:val="225"/>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17"/>
        </w:trPr>
        <w:tc>
          <w:tcPr>
            <w:tcW w:w="4820" w:type="dxa"/>
            <w:vAlign w:val="bottom"/>
          </w:tcPr>
          <w:p>
            <w:pPr>
              <w:ind w:left="340"/>
              <w:spacing w:after="0" w:line="204" w:lineRule="exact"/>
              <w:rPr>
                <w:sz w:val="20"/>
                <w:szCs w:val="20"/>
                <w:color w:val="auto"/>
              </w:rPr>
            </w:pPr>
            <w:r>
              <w:rPr>
                <w:rFonts w:ascii="Arial" w:cs="Arial" w:eastAsia="Arial" w:hAnsi="Arial"/>
                <w:sz w:val="18"/>
                <w:szCs w:val="18"/>
                <w:color w:val="auto"/>
              </w:rPr>
              <w:t>Diluted weighted-average shares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48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4"/>
        </w:trPr>
        <w:tc>
          <w:tcPr>
            <w:tcW w:w="482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2"/>
        </w:trPr>
        <w:tc>
          <w:tcPr>
            <w:tcW w:w="482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16"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88" w:lineRule="exact"/>
        <w:rPr>
          <w:sz w:val="20"/>
          <w:szCs w:val="20"/>
          <w:color w:val="auto"/>
        </w:rPr>
      </w:pPr>
    </w:p>
    <w:p>
      <w:pPr>
        <w:jc w:val="both"/>
        <w:ind w:left="1280" w:hanging="561"/>
        <w:spacing w:after="0" w:line="285" w:lineRule="auto"/>
        <w:tabs>
          <w:tab w:leader="none" w:pos="1275"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Applications. </w:t>
      </w:r>
      <w:r>
        <w:rPr>
          <w:rFonts w:ascii="Arial" w:cs="Arial" w:eastAsia="Arial" w:hAnsi="Arial"/>
          <w:sz w:val="15"/>
          <w:szCs w:val="15"/>
          <w:color w:val="auto"/>
        </w:rPr>
        <w:t>This segment includes decision management applications designed for a specific type of business problem or process — such</w:t>
      </w:r>
      <w:r>
        <w:rPr>
          <w:rFonts w:ascii="Arial" w:cs="Arial" w:eastAsia="Arial" w:hAnsi="Arial"/>
          <w:sz w:val="15"/>
          <w:szCs w:val="15"/>
          <w:i w:val="1"/>
          <w:iCs w:val="1"/>
          <w:color w:val="auto"/>
        </w:rPr>
        <w:t xml:space="preserve"> </w:t>
      </w:r>
      <w:r>
        <w:rPr>
          <w:rFonts w:ascii="Arial" w:cs="Arial" w:eastAsia="Arial" w:hAnsi="Arial"/>
          <w:sz w:val="15"/>
          <w:szCs w:val="15"/>
          <w:color w:val="auto"/>
        </w:rPr>
        <w:t>as marketing, account origination, customer management, fraud, financial crimes compliance, collections and insurance claims management</w:t>
      </w:r>
    </w:p>
    <w:p>
      <w:pPr>
        <w:ind w:left="1280"/>
        <w:spacing w:after="0" w:line="304" w:lineRule="auto"/>
        <w:rPr>
          <w:rFonts w:ascii="Arial" w:cs="Arial" w:eastAsia="Arial" w:hAnsi="Arial"/>
          <w:sz w:val="15"/>
          <w:szCs w:val="15"/>
          <w:color w:val="auto"/>
        </w:rPr>
      </w:pPr>
      <w:r>
        <w:rPr>
          <w:rFonts w:ascii="Arial" w:cs="Arial" w:eastAsia="Arial" w:hAnsi="Arial"/>
          <w:sz w:val="16"/>
          <w:szCs w:val="16"/>
          <w:color w:val="auto"/>
        </w:rPr>
        <w:t>—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Analytic Cloud or Amazon Web Services (“AWS”).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80" w:hanging="561"/>
        <w:spacing w:after="0" w:line="250" w:lineRule="auto"/>
        <w:tabs>
          <w:tab w:leader="none" w:pos="1275"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Scores</w:t>
      </w:r>
      <w:r>
        <w:rPr>
          <w:rFonts w:ascii="Arial" w:cs="Arial" w:eastAsia="Arial" w:hAnsi="Arial"/>
          <w:sz w:val="17"/>
          <w:szCs w:val="17"/>
          <w:color w:val="auto"/>
        </w:rPr>
        <w:t>. This segment includes our business-to-business scoring solutions and services, our business-to-consumer scoring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myFICO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solutions for consumers, and associated professional services. Our scoring solutions give our clients access to analytics that can be easily integrated into their transaction streams and decision-making processes. Our scoring solutions and services are either distributed through major credit reporting agencies worldwide or sold to our clients directly.</w:t>
      </w:r>
    </w:p>
    <w:p>
      <w:pPr>
        <w:spacing w:after="0" w:line="88" w:lineRule="exact"/>
        <w:rPr>
          <w:rFonts w:ascii="Arial" w:cs="Arial" w:eastAsia="Arial" w:hAnsi="Arial"/>
          <w:sz w:val="17"/>
          <w:szCs w:val="17"/>
          <w:i w:val="1"/>
          <w:iCs w:val="1"/>
          <w:color w:val="auto"/>
        </w:rPr>
      </w:pPr>
    </w:p>
    <w:p>
      <w:pPr>
        <w:jc w:val="both"/>
        <w:ind w:left="1280" w:hanging="561"/>
        <w:spacing w:after="0" w:line="245" w:lineRule="auto"/>
        <w:tabs>
          <w:tab w:leader="none" w:pos="1275"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Decision Management Software. </w:t>
      </w:r>
      <w:r>
        <w:rPr>
          <w:rFonts w:ascii="Arial" w:cs="Arial" w:eastAsia="Arial" w:hAnsi="Arial"/>
          <w:sz w:val="17"/>
          <w:szCs w:val="17"/>
          <w:color w:val="auto"/>
        </w:rPr>
        <w:t>This segment is composed of analytic and decision management software tools that clients can use to create</w:t>
      </w:r>
      <w:r>
        <w:rPr>
          <w:rFonts w:ascii="Arial" w:cs="Arial" w:eastAsia="Arial" w:hAnsi="Arial"/>
          <w:sz w:val="17"/>
          <w:szCs w:val="17"/>
          <w:i w:val="1"/>
          <w:iCs w:val="1"/>
          <w:color w:val="auto"/>
        </w:rPr>
        <w:t xml:space="preserve"> </w:t>
      </w:r>
      <w:r>
        <w:rPr>
          <w:rFonts w:ascii="Arial" w:cs="Arial" w:eastAsia="Arial" w:hAnsi="Arial"/>
          <w:sz w:val="17"/>
          <w:szCs w:val="17"/>
          <w:color w:val="auto"/>
        </w:rPr>
        <w:t>their own custom decision management applications, our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Decision Management Suite, as well as associated professional services. Some of our decision management software is currently delivered as part of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Decision Management Platform and is increasingly being adopted to connect decisioning solutions or previously disconnected use cases. These tools are available to our customers as on-premises software, through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Analytic Cloud or AWS.</w:t>
      </w:r>
    </w:p>
    <w:p>
      <w:pPr>
        <w:spacing w:after="0" w:line="129"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segment information for the quarters and nine-month periods ended June 30,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916"/>
              <w:spacing w:after="0"/>
              <w:rPr>
                <w:sz w:val="20"/>
                <w:szCs w:val="20"/>
                <w:color w:val="auto"/>
              </w:rPr>
            </w:pPr>
            <w:r>
              <w:rPr>
                <w:rFonts w:ascii="Arial" w:cs="Arial" w:eastAsia="Arial" w:hAnsi="Arial"/>
                <w:sz w:val="14"/>
                <w:szCs w:val="14"/>
                <w:b w:val="1"/>
                <w:bCs w:val="1"/>
                <w:color w:val="auto"/>
                <w:w w:val="92"/>
              </w:rPr>
              <w:t>Quarter Ended June 30, 2021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Decision Management</w:t>
            </w: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Applications</w:t>
            </w:r>
          </w:p>
        </w:tc>
        <w:tc>
          <w:tcPr>
            <w:tcW w:w="160" w:type="dxa"/>
            <w:vAlign w:val="bottom"/>
          </w:tcPr>
          <w:p>
            <w:pPr>
              <w:spacing w:after="0"/>
              <w:rPr>
                <w:sz w:val="11"/>
                <w:szCs w:val="11"/>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Scores</w:t>
            </w:r>
          </w:p>
        </w:tc>
        <w:tc>
          <w:tcPr>
            <w:tcW w:w="15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2"/>
              </w:rPr>
              <w:t>Corporate</w:t>
            </w:r>
          </w:p>
        </w:tc>
        <w:tc>
          <w:tcPr>
            <w:tcW w:w="320" w:type="dxa"/>
            <w:vAlign w:val="bottom"/>
          </w:tcPr>
          <w:p>
            <w:pPr>
              <w:spacing w:after="0"/>
              <w:rPr>
                <w:sz w:val="11"/>
                <w:szCs w:val="11"/>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Expenses</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Transactional and maintenance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99,822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170,415</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17,841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7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License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20" w:type="dxa"/>
            <w:vAlign w:val="bottom"/>
            <w:shd w:val="clear" w:color="auto" w:fill="CCEEFF"/>
          </w:tcPr>
          <w:p>
            <w:pPr>
              <w:ind w:left="640"/>
              <w:spacing w:after="0" w:line="204" w:lineRule="exact"/>
              <w:rPr>
                <w:sz w:val="20"/>
                <w:szCs w:val="20"/>
                <w:color w:val="auto"/>
              </w:rPr>
            </w:pPr>
            <w:r>
              <w:rPr>
                <w:rFonts w:ascii="Arial" w:cs="Arial" w:eastAsia="Arial" w:hAnsi="Arial"/>
                <w:sz w:val="18"/>
                <w:szCs w:val="18"/>
                <w:color w:val="auto"/>
              </w:rPr>
              <w:t>Total segment revenues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operating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(33,820)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0"/>
                <w:szCs w:val="20"/>
                <w:color w:val="auto"/>
              </w:rPr>
            </w:pPr>
          </w:p>
        </w:tc>
        <w:tc>
          <w:tcPr>
            <w:tcW w:w="3720" w:type="dxa"/>
            <w:vAlign w:val="bottom"/>
            <w:tcBorders>
              <w:bottom w:val="single" w:sz="8" w:color="CCEEFF"/>
            </w:tcBorders>
            <w:shd w:val="clear" w:color="auto" w:fill="CCEEFF"/>
          </w:tcPr>
          <w:p>
            <w:pPr>
              <w:ind w:left="640"/>
              <w:spacing w:after="0" w:line="204" w:lineRule="exact"/>
              <w:rPr>
                <w:sz w:val="20"/>
                <w:szCs w:val="20"/>
                <w:color w:val="auto"/>
              </w:rPr>
            </w:pPr>
            <w:r>
              <w:rPr>
                <w:rFonts w:ascii="Arial" w:cs="Arial" w:eastAsia="Arial" w:hAnsi="Arial"/>
                <w:sz w:val="18"/>
                <w:szCs w:val="18"/>
                <w:color w:val="auto"/>
              </w:rPr>
              <w:t>Segment operating income (loss)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2"/>
              </w:rPr>
              <w:t>(33,820)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Unallocated share-based compensation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(30,761)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720" w:type="dxa"/>
            <w:vAlign w:val="bottom"/>
          </w:tcPr>
          <w:p>
            <w:pPr>
              <w:spacing w:after="0" w:line="172" w:lineRule="exact"/>
              <w:rPr>
                <w:sz w:val="20"/>
                <w:szCs w:val="20"/>
                <w:color w:val="auto"/>
              </w:rPr>
            </w:pPr>
            <w:r>
              <w:rPr>
                <w:rFonts w:ascii="Arial" w:cs="Arial" w:eastAsia="Arial" w:hAnsi="Arial"/>
                <w:sz w:val="18"/>
                <w:szCs w:val="18"/>
                <w:color w:val="auto"/>
                <w:w w:val="93"/>
              </w:rPr>
              <w:t>Unallocated gains on product line asset sales and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92,805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business divestiture</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Unallocated other income,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720" w:type="dxa"/>
            <w:vAlign w:val="bottom"/>
          </w:tcPr>
          <w:p>
            <w:pPr>
              <w:spacing w:after="0" w:line="204" w:lineRule="exact"/>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0" w:type="dxa"/>
            <w:vAlign w:val="bottom"/>
          </w:tcPr>
          <w:p>
            <w:pPr>
              <w:spacing w:after="0"/>
              <w:rPr>
                <w:sz w:val="20"/>
                <w:szCs w:val="20"/>
                <w:color w:val="auto"/>
              </w:rPr>
            </w:pPr>
          </w:p>
        </w:tc>
        <w:tc>
          <w:tcPr>
            <w:tcW w:w="37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7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10"/>
          </w:tcPr>
          <w:p>
            <w:pPr>
              <w:jc w:val="center"/>
              <w:ind w:left="776"/>
              <w:spacing w:after="0"/>
              <w:rPr>
                <w:sz w:val="20"/>
                <w:szCs w:val="20"/>
                <w:color w:val="auto"/>
              </w:rPr>
            </w:pPr>
            <w:r>
              <w:rPr>
                <w:rFonts w:ascii="Arial" w:cs="Arial" w:eastAsia="Arial" w:hAnsi="Arial"/>
                <w:sz w:val="14"/>
                <w:szCs w:val="14"/>
                <w:b w:val="1"/>
                <w:bCs w:val="1"/>
                <w:color w:val="auto"/>
                <w:w w:val="92"/>
              </w:rPr>
              <w:t>Quarter Ended June 30, 2020</w:t>
            </w: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8"/>
              </w:rPr>
              <w:t>Decision Management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Unallocated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Applications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Scores</w:t>
            </w:r>
          </w:p>
        </w:tc>
        <w:tc>
          <w:tcPr>
            <w:tcW w:w="15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jc w:val="center"/>
              <w:ind w:right="420"/>
              <w:spacing w:after="0" w:line="132" w:lineRule="exact"/>
              <w:rPr>
                <w:sz w:val="20"/>
                <w:szCs w:val="20"/>
                <w:color w:val="auto"/>
              </w:rPr>
            </w:pPr>
            <w:r>
              <w:rPr>
                <w:rFonts w:ascii="Arial" w:cs="Arial" w:eastAsia="Arial" w:hAnsi="Arial"/>
                <w:sz w:val="14"/>
                <w:szCs w:val="14"/>
                <w:b w:val="1"/>
                <w:bCs w:val="1"/>
                <w:color w:val="auto"/>
                <w:w w:val="92"/>
              </w:rPr>
              <w:t>Corporate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Software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2"/>
              </w:rPr>
              <w:t>Expenses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660" w:type="dxa"/>
            <w:vAlign w:val="bottom"/>
          </w:tcPr>
          <w:p>
            <w:pPr>
              <w:ind w:left="26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98,476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130,268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shd w:val="clear" w:color="auto" w:fill="CCEEFF"/>
          </w:tcPr>
          <w:p>
            <w:pPr>
              <w:spacing w:after="0"/>
              <w:rPr>
                <w:sz w:val="19"/>
                <w:szCs w:val="19"/>
                <w:color w:val="auto"/>
              </w:rPr>
            </w:pPr>
          </w:p>
        </w:tc>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services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License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shd w:val="clear" w:color="auto" w:fill="CCEEFF"/>
          </w:tcPr>
          <w:p>
            <w:pPr>
              <w:spacing w:after="0"/>
              <w:rPr>
                <w:sz w:val="18"/>
                <w:szCs w:val="18"/>
                <w:color w:val="auto"/>
              </w:rPr>
            </w:pPr>
          </w:p>
        </w:tc>
        <w:tc>
          <w:tcPr>
            <w:tcW w:w="3660" w:type="dxa"/>
            <w:vAlign w:val="bottom"/>
            <w:shd w:val="clear" w:color="auto" w:fill="CCEEFF"/>
          </w:tcPr>
          <w:p>
            <w:pPr>
              <w:ind w:left="580"/>
              <w:spacing w:after="0" w:line="204" w:lineRule="exact"/>
              <w:rPr>
                <w:sz w:val="20"/>
                <w:szCs w:val="20"/>
                <w:color w:val="auto"/>
              </w:rPr>
            </w:pPr>
            <w:r>
              <w:rPr>
                <w:rFonts w:ascii="Arial" w:cs="Arial" w:eastAsia="Arial" w:hAnsi="Arial"/>
                <w:sz w:val="18"/>
                <w:szCs w:val="18"/>
                <w:color w:val="auto"/>
              </w:rPr>
              <w:t>Total segment revenues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operating expense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(111,061)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ind w:left="580"/>
              <w:spacing w:after="0" w:line="204" w:lineRule="exact"/>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94"/>
              </w:rPr>
              <w:t>Unallocated share-based compensation expense</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(22,264)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4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Unallocated other expense, net</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5,091</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vMerge w:val="restart"/>
          </w:tcPr>
          <w:p>
            <w:pPr>
              <w:ind w:left="840"/>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gridSpan w:val="2"/>
            <w:vMerge w:val="continue"/>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152"/>
              <w:spacing w:after="0" w:line="197"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6,451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center"/>
              <w:ind w:left="896"/>
              <w:spacing w:after="0"/>
              <w:rPr>
                <w:sz w:val="20"/>
                <w:szCs w:val="20"/>
                <w:color w:val="auto"/>
              </w:rPr>
            </w:pPr>
            <w:r>
              <w:rPr>
                <w:rFonts w:ascii="Arial" w:cs="Arial" w:eastAsia="Arial" w:hAnsi="Arial"/>
                <w:sz w:val="14"/>
                <w:szCs w:val="14"/>
                <w:b w:val="1"/>
                <w:bCs w:val="1"/>
                <w:color w:val="auto"/>
                <w:w w:val="91"/>
              </w:rPr>
              <w:t>Nine Months Ended June 30, 2021</w:t>
            </w: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4"/>
              </w:rPr>
              <w:t>Decision Management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Unallocated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Scores</w:t>
            </w:r>
          </w:p>
        </w:tc>
        <w:tc>
          <w:tcPr>
            <w:tcW w:w="8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tcPr>
          <w:p>
            <w:pPr>
              <w:jc w:val="center"/>
              <w:ind w:right="300"/>
              <w:spacing w:after="0" w:line="132" w:lineRule="exact"/>
              <w:rPr>
                <w:sz w:val="20"/>
                <w:szCs w:val="20"/>
                <w:color w:val="auto"/>
              </w:rPr>
            </w:pPr>
            <w:r>
              <w:rPr>
                <w:rFonts w:ascii="Arial" w:cs="Arial" w:eastAsia="Arial" w:hAnsi="Arial"/>
                <w:sz w:val="14"/>
                <w:szCs w:val="14"/>
                <w:b w:val="1"/>
                <w:bCs w:val="1"/>
                <w:color w:val="auto"/>
                <w:w w:val="92"/>
              </w:rPr>
              <w:t>Corporate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Software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2"/>
              </w:rPr>
              <w:t>Expenses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Segment revenues: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821,147</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Professional services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License</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660" w:type="dxa"/>
            <w:vAlign w:val="bottom"/>
          </w:tcPr>
          <w:p>
            <w:pPr>
              <w:ind w:left="640"/>
              <w:spacing w:after="0" w:line="204" w:lineRule="exact"/>
              <w:rPr>
                <w:sz w:val="20"/>
                <w:szCs w:val="20"/>
                <w:color w:val="auto"/>
              </w:rPr>
            </w:pPr>
            <w:r>
              <w:rPr>
                <w:rFonts w:ascii="Arial" w:cs="Arial" w:eastAsia="Arial" w:hAnsi="Arial"/>
                <w:sz w:val="18"/>
                <w:szCs w:val="18"/>
                <w:color w:val="auto"/>
              </w:rPr>
              <w:t>Total segment revenues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398,088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485,572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981,959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(299,785)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w w:val="92"/>
              </w:rPr>
              <w:t>(97,465)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(605,003)</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660" w:type="dxa"/>
            <w:vAlign w:val="bottom"/>
          </w:tcPr>
          <w:p>
            <w:pPr>
              <w:ind w:left="640"/>
              <w:spacing w:after="0" w:line="204" w:lineRule="exact"/>
              <w:rPr>
                <w:sz w:val="20"/>
                <w:szCs w:val="20"/>
                <w:color w:val="auto"/>
              </w:rPr>
            </w:pPr>
            <w:r>
              <w:rPr>
                <w:rFonts w:ascii="Arial" w:cs="Arial" w:eastAsia="Arial" w:hAnsi="Arial"/>
                <w:sz w:val="18"/>
                <w:szCs w:val="18"/>
                <w:color w:val="auto"/>
              </w:rPr>
              <w:t>Segment operating income (loss)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98,303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416,351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(40,233)</w:t>
            </w:r>
          </w:p>
        </w:tc>
        <w:tc>
          <w:tcPr>
            <w:tcW w:w="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w w:val="92"/>
              </w:rPr>
              <w:t>(97,465)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36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w w:val="93"/>
              </w:rPr>
              <w:t>Unallocated share-based compensation expense</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(84,099)</w:t>
            </w:r>
          </w:p>
        </w:tc>
        <w:tc>
          <w:tcPr>
            <w:tcW w:w="1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Unallocated amortization expense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66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1"/>
              </w:rPr>
              <w:t>Unallocated gains on product line asset sales and</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12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business divestiture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660" w:type="dxa"/>
            <w:vAlign w:val="bottom"/>
          </w:tcPr>
          <w:p>
            <w:pPr>
              <w:spacing w:after="0" w:line="204"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other income, net</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Income before income taxes</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367,676</w:t>
            </w:r>
          </w:p>
        </w:tc>
        <w:tc>
          <w:tcPr>
            <w:tcW w:w="1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12,404</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2,820</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2"/>
          </w:tcPr>
          <w:p>
            <w:pPr>
              <w:jc w:val="right"/>
              <w:ind w:right="92"/>
              <w:spacing w:after="0" w:line="197"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7" w:lineRule="exact"/>
              <w:rPr>
                <w:sz w:val="20"/>
                <w:szCs w:val="20"/>
                <w:color w:val="auto"/>
              </w:rPr>
            </w:pPr>
            <w:r>
              <w:rPr>
                <w:rFonts w:ascii="Arial" w:cs="Arial" w:eastAsia="Arial" w:hAnsi="Arial"/>
                <w:sz w:val="18"/>
                <w:szCs w:val="18"/>
                <w:color w:val="auto"/>
              </w:rPr>
              <w:t>15,860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16"/>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1"/>
              </w:rPr>
              <w:t>Nine Months Ended June 30, 2020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Decision Management</w:t>
            </w:r>
          </w:p>
        </w:tc>
        <w:tc>
          <w:tcPr>
            <w:tcW w:w="280" w:type="dxa"/>
            <w:vAlign w:val="bottom"/>
          </w:tcPr>
          <w:p>
            <w:pPr>
              <w:spacing w:after="0"/>
              <w:rPr>
                <w:sz w:val="11"/>
                <w:szCs w:val="11"/>
                <w:color w:val="auto"/>
              </w:rPr>
            </w:pPr>
          </w:p>
        </w:tc>
        <w:tc>
          <w:tcPr>
            <w:tcW w:w="122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Applications</w:t>
            </w:r>
          </w:p>
        </w:tc>
        <w:tc>
          <w:tcPr>
            <w:tcW w:w="30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400"/>
              <w:spacing w:after="0" w:line="132" w:lineRule="exact"/>
              <w:rPr>
                <w:sz w:val="20"/>
                <w:szCs w:val="20"/>
                <w:color w:val="auto"/>
              </w:rPr>
            </w:pPr>
            <w:r>
              <w:rPr>
                <w:rFonts w:ascii="Arial" w:cs="Arial" w:eastAsia="Arial" w:hAnsi="Arial"/>
                <w:sz w:val="14"/>
                <w:szCs w:val="14"/>
                <w:b w:val="1"/>
                <w:bCs w:val="1"/>
                <w:color w:val="auto"/>
                <w:w w:val="92"/>
              </w:rPr>
              <w:t>Corporate</w:t>
            </w:r>
          </w:p>
        </w:tc>
        <w:tc>
          <w:tcPr>
            <w:tcW w:w="320" w:type="dxa"/>
            <w:vAlign w:val="bottom"/>
          </w:tcPr>
          <w:p>
            <w:pPr>
              <w:spacing w:after="0"/>
              <w:rPr>
                <w:sz w:val="11"/>
                <w:szCs w:val="11"/>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2"/>
              </w:rPr>
              <w:t>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20"/>
                <w:szCs w:val="20"/>
                <w:color w:val="auto"/>
              </w:rPr>
            </w:pPr>
            <w:r>
              <w:rPr>
                <w:rFonts w:ascii="Arial" w:cs="Arial" w:eastAsia="Arial" w:hAnsi="Arial"/>
                <w:sz w:val="18"/>
                <w:szCs w:val="18"/>
                <w:color w:val="auto"/>
              </w:rPr>
              <w:t>Segment revenues: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Transactional and maintenance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707,905</w:t>
            </w:r>
          </w:p>
        </w:tc>
        <w:tc>
          <w:tcPr>
            <w:tcW w:w="0" w:type="dxa"/>
            <w:vAlign w:val="bottom"/>
          </w:tcPr>
          <w:p>
            <w:pPr>
              <w:spacing w:after="0"/>
              <w:rPr>
                <w:sz w:val="1"/>
                <w:szCs w:val="1"/>
                <w:color w:val="auto"/>
              </w:rPr>
            </w:pPr>
          </w:p>
        </w:tc>
      </w:tr>
      <w:tr>
        <w:trPr>
          <w:trHeight w:val="224"/>
        </w:trPr>
        <w:tc>
          <w:tcPr>
            <w:tcW w:w="3720" w:type="dxa"/>
            <w:vAlign w:val="bottom"/>
          </w:tcPr>
          <w:p>
            <w:pPr>
              <w:ind w:left="32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135,563</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License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76,738</w:t>
            </w:r>
          </w:p>
        </w:tc>
        <w:tc>
          <w:tcPr>
            <w:tcW w:w="0" w:type="dxa"/>
            <w:vAlign w:val="bottom"/>
          </w:tcPr>
          <w:p>
            <w:pPr>
              <w:spacing w:after="0"/>
              <w:rPr>
                <w:sz w:val="1"/>
                <w:szCs w:val="1"/>
                <w:color w:val="auto"/>
              </w:rPr>
            </w:pPr>
          </w:p>
        </w:tc>
      </w:tr>
      <w:tr>
        <w:trPr>
          <w:trHeight w:val="217"/>
        </w:trPr>
        <w:tc>
          <w:tcPr>
            <w:tcW w:w="3720" w:type="dxa"/>
            <w:vAlign w:val="bottom"/>
          </w:tcPr>
          <w:p>
            <w:pPr>
              <w:ind w:left="640"/>
              <w:spacing w:after="0" w:line="204" w:lineRule="exact"/>
              <w:rPr>
                <w:sz w:val="20"/>
                <w:szCs w:val="20"/>
                <w:color w:val="auto"/>
              </w:rPr>
            </w:pPr>
            <w:r>
              <w:rPr>
                <w:rFonts w:ascii="Arial" w:cs="Arial" w:eastAsia="Arial" w:hAnsi="Arial"/>
                <w:sz w:val="18"/>
                <w:szCs w:val="18"/>
                <w:color w:val="auto"/>
              </w:rPr>
              <w:t>Total segment revenues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433,917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920,206</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(634,380)</w:t>
            </w:r>
          </w:p>
        </w:tc>
        <w:tc>
          <w:tcPr>
            <w:tcW w:w="0" w:type="dxa"/>
            <w:vAlign w:val="bottom"/>
          </w:tcPr>
          <w:p>
            <w:pPr>
              <w:spacing w:after="0"/>
              <w:rPr>
                <w:sz w:val="1"/>
                <w:szCs w:val="1"/>
                <w:color w:val="auto"/>
              </w:rPr>
            </w:pPr>
          </w:p>
        </w:tc>
      </w:tr>
      <w:tr>
        <w:trPr>
          <w:trHeight w:val="218"/>
        </w:trPr>
        <w:tc>
          <w:tcPr>
            <w:tcW w:w="3720" w:type="dxa"/>
            <w:vAlign w:val="bottom"/>
          </w:tcPr>
          <w:p>
            <w:pPr>
              <w:ind w:left="640"/>
              <w:spacing w:after="0" w:line="204" w:lineRule="exact"/>
              <w:rPr>
                <w:sz w:val="20"/>
                <w:szCs w:val="20"/>
                <w:color w:val="auto"/>
              </w:rPr>
            </w:pPr>
            <w:r>
              <w:rPr>
                <w:rFonts w:ascii="Arial" w:cs="Arial" w:eastAsia="Arial" w:hAnsi="Arial"/>
                <w:sz w:val="18"/>
                <w:szCs w:val="18"/>
                <w:color w:val="auto"/>
              </w:rPr>
              <w:t>Segment operating income (loss)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321,131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285,826</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72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w w:val="94"/>
              </w:rPr>
              <w:t>Unallocated share-based compensation expense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(68,197)</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2"/>
              </w:rPr>
              <w:t>Unallocated restructuring and impairment charges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17"/>
        </w:trPr>
        <w:tc>
          <w:tcPr>
            <w:tcW w:w="3720" w:type="dxa"/>
            <w:vAlign w:val="bottom"/>
          </w:tcPr>
          <w:p>
            <w:pPr>
              <w:spacing w:after="0" w:line="204" w:lineRule="exact"/>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210,479</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other expense, net</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22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13,993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18,087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about disaggregated revenue by product deployment methods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7"/>
              </w:rPr>
              <w:t>Quarter Ended June 30, 2021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4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87,024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78,958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338,184</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7"/>
              </w:rPr>
              <w:t>Quarter Ended June 30, 2020</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105,556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76,625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313,731</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7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0"/>
              </w:rPr>
              <w:t>Nine Months Ended June 30, 2021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4"/>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Percentage</w:t>
            </w:r>
          </w:p>
        </w:tc>
      </w:tr>
      <w:tr>
        <w:trPr>
          <w:trHeight w:val="178"/>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398,088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485,572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485,572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4"/>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18"/>
        </w:trPr>
        <w:tc>
          <w:tcPr>
            <w:tcW w:w="28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269,491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226,896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485,572</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981,959</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75"/>
        </w:trPr>
        <w:tc>
          <w:tcPr>
            <w:tcW w:w="2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0"/>
              </w:rPr>
              <w:t>Nine Months Ended June 30, 2020</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4"/>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Percentage</w:t>
            </w:r>
          </w:p>
        </w:tc>
      </w:tr>
      <w:tr>
        <w:trPr>
          <w:trHeight w:val="178"/>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375,836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4"/>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18"/>
        </w:trPr>
        <w:tc>
          <w:tcPr>
            <w:tcW w:w="28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320,401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223,969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920,206</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about disaggregated revenue by primary geographical markets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13"/>
          </w:tcPr>
          <w:p>
            <w:pPr>
              <w:jc w:val="center"/>
              <w:ind w:right="260"/>
              <w:spacing w:after="0"/>
              <w:rPr>
                <w:sz w:val="20"/>
                <w:szCs w:val="20"/>
                <w:color w:val="auto"/>
              </w:rPr>
            </w:pPr>
            <w:r>
              <w:rPr>
                <w:rFonts w:ascii="Arial" w:cs="Arial" w:eastAsia="Arial" w:hAnsi="Arial"/>
                <w:sz w:val="14"/>
                <w:szCs w:val="14"/>
                <w:b w:val="1"/>
                <w:bCs w:val="1"/>
                <w:color w:val="auto"/>
                <w:w w:val="92"/>
              </w:rPr>
              <w:t>Quarter Ended June 30, 2021</w:t>
            </w: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North America</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Europe, Middle East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and Africa</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60" w:type="dxa"/>
            <w:vAlign w:val="bottom"/>
            <w:gridSpan w:val="3"/>
          </w:tcPr>
          <w:p>
            <w:pPr>
              <w:ind w:left="20"/>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165,264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253,610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15,556</w:t>
            </w:r>
          </w:p>
        </w:tc>
        <w:tc>
          <w:tcPr>
            <w:tcW w:w="26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47,869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26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338,184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4"/>
                <w:szCs w:val="14"/>
                <w:b w:val="1"/>
                <w:bCs w:val="1"/>
                <w:color w:val="auto"/>
                <w:w w:val="91"/>
              </w:rPr>
              <w:t>Quarter Ended June 30, 2020</w:t>
            </w: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right="180"/>
              <w:spacing w:after="0" w:line="131" w:lineRule="exact"/>
              <w:rPr>
                <w:sz w:val="20"/>
                <w:szCs w:val="20"/>
                <w:color w:val="auto"/>
              </w:rPr>
            </w:pPr>
            <w:r>
              <w:rPr>
                <w:rFonts w:ascii="Arial" w:cs="Arial" w:eastAsia="Arial" w:hAnsi="Arial"/>
                <w:sz w:val="14"/>
                <w:szCs w:val="14"/>
                <w:b w:val="1"/>
                <w:bCs w:val="1"/>
                <w:color w:val="auto"/>
                <w:w w:val="92"/>
              </w:rPr>
              <w:t>Europe, Middle East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and Africa</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2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128,686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23,164</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230,489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16,808</w:t>
            </w:r>
          </w:p>
        </w:tc>
        <w:tc>
          <w:tcPr>
            <w:tcW w:w="26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44,107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313,731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4"/>
          </w:tcPr>
          <w:p>
            <w:pPr>
              <w:jc w:val="center"/>
              <w:ind w:left="956"/>
              <w:spacing w:after="0"/>
              <w:rPr>
                <w:sz w:val="20"/>
                <w:szCs w:val="20"/>
                <w:color w:val="auto"/>
              </w:rPr>
            </w:pPr>
            <w:r>
              <w:rPr>
                <w:rFonts w:ascii="Arial" w:cs="Arial" w:eastAsia="Arial" w:hAnsi="Arial"/>
                <w:sz w:val="14"/>
                <w:szCs w:val="14"/>
                <w:b w:val="1"/>
                <w:bCs w:val="1"/>
                <w:color w:val="auto"/>
                <w:w w:val="91"/>
              </w:rPr>
              <w:t>Nine Months Ended June 30, 2021</w:t>
            </w: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Europe, Middle East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and Africa</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Applications</w:t>
            </w: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29,222</w:t>
            </w:r>
          </w:p>
        </w:tc>
        <w:tc>
          <w:tcPr>
            <w:tcW w:w="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464,721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736,582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42,780</w:t>
            </w:r>
          </w:p>
        </w:tc>
        <w:tc>
          <w:tcPr>
            <w:tcW w:w="260" w:type="dxa"/>
            <w:vAlign w:val="bottom"/>
            <w:gridSpan w:val="7"/>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143,092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59,505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981,959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476"/>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958"/>
              <w:spacing w:after="0"/>
              <w:rPr>
                <w:sz w:val="20"/>
                <w:szCs w:val="20"/>
                <w:color w:val="auto"/>
              </w:rPr>
            </w:pPr>
            <w:r>
              <w:rPr>
                <w:rFonts w:ascii="Arial" w:cs="Arial" w:eastAsia="Arial" w:hAnsi="Arial"/>
                <w:sz w:val="14"/>
                <w:szCs w:val="14"/>
                <w:b w:val="1"/>
                <w:bCs w:val="1"/>
                <w:color w:val="auto"/>
                <w:w w:val="91"/>
              </w:rPr>
              <w:t>Nine Months Ended June 30, 2020</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1"/>
                <w:szCs w:val="11"/>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2"/>
              </w:rPr>
              <w:t>Europe, Middle East</w:t>
            </w:r>
          </w:p>
        </w:tc>
        <w:tc>
          <w:tcPr>
            <w:tcW w:w="28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340" w:type="dxa"/>
            <w:vAlign w:val="bottom"/>
          </w:tcPr>
          <w:p>
            <w:pPr>
              <w:spacing w:after="0"/>
              <w:rPr>
                <w:sz w:val="11"/>
                <w:szCs w:val="11"/>
                <w:color w:val="auto"/>
              </w:rPr>
            </w:pPr>
          </w:p>
        </w:tc>
        <w:tc>
          <w:tcPr>
            <w:tcW w:w="11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and Africa</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Applications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433,917</w:t>
            </w:r>
          </w:p>
        </w:tc>
        <w:tc>
          <w:tcPr>
            <w:tcW w:w="0" w:type="dxa"/>
            <w:vAlign w:val="bottom"/>
          </w:tcPr>
          <w:p>
            <w:pPr>
              <w:spacing w:after="0"/>
              <w:rPr>
                <w:sz w:val="1"/>
                <w:szCs w:val="1"/>
                <w:color w:val="auto"/>
              </w:rPr>
            </w:pP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Scores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375,836</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110,453</w:t>
            </w:r>
          </w:p>
        </w:tc>
        <w:tc>
          <w:tcPr>
            <w:tcW w:w="0" w:type="dxa"/>
            <w:vAlign w:val="bottom"/>
          </w:tcPr>
          <w:p>
            <w:pPr>
              <w:spacing w:after="0"/>
              <w:rPr>
                <w:sz w:val="1"/>
                <w:szCs w:val="1"/>
                <w:color w:val="auto"/>
              </w:rPr>
            </w:pPr>
          </w:p>
        </w:tc>
      </w:tr>
      <w:tr>
        <w:trPr>
          <w:trHeight w:val="218"/>
        </w:trPr>
        <w:tc>
          <w:tcPr>
            <w:tcW w:w="310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664,895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135,605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920,206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Contract Balances and Performance Obligations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6" w:lineRule="exact"/>
        <w:rPr>
          <w:sz w:val="20"/>
          <w:szCs w:val="20"/>
          <w:color w:val="auto"/>
        </w:rPr>
      </w:pPr>
    </w:p>
    <w:p>
      <w:pPr>
        <w:jc w:val="both"/>
        <w:ind w:right="100" w:firstLine="475"/>
        <w:spacing w:after="0" w:line="251"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Receivables at June 30, 2021 and September 30, 2020 consisted of the following:</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September 30,</w:t>
            </w:r>
          </w:p>
        </w:tc>
      </w:tr>
      <w:tr>
        <w:trPr>
          <w:trHeight w:val="184"/>
        </w:trPr>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178"/>
        </w:trPr>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25"/>
        </w:trPr>
        <w:tc>
          <w:tcPr>
            <w:tcW w:w="400" w:type="dxa"/>
            <w:vAlign w:val="bottom"/>
          </w:tcPr>
          <w:p>
            <w:pPr>
              <w:spacing w:after="0"/>
              <w:rPr>
                <w:sz w:val="19"/>
                <w:szCs w:val="19"/>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Billed</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24"/>
        </w:trPr>
        <w:tc>
          <w:tcPr>
            <w:tcW w:w="400" w:type="dxa"/>
            <w:vAlign w:val="bottom"/>
          </w:tcPr>
          <w:p>
            <w:pPr>
              <w:spacing w:after="0"/>
              <w:rPr>
                <w:sz w:val="19"/>
                <w:szCs w:val="19"/>
                <w:color w:val="auto"/>
              </w:rPr>
            </w:pPr>
          </w:p>
        </w:tc>
        <w:tc>
          <w:tcPr>
            <w:tcW w:w="71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Unbilled</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168,818</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r>
      <w:tr>
        <w:trPr>
          <w:trHeight w:val="218"/>
        </w:trPr>
        <w:tc>
          <w:tcPr>
            <w:tcW w:w="40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24"/>
        </w:trPr>
        <w:tc>
          <w:tcPr>
            <w:tcW w:w="400" w:type="dxa"/>
            <w:vAlign w:val="bottom"/>
          </w:tcPr>
          <w:p>
            <w:pPr>
              <w:spacing w:after="0"/>
              <w:rPr>
                <w:sz w:val="19"/>
                <w:szCs w:val="19"/>
                <w:color w:val="auto"/>
              </w:rPr>
            </w:pPr>
          </w:p>
        </w:tc>
        <w:tc>
          <w:tcPr>
            <w:tcW w:w="71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Less: allowance for doubtful accounts</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8"/>
        </w:trPr>
        <w:tc>
          <w:tcPr>
            <w:tcW w:w="400" w:type="dxa"/>
            <w:vAlign w:val="bottom"/>
          </w:tcPr>
          <w:p>
            <w:pPr>
              <w:spacing w:after="0"/>
              <w:rPr>
                <w:sz w:val="18"/>
                <w:szCs w:val="18"/>
                <w:color w:val="auto"/>
              </w:rPr>
            </w:pPr>
          </w:p>
        </w:tc>
        <w:tc>
          <w:tcPr>
            <w:tcW w:w="7100" w:type="dxa"/>
            <w:vAlign w:val="bottom"/>
            <w:gridSpan w:val="2"/>
            <w:shd w:val="clear" w:color="auto" w:fill="CCEEFF"/>
          </w:tcPr>
          <w:p>
            <w:pPr>
              <w:ind w:left="420"/>
              <w:spacing w:after="0" w:line="204" w:lineRule="exact"/>
              <w:rPr>
                <w:sz w:val="20"/>
                <w:szCs w:val="20"/>
                <w:color w:val="auto"/>
              </w:rPr>
            </w:pPr>
            <w:r>
              <w:rPr>
                <w:rFonts w:ascii="Arial" w:cs="Arial" w:eastAsia="Arial" w:hAnsi="Arial"/>
                <w:sz w:val="18"/>
                <w:szCs w:val="18"/>
                <w:color w:val="auto"/>
              </w:rPr>
              <w:t>Net receivables</w:t>
            </w:r>
          </w:p>
        </w:tc>
        <w:tc>
          <w:tcPr>
            <w:tcW w:w="6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322,090</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17"/>
        </w:trPr>
        <w:tc>
          <w:tcPr>
            <w:tcW w:w="400" w:type="dxa"/>
            <w:vAlign w:val="bottom"/>
          </w:tcPr>
          <w:p>
            <w:pPr>
              <w:spacing w:after="0"/>
              <w:rPr>
                <w:sz w:val="18"/>
                <w:szCs w:val="18"/>
                <w:color w:val="auto"/>
              </w:rPr>
            </w:pPr>
          </w:p>
        </w:tc>
        <w:tc>
          <w:tcPr>
            <w:tcW w:w="7100" w:type="dxa"/>
            <w:vAlign w:val="bottom"/>
            <w:tcBorders>
              <w:bottom w:val="single" w:sz="8" w:color="CCEEFF"/>
            </w:tcBorders>
            <w:gridSpan w:val="2"/>
          </w:tcPr>
          <w:p>
            <w:pPr>
              <w:ind w:left="600"/>
              <w:spacing w:after="0" w:line="204" w:lineRule="exact"/>
              <w:rPr>
                <w:sz w:val="20"/>
                <w:szCs w:val="20"/>
                <w:color w:val="auto"/>
              </w:rPr>
            </w:pPr>
            <w:r>
              <w:rPr>
                <w:rFonts w:ascii="Arial" w:cs="Arial" w:eastAsia="Arial" w:hAnsi="Arial"/>
                <w:sz w:val="18"/>
                <w:szCs w:val="18"/>
                <w:color w:val="auto"/>
              </w:rPr>
              <w:t>Less: long-term receivables *</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43"/>
        </w:trPr>
        <w:tc>
          <w:tcPr>
            <w:tcW w:w="400" w:type="dxa"/>
            <w:vAlign w:val="bottom"/>
          </w:tcPr>
          <w:p>
            <w:pPr>
              <w:spacing w:after="0"/>
              <w:rPr>
                <w:sz w:val="20"/>
                <w:szCs w:val="20"/>
                <w:color w:val="auto"/>
              </w:rPr>
            </w:pPr>
          </w:p>
        </w:tc>
        <w:tc>
          <w:tcPr>
            <w:tcW w:w="7100" w:type="dxa"/>
            <w:vAlign w:val="bottom"/>
            <w:tcBorders>
              <w:bottom w:val="single" w:sz="8" w:color="CCEEFF"/>
            </w:tcBorders>
            <w:gridSpan w:val="2"/>
            <w:shd w:val="clear" w:color="auto" w:fill="CCEEFF"/>
          </w:tcPr>
          <w:p>
            <w:pPr>
              <w:ind w:left="600"/>
              <w:spacing w:after="0" w:line="204" w:lineRule="exact"/>
              <w:rPr>
                <w:sz w:val="20"/>
                <w:szCs w:val="20"/>
                <w:color w:val="auto"/>
              </w:rPr>
            </w:pPr>
            <w:r>
              <w:rPr>
                <w:rFonts w:ascii="Arial" w:cs="Arial" w:eastAsia="Arial" w:hAnsi="Arial"/>
                <w:sz w:val="18"/>
                <w:szCs w:val="18"/>
                <w:color w:val="auto"/>
              </w:rPr>
              <w:t>Short-term receivables *</w:t>
            </w: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280,598</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0"/>
        </w:trPr>
        <w:tc>
          <w:tcPr>
            <w:tcW w:w="40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4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r>
    </w:tbl>
    <w:p>
      <w:pPr>
        <w:spacing w:after="0" w:line="80" w:lineRule="exact"/>
        <w:rPr>
          <w:sz w:val="20"/>
          <w:szCs w:val="20"/>
          <w:color w:val="auto"/>
        </w:rPr>
      </w:pPr>
    </w:p>
    <w:p>
      <w:pPr>
        <w:ind w:right="100" w:firstLine="6"/>
        <w:spacing w:after="0" w:line="263" w:lineRule="auto"/>
        <w:tabs>
          <w:tab w:leader="none" w:pos="1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Contract assets balance at June 30, 2021 and September 30, 2020 was immaterial.</w:t>
      </w:r>
    </w:p>
    <w:p>
      <w:pPr>
        <w:spacing w:after="0" w:line="163" w:lineRule="exact"/>
        <w:rPr>
          <w:sz w:val="20"/>
          <w:szCs w:val="20"/>
          <w:color w:val="auto"/>
        </w:rPr>
      </w:pPr>
    </w:p>
    <w:p>
      <w:pPr>
        <w:ind w:right="100" w:firstLine="396"/>
        <w:spacing w:after="0" w:line="292" w:lineRule="auto"/>
        <w:rPr>
          <w:sz w:val="20"/>
          <w:szCs w:val="20"/>
          <w:color w:val="auto"/>
        </w:rPr>
      </w:pPr>
      <w:r>
        <w:rPr>
          <w:rFonts w:ascii="Arial" w:cs="Arial" w:eastAsia="Arial" w:hAnsi="Arial"/>
          <w:sz w:val="17"/>
          <w:szCs w:val="17"/>
          <w:color w:val="auto"/>
        </w:rPr>
        <w:t>Deferred revenue primarily relates to our maintenance and SaaS contracts billed annually in advance and generally recognized ratably over the term of the service period. Significant changes in the deferred revenues balances during the nine months ended June 30, 2021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379"/>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June 30, 2021</w:t>
            </w:r>
          </w:p>
        </w:tc>
      </w:tr>
      <w:tr>
        <w:trPr>
          <w:trHeight w:val="178"/>
        </w:trPr>
        <w:tc>
          <w:tcPr>
            <w:tcW w:w="9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jc w:val="right"/>
              <w:ind w:right="519"/>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at September 30, 2020 *</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122,141</w:t>
            </w:r>
          </w:p>
        </w:tc>
      </w:tr>
      <w:tr>
        <w:trPr>
          <w:trHeight w:val="224"/>
        </w:trPr>
        <w:tc>
          <w:tcPr>
            <w:tcW w:w="9140" w:type="dxa"/>
            <w:vAlign w:val="bottom"/>
          </w:tcPr>
          <w:p>
            <w:pPr>
              <w:ind w:left="20"/>
              <w:spacing w:after="0"/>
              <w:rPr>
                <w:sz w:val="20"/>
                <w:szCs w:val="20"/>
                <w:color w:val="auto"/>
              </w:rPr>
            </w:pPr>
            <w:r>
              <w:rPr>
                <w:rFonts w:ascii="Arial" w:cs="Arial" w:eastAsia="Arial" w:hAnsi="Arial"/>
                <w:sz w:val="18"/>
                <w:szCs w:val="18"/>
                <w:color w:val="auto"/>
              </w:rPr>
              <w:t>Revenue recognized that was included in the deferred revenues balance at the beginning of the period</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(78,551)</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78,658</w:t>
            </w:r>
          </w:p>
        </w:tc>
      </w:tr>
      <w:tr>
        <w:trPr>
          <w:trHeight w:val="224"/>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due to divestiture of the C&amp;R business</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r>
      <w:tr>
        <w:trPr>
          <w:trHeight w:val="243"/>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 at June 30, 2021 *</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1400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311" w:lineRule="exact"/>
        <w:rPr>
          <w:sz w:val="20"/>
          <w:szCs w:val="20"/>
          <w:color w:val="auto"/>
        </w:rPr>
      </w:pPr>
    </w:p>
    <w:p>
      <w:pPr>
        <w:jc w:val="both"/>
        <w:ind w:right="100" w:firstLine="6"/>
        <w:spacing w:after="0" w:line="251" w:lineRule="auto"/>
        <w:tabs>
          <w:tab w:leader="none" w:pos="1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Deferred revenues at September 30, 2020 included current portion of $115.2 million and long-term portion of $6.9 million that were recorded in deferred revenue and other liabilities, respectively, within the condensed consolidated balance sheets. Deferred revenues at June 30, 2021 included current portion of $99.8 million and long-term portion of $5.8 million that were recorded in deferred revenue and other liabilities, respectively, within the condensed consolidated balance sheets.</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96"/>
        <w:spacing w:after="0" w:line="311" w:lineRule="auto"/>
        <w:rPr>
          <w:sz w:val="20"/>
          <w:szCs w:val="20"/>
          <w:color w:val="auto"/>
        </w:rPr>
      </w:pPr>
      <w:r>
        <w:rPr>
          <w:rFonts w:ascii="Arial" w:cs="Arial" w:eastAsia="Arial" w:hAnsi="Arial"/>
          <w:sz w:val="15"/>
          <w:szCs w:val="15"/>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SaaS subscription term with revenue recognized ratably over the contract period.</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0"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41" w:lineRule="exact"/>
        <w:rPr>
          <w:sz w:val="20"/>
          <w:szCs w:val="20"/>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usage-based royalty from license sales;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SaaS transactional revenue from variable considerations that will be recognized in the distinct service period during which it is earned; and</w:t>
      </w:r>
    </w:p>
    <w:p>
      <w:pPr>
        <w:spacing w:after="0" w:line="15" w:lineRule="exact"/>
        <w:rPr>
          <w:rFonts w:ascii="Arial" w:cs="Arial" w:eastAsia="Arial" w:hAnsi="Arial"/>
          <w:sz w:val="17"/>
          <w:szCs w:val="17"/>
          <w:color w:val="auto"/>
        </w:rPr>
      </w:pPr>
    </w:p>
    <w:p>
      <w:pPr>
        <w:ind w:left="640" w:hanging="317"/>
        <w:spacing w:after="0" w:line="24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40"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Revenue allocated to remaining performance obligations was $54.9 million as of June 30, 2021, of which we expect to recognize approximately 50% over the next 16 months and the remainder thereafter.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16"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116"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5"/>
          <w:szCs w:val="15"/>
          <w:i w:val="1"/>
          <w:iCs w:val="1"/>
          <w:color w:val="auto"/>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(v) statements regarding business relationships with vendors, customers or collaborators, including the proportion of revenues generated from international as opposed to domestic customers; and (vi) statements regarding products, their characteristics, performance, sales potential or effect in the hands of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Arial" w:cs="Arial" w:eastAsia="Arial" w:hAnsi="Arial"/>
          <w:sz w:val="15"/>
          <w:szCs w:val="15"/>
          <w:color w:val="auto"/>
        </w:rPr>
        <w:t>“</w:t>
      </w:r>
      <w:r>
        <w:rPr>
          <w:rFonts w:ascii="Arial" w:cs="Arial" w:eastAsia="Arial" w:hAnsi="Arial"/>
          <w:sz w:val="15"/>
          <w:szCs w:val="15"/>
          <w:i w:val="1"/>
          <w:iCs w:val="1"/>
          <w:color w:val="auto"/>
        </w:rPr>
        <w:t>Risk Factors</w:t>
      </w:r>
      <w:r>
        <w:rPr>
          <w:rFonts w:ascii="Arial" w:cs="Arial" w:eastAsia="Arial" w:hAnsi="Arial"/>
          <w:sz w:val="15"/>
          <w:szCs w:val="15"/>
          <w:color w:val="auto"/>
        </w:rPr>
        <w:t>”</w:t>
      </w:r>
      <w:r>
        <w:rPr>
          <w:rFonts w:ascii="Arial" w:cs="Arial" w:eastAsia="Arial" w:hAnsi="Arial"/>
          <w:sz w:val="15"/>
          <w:szCs w:val="15"/>
          <w:i w:val="1"/>
          <w:iCs w:val="1"/>
          <w:color w:val="auto"/>
        </w:rPr>
        <w:t xml:space="preserve"> of this Quarterly Report on Form 10-Q (including the impact of COVID-19 on macroeconomic conditions and our business, operations and personnel).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jc w:val="both"/>
        <w:ind w:firstLine="436"/>
        <w:spacing w:after="0" w:line="274" w:lineRule="auto"/>
        <w:rPr>
          <w:sz w:val="20"/>
          <w:szCs w:val="20"/>
          <w:color w:val="auto"/>
        </w:rPr>
      </w:pPr>
      <w:r>
        <w:rPr>
          <w:rFonts w:ascii="Arial" w:cs="Arial" w:eastAsia="Arial" w:hAnsi="Arial"/>
          <w:sz w:val="16"/>
          <w:szCs w:val="16"/>
          <w:color w:val="auto"/>
        </w:rPr>
        <w:t>We use analytics to help businesses automate, improve and connect decisions across their enterprise — an approach we commonly refer to as decision management. Our predictive analytics, which includes the industry-standard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 and our decision management technologies leverage the use of data and mathematical algorithms to predict, categorize, and describe consumer behavior in order to power hundreds of billions of customer decisions each year. We help thousands of companies in over 100 countries use our decision management technology to target and acquire customers more efficiently, increase customer value, detect and reduce fraud and credit losses, measure and manage credit risk, maintain regulatory compliance, lower operating expenses, and enter new markets more profitably. Most leading banks and credit card issuers rely on our solutions, as do insurers, retailers, telecommunications providers, automotive companies,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9"/>
          <w:szCs w:val="9"/>
          <w:color w:val="auto"/>
        </w:rPr>
        <w:t>®</w:t>
      </w:r>
      <w:r>
        <w:rPr>
          <w:rFonts w:ascii="Arial" w:cs="Arial" w:eastAsia="Arial" w:hAnsi="Arial"/>
          <w:sz w:val="16"/>
          <w:szCs w:val="16"/>
          <w:color w:val="auto"/>
        </w:rPr>
        <w:t xml:space="preserve"> Scores, the standard measure of consumer credit risk in the U.S., and empower them to manage their financial health. Most of our solutions address customer engagement, including customer acquisition, customer onboarding, customer servicing and management, and customer protection. We also help businesses improve non-customer decisions such as streamlining transaction and claims processing, and optimizing logistics.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5"/>
          <w:szCs w:val="15"/>
          <w:color w:val="auto"/>
        </w:rPr>
        <w:t>A significant portion of our revenues are derived from the sale of products and services within the banking (including consumer credit) industry, and 91% and 86% of our revenues were derived from within this industry during the quarters ended June 30, 2021 and 2020, respectively, and 89% and 86% of our revenues were derived from within this industry during the nine months ended June 30, 2021 and 2020, respectively. In addition, we derive a significant share of revenues from transactional or unit-based software license fees, transactional fees derived under credit scoring and SaaS subscription services arrangements, and annual software maintenance fees. Arrangements with transactional or unit-based pricing accounted for 85% and 79% of our revenues during the quarters ended June 30, 2021 and 2020, respectively. Arrangements with transactional or unit-based pricing accounted for 84% and 77% of our revenues during the nine months ended June 30, 2021 and 2020, respectively. We derive a significant portion of our revenues from clients outside the U.S. International revenues accounted for 29% and 31% of total consolidated revenues for the quarters ended June 30, 2021 and 2020, respectively, and 29% and 32% of total consolidated revenues for the nine months ended June 30, 2021 and 2020, respectively.</w:t>
      </w:r>
    </w:p>
    <w:p>
      <w:pPr>
        <w:spacing w:after="0" w:line="104"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5"/>
          <w:szCs w:val="15"/>
          <w:color w:val="auto"/>
        </w:rPr>
        <w:t>Revenue increased 8% to $338.2 million during the quarter ended June 30, 2021 from $313.7 million for the quarter ended June 30, 2020, and 7% to $982.0 million during the nine months ended June 30, 2021 from $920.2 million during the nine months ended June 30, 2020. We continue to drive growth in our Scores segment. Scores revenue increased 31% to $172.2 million during the quarter ended June 30, 2021 from $131.6 million during the quarter ended June 30, 2020, and 29% to $485.6 million during the nine months ended June 30, 2021 from $375.8 million during the nine months ended June 30, 2020. Scores operating income increased 33% to $146.8 million during the quarter ended June 30, 2021 from $110.2 million during the quarter ended June 30, 2020, and 30% to $416.4 million during the nine months ended June 30, 2021 from $321.1 million during the nine months ended June 30, 2020. For our Applications and Decision Management Software segments, revenue decreased 9% to $166.0 million during the quarter ended June 30, 2021 from $182.2 million during the quarter ended June 30, 2020, and 9% to $496.4 million during the nine months ended June 30, 2021 from $544.4 million during the nine months ended June 30, 2020. The decrease was largely attributable to the shift in the timing of revenue recognition on our term license subscription sales, as described below; as well as our recent strategic shift to emphasize software over services.</w:t>
      </w:r>
    </w:p>
    <w:p>
      <w:pPr>
        <w:spacing w:after="0" w:line="256" w:lineRule="exact"/>
        <w:rPr>
          <w:sz w:val="20"/>
          <w:szCs w:val="20"/>
          <w:color w:val="auto"/>
        </w:rPr>
      </w:pPr>
    </w:p>
    <w:p>
      <w:pPr>
        <w:jc w:val="both"/>
        <w:ind w:firstLine="396"/>
        <w:spacing w:after="0" w:line="234" w:lineRule="auto"/>
        <w:rPr>
          <w:sz w:val="20"/>
          <w:szCs w:val="20"/>
          <w:color w:val="auto"/>
        </w:rPr>
      </w:pPr>
      <w:r>
        <w:rPr>
          <w:rFonts w:ascii="Arial" w:cs="Arial" w:eastAsia="Arial" w:hAnsi="Arial"/>
          <w:sz w:val="18"/>
          <w:szCs w:val="18"/>
          <w:color w:val="auto"/>
        </w:rPr>
        <w:t>During fiscal 2020, we changed our practice of selling term software licenses with separate license and maintenance components to a single software subscription contract with license and maintenance bundled. This transition was substantially completed by the end of the first quarter of our fiscal 2021. This transition has shifted the timing of our revenue recognition on these subscription sales, resulting in less revenue recognized upfront and more revenue recognized over the term of these subscriptions. As a result, we expect a negative impact to our revenue recognized from term software licenses throughout the rest of our fiscal 2021. This does not change total revenue recognized over the life of a contract. In addition, this change does not negatively impact our cash flows.</w:t>
      </w:r>
    </w:p>
    <w:p>
      <w:pPr>
        <w:spacing w:after="0" w:line="123"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5"/>
          <w:szCs w:val="15"/>
          <w:color w:val="auto"/>
        </w:rPr>
        <w:t>In June 2021, we divested the non-platform-based Collections and Recovery (“C&amp;R”) business pursuant to our cloud-enabled, Decision Management Platform-based software strategy, and recognized an operating gain of $92.8 million from the divestiture. Our operating income increased 135% to $194.4 million during the quarter ended June 30, 2021 from $82.9 million during the quarter ended June 30, 2020, primarily attributable to the gain recognition. Net income increased 136% to $151.2 million during the quarter ended June 30, 2021 from $64.1 million during the quarter ended June 30, 2020, primarily driven by higher operating income, partially offset by a higher tax provision due to lower excess tax benefits related to stock-based compensation, as well as the gain from the C&amp;R divestiture. Operating income increased 85% to $390.3 million during the nine months ended June 30, 2021 from $210.5 million during the nine months ended June 30, 2020, and net income increased 73% to $306.4 million from $177.3 million.</w:t>
      </w:r>
    </w:p>
    <w:p>
      <w:pPr>
        <w:spacing w:after="0" w:line="117" w:lineRule="exact"/>
        <w:rPr>
          <w:sz w:val="20"/>
          <w:szCs w:val="20"/>
          <w:color w:val="auto"/>
        </w:rPr>
      </w:pPr>
    </w:p>
    <w:p>
      <w:pPr>
        <w:jc w:val="both"/>
        <w:ind w:firstLine="396"/>
        <w:spacing w:after="0" w:line="266" w:lineRule="auto"/>
        <w:rPr>
          <w:sz w:val="20"/>
          <w:szCs w:val="20"/>
          <w:color w:val="auto"/>
        </w:rPr>
      </w:pPr>
      <w:r>
        <w:rPr>
          <w:rFonts w:ascii="Arial" w:cs="Arial" w:eastAsia="Arial" w:hAnsi="Arial"/>
          <w:sz w:val="17"/>
          <w:szCs w:val="17"/>
          <w:color w:val="auto"/>
        </w:rPr>
        <w:t>We continue to enhance stockholder value by returning cash to stockholders through our stock repurchase program. In June 2021, following the close of the C&amp;R divestiture, we entered into an accelerated share repurchase agreement (“ASR Agreement”) to repurchase $200.0 million of our common stock. During the quarter and nine months ended June 30, 2021, we repurchased approximately 489,000 shares, including 319,400 shares repurchased under the ASR Agreement, at a total repurchase price of $246.0 million and 1,031,000 shares, including 319,400 shares repurchased under the ASR Agreement, at a total repurchase price of $501.2 million, respectively. As of June 30, 2021, we had $225.3 million remaining under our current stock repurchase program, which includes a $40.0 million prepayment under the ASR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16" w:lineRule="exact"/>
        <w:rPr>
          <w:sz w:val="20"/>
          <w:szCs w:val="20"/>
          <w:color w:val="auto"/>
        </w:rPr>
      </w:pPr>
    </w:p>
    <w:p>
      <w:pPr>
        <w:jc w:val="both"/>
        <w:ind w:firstLine="396"/>
        <w:spacing w:after="0" w:line="251" w:lineRule="auto"/>
        <w:rPr>
          <w:sz w:val="20"/>
          <w:szCs w:val="20"/>
          <w:color w:val="auto"/>
        </w:rPr>
      </w:pPr>
      <w:r>
        <w:rPr>
          <w:rFonts w:ascii="Arial" w:cs="Arial" w:eastAsia="Arial" w:hAnsi="Arial"/>
          <w:sz w:val="17"/>
          <w:szCs w:val="17"/>
          <w:color w:val="auto"/>
        </w:rPr>
        <w:t>As the COVID-19 pandemic persists, our focus remains on promoting employee health and safety, serving our customers and ensuring business continuity. For a discussion of the variety of measures we have taken, as well as the impacts on and risks to our business from COVID-19, please refer to “COVID-19 Update” included in Part II, Item 7 “Management’s Discussion and Analysis of Financial Condition and Results of Operations” in our Annual Report on Form 10-K for the fiscal year ended September 30, 2020; certain risk factors included in Part II, Item 1A “Risk Factors” of this Quarterly Report; and the information presented below under “Results of Operations” in this Quarterly Report.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16" w:lineRule="exact"/>
        <w:rPr>
          <w:sz w:val="20"/>
          <w:szCs w:val="20"/>
          <w:color w:val="auto"/>
        </w:rPr>
      </w:pPr>
    </w:p>
    <w:p>
      <w:pPr>
        <w:jc w:val="both"/>
        <w:ind w:firstLine="396"/>
        <w:spacing w:after="0" w:line="267" w:lineRule="auto"/>
        <w:rPr>
          <w:sz w:val="20"/>
          <w:szCs w:val="20"/>
          <w:color w:val="auto"/>
        </w:rPr>
      </w:pPr>
      <w:r>
        <w:rPr>
          <w:rFonts w:ascii="Arial" w:cs="Arial" w:eastAsia="Arial" w:hAnsi="Arial"/>
          <w:sz w:val="17"/>
          <w:szCs w:val="17"/>
          <w:color w:val="auto"/>
        </w:rPr>
        <w:t>Management regards the volume of bookings achieved as an important indicator of future revenues, but they are not comparable to, nor a substitute for, an analysis of our revenues. Bookings represent contracts signed in the current reporting period that generate current and future revenue streams. While we disclose estimated revenue expected to be recognized in the future related to unsatisfied performance obligations in Note 13 to the accompanying condensed consolidated financial statements, we believe the bookings amount is still a meaningful measure of our business as it includes estimated revenues omitted from Note 13, such as usage-based royalties derived from our software licenses, among others.</w:t>
      </w:r>
    </w:p>
    <w:p>
      <w:pPr>
        <w:spacing w:after="0" w:line="127"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We estimate bookings as of the end of the period in which a contract is signed, and initial booking estimates are not updated in future periods for changes between estimated and actual results. Our calculations have varying degrees of certainty depending on the revenue type and individual contract terms. They are subject to a number of risks and uncertainties concerning timing and contingencies affecting product delivery and performance, and estimates take into consideration contract terms, knowledge of the marketplace and experience with our customers, among other factors. Actual revenue and the timing thereof could differ materially from our initial estimates.</w:t>
      </w:r>
    </w:p>
    <w:p>
      <w:pPr>
        <w:spacing w:after="0" w:line="141"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Although many of our contracts contain non-cancelable terms, most of our bookings are transactional or service-related that depend upon certain estimates, such as volume of transactions, number of active accounts, or number of hours incurred. Since these estimates cannot be considered fixed or firm, we do not believe it is appropriate to characterize bookings as backlog. The following paragraphs discuss the key assumptions used to calculate bookings and the susceptibility of these assumptions to variability for each revenue type, as defined in Revenue Recognition in the Critical Accounting Policies and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Transactional and Maintenance Bookings</w:t>
      </w:r>
    </w:p>
    <w:p>
      <w:pPr>
        <w:spacing w:after="0" w:line="110" w:lineRule="exact"/>
        <w:rPr>
          <w:sz w:val="20"/>
          <w:szCs w:val="20"/>
          <w:color w:val="auto"/>
        </w:rPr>
      </w:pPr>
    </w:p>
    <w:p>
      <w:pPr>
        <w:jc w:val="both"/>
        <w:ind w:firstLine="396"/>
        <w:spacing w:after="0" w:line="266" w:lineRule="auto"/>
        <w:rPr>
          <w:sz w:val="20"/>
          <w:szCs w:val="20"/>
          <w:color w:val="auto"/>
        </w:rPr>
      </w:pPr>
      <w:r>
        <w:rPr>
          <w:rFonts w:ascii="Arial" w:cs="Arial" w:eastAsia="Arial" w:hAnsi="Arial"/>
          <w:sz w:val="17"/>
          <w:szCs w:val="17"/>
          <w:color w:val="auto"/>
        </w:rPr>
        <w:t>We calculate transactional bookings as the total estimated volume of transactions or number of accounts under contract, multiplied by the contractual rate. Transactional contracts generally span multiple years and require estimates of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economic trends in our customers’ industries; individual performance of our customers relative to their competitors; and regulatory and other factors that affect the business environment in which our customers operate.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Professional Services Bookings</w:t>
      </w:r>
    </w:p>
    <w:p>
      <w:pPr>
        <w:spacing w:after="0" w:line="110" w:lineRule="exact"/>
        <w:rPr>
          <w:sz w:val="20"/>
          <w:szCs w:val="20"/>
          <w:color w:val="auto"/>
        </w:rPr>
      </w:pPr>
    </w:p>
    <w:p>
      <w:pPr>
        <w:jc w:val="both"/>
        <w:ind w:firstLine="396"/>
        <w:spacing w:after="0" w:line="328" w:lineRule="auto"/>
        <w:rPr>
          <w:sz w:val="20"/>
          <w:szCs w:val="20"/>
          <w:color w:val="auto"/>
        </w:rPr>
      </w:pPr>
      <w:r>
        <w:rPr>
          <w:rFonts w:ascii="Arial" w:cs="Arial" w:eastAsia="Arial" w:hAnsi="Arial"/>
          <w:sz w:val="15"/>
          <w:szCs w:val="15"/>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Bookings</w:t>
      </w:r>
    </w:p>
    <w:p>
      <w:pPr>
        <w:spacing w:after="0" w:line="110"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Licenses that are sold on a term or perpetual basis when bookings generally equal the fixed amount (including guaranteed minimums) stated in the contract.</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Bookings Trend Analysis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Bookings</w:t>
            </w:r>
          </w:p>
        </w:tc>
        <w:tc>
          <w:tcPr>
            <w:tcW w:w="152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4"/>
              </w:rPr>
              <w:t>Bookings</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Bookings</w:t>
            </w:r>
          </w:p>
        </w:tc>
        <w:tc>
          <w:tcPr>
            <w:tcW w:w="1660" w:type="dxa"/>
            <w:vAlign w:val="bottom"/>
            <w:gridSpan w:val="2"/>
            <w:vMerge w:val="continue"/>
          </w:tcPr>
          <w:p>
            <w:pPr>
              <w:spacing w:after="0"/>
              <w:rPr>
                <w:sz w:val="11"/>
                <w:szCs w:val="11"/>
                <w:color w:val="auto"/>
              </w:rPr>
            </w:pPr>
          </w:p>
        </w:tc>
        <w:tc>
          <w:tcPr>
            <w:tcW w:w="1520" w:type="dxa"/>
            <w:vAlign w:val="bottom"/>
            <w:gridSpan w:val="2"/>
          </w:tcPr>
          <w:p>
            <w:pPr>
              <w:jc w:val="center"/>
              <w:ind w:right="80"/>
              <w:spacing w:after="0" w:line="132" w:lineRule="exact"/>
              <w:rPr>
                <w:sz w:val="20"/>
                <w:szCs w:val="20"/>
                <w:color w:val="auto"/>
              </w:rPr>
            </w:pPr>
            <w:r>
              <w:rPr>
                <w:rFonts w:ascii="Arial" w:cs="Arial" w:eastAsia="Arial" w:hAnsi="Arial"/>
                <w:sz w:val="14"/>
                <w:szCs w:val="14"/>
                <w:b w:val="1"/>
                <w:bCs w:val="1"/>
                <w:color w:val="auto"/>
                <w:w w:val="89"/>
              </w:rPr>
              <w:t>over $1</w:t>
            </w: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line="185" w:lineRule="exact"/>
              <w:rPr>
                <w:sz w:val="20"/>
                <w:szCs w:val="20"/>
                <w:color w:val="auto"/>
              </w:rPr>
            </w:pPr>
            <w:r>
              <w:rPr>
                <w:rFonts w:ascii="Arial" w:cs="Arial" w:eastAsia="Arial" w:hAnsi="Arial"/>
                <w:sz w:val="14"/>
                <w:szCs w:val="14"/>
                <w:b w:val="1"/>
                <w:bCs w:val="1"/>
                <w:color w:val="auto"/>
                <w:w w:val="84"/>
              </w:rPr>
              <w:t xml:space="preserve">Yield </w:t>
            </w:r>
            <w:r>
              <w:rPr>
                <w:rFonts w:ascii="Arial" w:cs="Arial" w:eastAsia="Arial" w:hAnsi="Arial"/>
                <w:sz w:val="18"/>
                <w:szCs w:val="18"/>
                <w:b w:val="1"/>
                <w:bCs w:val="1"/>
                <w:color w:val="auto"/>
                <w:w w:val="84"/>
                <w:vertAlign w:val="superscript"/>
              </w:rPr>
              <w:t>(1)</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Million</w:t>
            </w:r>
          </w:p>
        </w:tc>
        <w:tc>
          <w:tcPr>
            <w:tcW w:w="1420" w:type="dxa"/>
            <w:vAlign w:val="bottom"/>
          </w:tcPr>
          <w:p>
            <w:pPr>
              <w:jc w:val="center"/>
              <w:spacing w:after="0" w:line="185" w:lineRule="exact"/>
              <w:rPr>
                <w:sz w:val="20"/>
                <w:szCs w:val="20"/>
                <w:color w:val="auto"/>
              </w:rPr>
            </w:pPr>
            <w:r>
              <w:rPr>
                <w:rFonts w:ascii="Arial" w:cs="Arial" w:eastAsia="Arial" w:hAnsi="Arial"/>
                <w:sz w:val="14"/>
                <w:szCs w:val="14"/>
                <w:b w:val="1"/>
                <w:bCs w:val="1"/>
                <w:color w:val="auto"/>
                <w:w w:val="87"/>
              </w:rPr>
              <w:t xml:space="preserve">Term </w:t>
            </w:r>
            <w:r>
              <w:rPr>
                <w:rFonts w:ascii="Arial" w:cs="Arial" w:eastAsia="Arial" w:hAnsi="Arial"/>
                <w:sz w:val="18"/>
                <w:szCs w:val="18"/>
                <w:b w:val="1"/>
                <w:bCs w:val="1"/>
                <w:color w:val="auto"/>
                <w:w w:val="87"/>
                <w:vertAlign w:val="superscript"/>
              </w:rPr>
              <w:t>(2)</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(Months)</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 Ended June 30, 2021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Quarter Ended June 30, 2020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June 30, 2021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25"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(a)</w:t>
            </w:r>
          </w:p>
        </w:tc>
        <w:tc>
          <w:tcPr>
            <w:tcW w:w="0" w:type="dxa"/>
            <w:vAlign w:val="bottom"/>
          </w:tcPr>
          <w:p>
            <w:pPr>
              <w:spacing w:after="0"/>
              <w:rPr>
                <w:sz w:val="1"/>
                <w:szCs w:val="1"/>
                <w:color w:val="auto"/>
              </w:rPr>
            </w:pPr>
          </w:p>
        </w:tc>
      </w:tr>
      <w:tr>
        <w:trPr>
          <w:trHeight w:val="458"/>
        </w:trPr>
        <w:tc>
          <w:tcPr>
            <w:tcW w:w="5100" w:type="dxa"/>
            <w:vAlign w:val="bottom"/>
          </w:tcPr>
          <w:p>
            <w:pPr>
              <w:ind w:left="20"/>
              <w:spacing w:after="0"/>
              <w:rPr>
                <w:sz w:val="20"/>
                <w:szCs w:val="20"/>
                <w:color w:val="auto"/>
              </w:rPr>
            </w:pPr>
            <w:r>
              <w:rPr>
                <w:rFonts w:ascii="Arial" w:cs="Arial" w:eastAsia="Arial" w:hAnsi="Arial"/>
                <w:sz w:val="18"/>
                <w:szCs w:val="18"/>
                <w:color w:val="auto"/>
              </w:rPr>
              <w:t>Nine Months Ended June 30, 2020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35"/>
                <w:szCs w:val="35"/>
                <w:color w:val="auto"/>
                <w:vertAlign w:val="subscript"/>
              </w:rPr>
              <w:t>NM</w:t>
            </w:r>
            <w:r>
              <w:rPr>
                <w:rFonts w:ascii="Arial" w:cs="Arial" w:eastAsia="Arial" w:hAnsi="Arial"/>
                <w:sz w:val="11"/>
                <w:szCs w:val="11"/>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3836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51"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1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firstLine="6"/>
        <w:spacing w:after="0" w:line="263" w:lineRule="auto"/>
        <w:tabs>
          <w:tab w:leader="none" w:pos="2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180"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Transactional and maintenance bookings were 53% and 49% of total bookings for the quarters ended June 30, 2021 and 2020, respectively. Professional services bookings were 28% and 39% of total bookings for the quarters ended June 30, 2021 and 2020, respectively. License bookings were 19% of total bookings for each of the quarters ended June 30, 2021 and 2020.</w:t>
      </w:r>
    </w:p>
    <w:p>
      <w:pPr>
        <w:spacing w:after="0" w:line="188"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Transactional and maintenance bookings were 59% and 44% of total bookings for the nine months ended June 30, 2021 and 2020, respectively. Professional services bookings were 26% and 38% of total bookings for the nine months ended June 30, 2021 and 2020, respectively. License bookings were 15% and 18% of total bookings for the nine months ended June 30, 2021 and 2020,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tables set forth certain summary information on a segment basis related to our revenues for the quarters and nine-month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Quarter Ended June 30,</w:t>
            </w:r>
          </w:p>
        </w:tc>
        <w:tc>
          <w:tcPr>
            <w:tcW w:w="25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220" w:type="dxa"/>
            <w:vAlign w:val="bottom"/>
            <w:tcBorders>
              <w:top w:val="single" w:sz="8" w:color="auto"/>
            </w:tcBorders>
            <w:vMerge w:val="restart"/>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Period-to-Period</w:t>
            </w:r>
          </w:p>
        </w:tc>
        <w:tc>
          <w:tcPr>
            <w:tcW w:w="1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Period-to-Period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Change</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172,202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gridSpan w:val="2"/>
          </w:tcPr>
          <w:p>
            <w:pPr>
              <w:ind w:left="320"/>
              <w:spacing w:after="0" w:line="204"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338,184</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313,731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Nine Months Ended June 30,</w:t>
            </w:r>
          </w:p>
        </w:tc>
        <w:tc>
          <w:tcPr>
            <w:tcW w:w="25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220" w:type="dxa"/>
            <w:vAlign w:val="bottom"/>
            <w:tcBorders>
              <w:top w:val="single" w:sz="8" w:color="auto"/>
            </w:tcBorders>
            <w:vMerge w:val="restart"/>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Period-to-Period</w:t>
            </w:r>
          </w:p>
        </w:tc>
        <w:tc>
          <w:tcPr>
            <w:tcW w:w="1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Period-to-Period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Change</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485,572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375,836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109,736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gridSpan w:val="2"/>
          </w:tcPr>
          <w:p>
            <w:pPr>
              <w:ind w:left="320"/>
              <w:spacing w:after="0" w:line="204"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981,959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920,206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61,753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2021 Compared to Quarter Ended June 30, 2020</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Applications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5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Period-to-Period</w:t>
            </w:r>
          </w:p>
        </w:tc>
        <w:tc>
          <w:tcPr>
            <w:tcW w:w="0" w:type="dxa"/>
            <w:vAlign w:val="bottom"/>
          </w:tcPr>
          <w:p>
            <w:pPr>
              <w:spacing w:after="0"/>
              <w:rPr>
                <w:sz w:val="1"/>
                <w:szCs w:val="1"/>
                <w:color w:val="auto"/>
              </w:rPr>
            </w:pPr>
          </w:p>
        </w:tc>
      </w:tr>
      <w:tr>
        <w:trPr>
          <w:trHeight w:val="65"/>
        </w:trPr>
        <w:tc>
          <w:tcPr>
            <w:tcW w:w="5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620"/>
              <w:spacing w:after="0"/>
              <w:rPr>
                <w:sz w:val="20"/>
                <w:szCs w:val="20"/>
                <w:color w:val="auto"/>
              </w:rPr>
            </w:pPr>
            <w:r>
              <w:rPr>
                <w:rFonts w:ascii="Arial" w:cs="Arial" w:eastAsia="Arial" w:hAnsi="Arial"/>
                <w:sz w:val="18"/>
                <w:szCs w:val="18"/>
                <w:color w:val="auto"/>
                <w:w w:val="88"/>
              </w:rPr>
              <w:t>1,346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left="600"/>
              <w:spacing w:after="0"/>
              <w:rPr>
                <w:sz w:val="20"/>
                <w:szCs w:val="20"/>
                <w:color w:val="auto"/>
              </w:rPr>
            </w:pPr>
            <w:r>
              <w:rPr>
                <w:rFonts w:ascii="Arial" w:cs="Arial" w:eastAsia="Arial" w:hAnsi="Arial"/>
                <w:sz w:val="18"/>
                <w:szCs w:val="18"/>
                <w:color w:val="auto"/>
                <w:w w:val="87"/>
              </w:rPr>
              <w:t>(5,983)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00"/>
              <w:spacing w:after="0"/>
              <w:rPr>
                <w:sz w:val="20"/>
                <w:szCs w:val="20"/>
                <w:color w:val="auto"/>
              </w:rPr>
            </w:pPr>
            <w:r>
              <w:rPr>
                <w:rFonts w:ascii="Arial" w:cs="Arial" w:eastAsia="Arial" w:hAnsi="Arial"/>
                <w:sz w:val="18"/>
                <w:szCs w:val="18"/>
                <w:color w:val="auto"/>
                <w:w w:val="87"/>
              </w:rPr>
              <w:t>(3,610)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133,213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left="600"/>
              <w:spacing w:after="0"/>
              <w:rPr>
                <w:sz w:val="20"/>
                <w:szCs w:val="20"/>
                <w:color w:val="auto"/>
              </w:rPr>
            </w:pPr>
            <w:r>
              <w:rPr>
                <w:rFonts w:ascii="Arial" w:cs="Arial" w:eastAsia="Arial" w:hAnsi="Arial"/>
                <w:sz w:val="18"/>
                <w:szCs w:val="18"/>
                <w:color w:val="auto"/>
                <w:w w:val="87"/>
              </w:rPr>
              <w:t>(8,247)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719"/>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7"/>
          <w:szCs w:val="17"/>
          <w:color w:val="auto"/>
        </w:rPr>
        <w:t>Applications segment revenues decreased $8.2 million due to a $6.0 million decrease in services revenue and a $3.6 million decrease in license revenue, partially offset by a $1.3 million increase in transactional and maintenance revenue. The decrease in services revenue was primarily due to our recent strategic shift to emphasize software over services.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The increase in transactional and maintenance revenue was primarily attributable to an increase in SaaS subscription revenue.</w:t>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Scores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56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5"/>
        </w:trPr>
        <w:tc>
          <w:tcPr>
            <w:tcW w:w="5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60" w:type="dxa"/>
            <w:vAlign w:val="bottom"/>
          </w:tcPr>
          <w:p>
            <w:pPr>
              <w:jc w:val="right"/>
              <w:ind w:right="118"/>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8"/>
        </w:trPr>
        <w:tc>
          <w:tcPr>
            <w:tcW w:w="51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36"/>
        <w:spacing w:after="0" w:line="223" w:lineRule="auto"/>
        <w:rPr>
          <w:sz w:val="20"/>
          <w:szCs w:val="20"/>
          <w:color w:val="auto"/>
        </w:rPr>
      </w:pPr>
      <w:r>
        <w:rPr>
          <w:rFonts w:ascii="Arial" w:cs="Arial" w:eastAsia="Arial" w:hAnsi="Arial"/>
          <w:sz w:val="18"/>
          <w:szCs w:val="18"/>
          <w:color w:val="auto"/>
        </w:rPr>
        <w:t>Scores segment revenues increased $40.7 million due to an increase of $22.0 million in our business-to-business scores revenue and $18.7 million in our business-to-consumer services revenue. The increase in business-to-business scores revenue was primarily attributable to a higher unit price in the insurance and auto reseller markets, as well as higher origination volumes during the quarter ended June 30, 2021. The increase in business-to-consumer services revenue was attributable to an increase in both royalties derived from scores sold indirectly to consumers through credit reporting agencies and direct sales generated from the myFICO.com website.</w:t>
      </w:r>
    </w:p>
    <w:p>
      <w:pPr>
        <w:spacing w:after="0" w:line="134" w:lineRule="exact"/>
        <w:rPr>
          <w:sz w:val="20"/>
          <w:szCs w:val="20"/>
          <w:color w:val="auto"/>
        </w:rPr>
      </w:pPr>
    </w:p>
    <w:p>
      <w:pPr>
        <w:jc w:val="both"/>
        <w:ind w:firstLine="436"/>
        <w:spacing w:after="0" w:line="328" w:lineRule="auto"/>
        <w:rPr>
          <w:sz w:val="20"/>
          <w:szCs w:val="20"/>
          <w:color w:val="auto"/>
        </w:rPr>
      </w:pPr>
      <w:r>
        <w:rPr>
          <w:rFonts w:ascii="Arial" w:cs="Arial" w:eastAsia="Arial" w:hAnsi="Arial"/>
          <w:sz w:val="15"/>
          <w:szCs w:val="15"/>
          <w:color w:val="auto"/>
        </w:rPr>
        <w:t>Revenues generated from our agreements with Experian, TransUnion, and Equifax accounted for 17%, 12% and 10%, respectively, of our total revenues for the quarter ended June 30, 2021. Revenues generated from our agreements with Experian, TransUnion, and Equifax accounted for 15%, 11% and 9%, respectively, of our total revenues for the quarter ended June 30, 2020. Revenues from these customers included amounts recorded in our other segments.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Quarter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56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5"/>
        </w:trPr>
        <w:tc>
          <w:tcPr>
            <w:tcW w:w="51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60" w:type="dxa"/>
            <w:vAlign w:val="bottom"/>
          </w:tcPr>
          <w:p>
            <w:pPr>
              <w:jc w:val="right"/>
              <w:ind w:right="118"/>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51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32,769</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40,721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Decision Management Software segment revenues decreased $8.0 million primarily due to a $5.9 million decrease in license revenue and a $1.8 million decrease in services revenue. The decrease in license revenue was primarily attributable to a decrease in the number and size of term license deals signed or renewed during the quarter ended June 30, 2021. The decrease in services revenue was primarily due to our recent strategic shift to emphasize software over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2021 Compared to Nine Months Ended June 30, 2020</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Applications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56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5"/>
        </w:trPr>
        <w:tc>
          <w:tcPr>
            <w:tcW w:w="5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60" w:type="dxa"/>
            <w:vAlign w:val="bottom"/>
          </w:tcPr>
          <w:p>
            <w:pPr>
              <w:jc w:val="right"/>
              <w:ind w:right="118"/>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51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398,088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(35,829)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36"/>
        <w:spacing w:after="0" w:line="311" w:lineRule="auto"/>
        <w:rPr>
          <w:sz w:val="20"/>
          <w:szCs w:val="20"/>
          <w:color w:val="auto"/>
        </w:rPr>
      </w:pPr>
      <w:r>
        <w:rPr>
          <w:rFonts w:ascii="Arial" w:cs="Arial" w:eastAsia="Arial" w:hAnsi="Arial"/>
          <w:sz w:val="15"/>
          <w:szCs w:val="15"/>
          <w:color w:val="auto"/>
        </w:rPr>
        <w:t>Applications segment revenues decreased $35.8 million primarily due to an $18.1 million decrease in license revenue and a $16.9 million decrease in services revenue.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as well as a decrease in the number and size of term license deals signed or renewed during the nine months ended June 30, 2021, mainly in our fraud solutions. The decrease in services revenue was primarily due to our recent strategic shift to emphasize software over services.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Scores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56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5"/>
        </w:trPr>
        <w:tc>
          <w:tcPr>
            <w:tcW w:w="5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60" w:type="dxa"/>
            <w:vAlign w:val="bottom"/>
          </w:tcPr>
          <w:p>
            <w:pPr>
              <w:jc w:val="right"/>
              <w:ind w:right="118"/>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51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485,572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109,736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36"/>
        <w:spacing w:after="0" w:line="223" w:lineRule="auto"/>
        <w:rPr>
          <w:sz w:val="20"/>
          <w:szCs w:val="20"/>
          <w:color w:val="auto"/>
        </w:rPr>
      </w:pPr>
      <w:r>
        <w:rPr>
          <w:rFonts w:ascii="Arial" w:cs="Arial" w:eastAsia="Arial" w:hAnsi="Arial"/>
          <w:sz w:val="18"/>
          <w:szCs w:val="18"/>
          <w:color w:val="auto"/>
        </w:rPr>
        <w:t>Scores segment revenues increased $109.7 million due to an increase of $62.5 million in our business-to-business scores revenue and $47.2 million in our business-to-consumer services revenue. The increase in business-to-business scores revenue was primarily attributable to a higher unit price in the auto, unsecured originations and insurance markets, as well as higher origination volumes. The increase in business-to-consumer services revenue was attributable to an increase in both royalties derived from scores sold indirectly to consumers through credit reporting agencies and direct sales generated from the myFICO.com website.</w:t>
      </w:r>
    </w:p>
    <w:p>
      <w:pPr>
        <w:spacing w:after="0" w:line="134" w:lineRule="exact"/>
        <w:rPr>
          <w:sz w:val="20"/>
          <w:szCs w:val="20"/>
          <w:color w:val="auto"/>
        </w:rPr>
      </w:pPr>
    </w:p>
    <w:p>
      <w:pPr>
        <w:jc w:val="both"/>
        <w:ind w:firstLine="436"/>
        <w:spacing w:after="0" w:line="328" w:lineRule="auto"/>
        <w:rPr>
          <w:sz w:val="20"/>
          <w:szCs w:val="20"/>
          <w:color w:val="auto"/>
        </w:rPr>
      </w:pPr>
      <w:r>
        <w:rPr>
          <w:rFonts w:ascii="Arial" w:cs="Arial" w:eastAsia="Arial" w:hAnsi="Arial"/>
          <w:sz w:val="15"/>
          <w:szCs w:val="15"/>
          <w:color w:val="auto"/>
        </w:rPr>
        <w:t>Revenues generated from our agreements with Experian, TransUnion, and Equifax accounted for 16%, 12% and 10%, respectively, of our total revenues for the nine months ended June 30, 2021. Revenues generated from our agreements with Experian, TransUnion, and Equifax accounted for 14%, 10% and 8%, respectively, of our total revenues for the nine months ended June 30, 2020. Revenues from these customers included amounts recorded in our other segments.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5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Period-to-Period</w:t>
            </w:r>
          </w:p>
        </w:tc>
        <w:tc>
          <w:tcPr>
            <w:tcW w:w="0" w:type="dxa"/>
            <w:vAlign w:val="bottom"/>
          </w:tcPr>
          <w:p>
            <w:pPr>
              <w:spacing w:after="0"/>
              <w:rPr>
                <w:sz w:val="1"/>
                <w:szCs w:val="1"/>
                <w:color w:val="auto"/>
              </w:rPr>
            </w:pPr>
          </w:p>
        </w:tc>
      </w:tr>
      <w:tr>
        <w:trPr>
          <w:trHeight w:val="65"/>
        </w:trPr>
        <w:tc>
          <w:tcPr>
            <w:tcW w:w="51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50,690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29,538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18,071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98,299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5100" w:type="dxa"/>
            <w:vAlign w:val="bottom"/>
          </w:tcPr>
          <w:p>
            <w:pPr>
              <w:spacing w:after="0"/>
              <w:rPr>
                <w:sz w:val="24"/>
                <w:szCs w:val="24"/>
                <w:color w:val="auto"/>
              </w:rPr>
            </w:pPr>
          </w:p>
        </w:tc>
        <w:tc>
          <w:tcPr>
            <w:tcW w:w="860" w:type="dxa"/>
            <w:vAlign w:val="bottom"/>
          </w:tcPr>
          <w:p>
            <w:pPr>
              <w:jc w:val="right"/>
              <w:ind w:right="159"/>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7"/>
          <w:szCs w:val="17"/>
          <w:color w:val="auto"/>
        </w:rPr>
        <w:t>Decision Management Software segment revenues decreased $12.2 million due to a $12.0 million decrease in license revenue and a $3.4 million decrease in services revenue, partially offset by a $3.2 million increase in transactional and maintenance revenue.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as well as a decrease in the number and size of term license deals signed or renewed during the nine months ended June 30, 2021. The decrease in services revenue was primarily due to our recent strategic shift to emphasize software over services. The increase in transactional and maintenance revenue was primarily attributable to an increase in SaaS subscription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16"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nine-month periods ended June 30,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Quarter Ended June 30,</w:t>
            </w:r>
          </w:p>
        </w:tc>
        <w:tc>
          <w:tcPr>
            <w:tcW w:w="30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Percentage of Revenues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Period-to-</w:t>
            </w:r>
          </w:p>
        </w:tc>
        <w:tc>
          <w:tcPr>
            <w:tcW w:w="0" w:type="dxa"/>
            <w:vAlign w:val="bottom"/>
          </w:tcPr>
          <w:p>
            <w:pPr>
              <w:spacing w:after="0"/>
              <w:rPr>
                <w:sz w:val="1"/>
                <w:szCs w:val="1"/>
                <w:color w:val="auto"/>
              </w:rPr>
            </w:pPr>
          </w:p>
        </w:tc>
      </w:tr>
      <w:tr>
        <w:trPr>
          <w:trHeight w:val="40"/>
        </w:trPr>
        <w:tc>
          <w:tcPr>
            <w:tcW w:w="252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Period-to-Period</w:t>
            </w:r>
          </w:p>
        </w:tc>
        <w:tc>
          <w:tcPr>
            <w:tcW w:w="13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3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40" w:type="dxa"/>
            <w:vAlign w:val="bottom"/>
            <w:gridSpan w:val="2"/>
          </w:tcPr>
          <w:p>
            <w:pPr>
              <w:jc w:val="center"/>
              <w:ind w:right="60"/>
              <w:spacing w:after="0" w:line="132"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gridSpan w:val="4"/>
          </w:tcPr>
          <w:p>
            <w:pPr>
              <w:jc w:val="center"/>
              <w:ind w:right="233"/>
              <w:spacing w:after="0" w:line="126" w:lineRule="exact"/>
              <w:rPr>
                <w:sz w:val="20"/>
                <w:szCs w:val="20"/>
                <w:color w:val="auto"/>
              </w:rPr>
            </w:pPr>
            <w:r>
              <w:rPr>
                <w:rFonts w:ascii="Arial" w:cs="Arial" w:eastAsia="Arial" w:hAnsi="Arial"/>
                <w:sz w:val="14"/>
                <w:szCs w:val="14"/>
                <w:b w:val="1"/>
                <w:bCs w:val="1"/>
                <w:color w:val="auto"/>
                <w:w w:val="88"/>
              </w:rPr>
              <w:t>(In thousands, except</w:t>
            </w:r>
          </w:p>
        </w:tc>
        <w:tc>
          <w:tcPr>
            <w:tcW w:w="12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56"/>
              <w:spacing w:after="0" w:line="126"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88"/>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except employees)</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313,731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100 %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340"/>
              <w:spacing w:after="0"/>
              <w:rPr>
                <w:sz w:val="20"/>
                <w:szCs w:val="20"/>
                <w:color w:val="auto"/>
              </w:rPr>
            </w:pPr>
            <w:r>
              <w:rPr>
                <w:rFonts w:ascii="Arial" w:cs="Arial" w:eastAsia="Arial" w:hAnsi="Arial"/>
                <w:sz w:val="18"/>
                <w:szCs w:val="18"/>
                <w:color w:val="auto"/>
                <w:w w:val="98"/>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41,411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340"/>
              <w:spacing w:after="0" w:line="173" w:lineRule="exact"/>
              <w:rPr>
                <w:sz w:val="20"/>
                <w:szCs w:val="20"/>
                <w:color w:val="auto"/>
              </w:rPr>
            </w:pPr>
            <w:r>
              <w:rPr>
                <w:rFonts w:ascii="Arial" w:cs="Arial" w:eastAsia="Arial" w:hAnsi="Arial"/>
                <w:sz w:val="18"/>
                <w:szCs w:val="18"/>
                <w:color w:val="auto"/>
              </w:rPr>
              <w:t>Selling, general and</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99,832</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40"/>
              <w:spacing w:after="0" w:line="172" w:lineRule="exact"/>
              <w:rPr>
                <w:sz w:val="20"/>
                <w:szCs w:val="20"/>
                <w:color w:val="auto"/>
              </w:rPr>
            </w:pPr>
            <w:r>
              <w:rPr>
                <w:rFonts w:ascii="Arial" w:cs="Arial" w:eastAsia="Arial" w:hAnsi="Arial"/>
                <w:sz w:val="18"/>
                <w:szCs w:val="18"/>
                <w:color w:val="auto"/>
              </w:rPr>
              <w:t>Amortization of intangible</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4"/>
                <w:szCs w:val="14"/>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162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 %</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3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340"/>
              <w:spacing w:after="0" w:line="173" w:lineRule="exact"/>
              <w:rPr>
                <w:sz w:val="20"/>
                <w:szCs w:val="20"/>
                <w:color w:val="auto"/>
              </w:rPr>
            </w:pPr>
            <w:r>
              <w:rPr>
                <w:rFonts w:ascii="Arial" w:cs="Arial" w:eastAsia="Arial" w:hAnsi="Arial"/>
                <w:sz w:val="18"/>
                <w:szCs w:val="18"/>
                <w:color w:val="auto"/>
                <w:w w:val="99"/>
              </w:rPr>
              <w:t>Gains on product line asset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6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sales and business divestiture</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3"/>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143,800</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230,860</w:t>
            </w: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(87,060)</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187,892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76,208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20"/>
              <w:spacing w:after="0" w:line="204"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64,076</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87,122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Number of employees at quarter</w:t>
            </w: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June 30,</w:t>
            </w:r>
          </w:p>
        </w:tc>
        <w:tc>
          <w:tcPr>
            <w:tcW w:w="23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Percentage of Revenues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Period-to-</w:t>
            </w:r>
          </w:p>
        </w:tc>
        <w:tc>
          <w:tcPr>
            <w:tcW w:w="0" w:type="dxa"/>
            <w:vAlign w:val="bottom"/>
          </w:tcPr>
          <w:p>
            <w:pPr>
              <w:spacing w:after="0"/>
              <w:rPr>
                <w:sz w:val="1"/>
                <w:szCs w:val="1"/>
                <w:color w:val="auto"/>
              </w:rPr>
            </w:pPr>
          </w:p>
        </w:tc>
      </w:tr>
      <w:tr>
        <w:trPr>
          <w:trHeight w:val="112"/>
        </w:trPr>
        <w:tc>
          <w:tcPr>
            <w:tcW w:w="25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jc w:val="center"/>
              <w:ind w:right="280"/>
              <w:spacing w:after="0" w:line="112" w:lineRule="exact"/>
              <w:rPr>
                <w:sz w:val="20"/>
                <w:szCs w:val="20"/>
                <w:color w:val="auto"/>
              </w:rPr>
            </w:pPr>
            <w:r>
              <w:rPr>
                <w:rFonts w:ascii="Arial" w:cs="Arial" w:eastAsia="Arial" w:hAnsi="Arial"/>
                <w:sz w:val="12"/>
                <w:szCs w:val="12"/>
                <w:b w:val="1"/>
                <w:bCs w:val="1"/>
                <w:color w:val="auto"/>
              </w:rPr>
              <w:t>Period-to-Period</w:t>
            </w:r>
          </w:p>
        </w:tc>
        <w:tc>
          <w:tcPr>
            <w:tcW w:w="130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rPr>
              <w:t>Period</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177"/>
        </w:trPr>
        <w:tc>
          <w:tcPr>
            <w:tcW w:w="2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5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981,959</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920,206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100 %  $</w:t>
            </w:r>
          </w:p>
        </w:tc>
        <w:tc>
          <w:tcPr>
            <w:tcW w:w="1300" w:type="dxa"/>
            <w:vAlign w:val="bottom"/>
          </w:tcPr>
          <w:p>
            <w:pPr>
              <w:jc w:val="right"/>
              <w:spacing w:after="0"/>
              <w:rPr>
                <w:sz w:val="20"/>
                <w:szCs w:val="20"/>
                <w:color w:val="auto"/>
              </w:rPr>
            </w:pPr>
            <w:r>
              <w:rPr>
                <w:rFonts w:ascii="Arial" w:cs="Arial" w:eastAsia="Arial" w:hAnsi="Arial"/>
                <w:sz w:val="18"/>
                <w:szCs w:val="18"/>
                <w:color w:val="auto"/>
              </w:rPr>
              <w:t>61,753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260,101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267,466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Research and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72"/>
        </w:trPr>
        <w:tc>
          <w:tcPr>
            <w:tcW w:w="2520" w:type="dxa"/>
            <w:vAlign w:val="bottom"/>
          </w:tcPr>
          <w:p>
            <w:pPr>
              <w:ind w:left="340"/>
              <w:spacing w:after="0" w:line="172" w:lineRule="exact"/>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298,912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315,318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52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340"/>
              <w:spacing w:after="0" w:line="173" w:lineRule="exact"/>
              <w:rPr>
                <w:sz w:val="20"/>
                <w:szCs w:val="20"/>
                <w:color w:val="auto"/>
              </w:rPr>
            </w:pPr>
            <w:r>
              <w:rPr>
                <w:rFonts w:ascii="Arial" w:cs="Arial" w:eastAsia="Arial" w:hAnsi="Arial"/>
                <w:sz w:val="18"/>
                <w:szCs w:val="18"/>
                <w:color w:val="auto"/>
              </w:rPr>
              <w:t>Amortization of intangible</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960"/>
              <w:spacing w:after="0"/>
              <w:rPr>
                <w:sz w:val="20"/>
                <w:szCs w:val="20"/>
                <w:color w:val="auto"/>
              </w:rPr>
            </w:pPr>
            <w:r>
              <w:rPr>
                <w:rFonts w:ascii="Arial" w:cs="Arial" w:eastAsia="Arial" w:hAnsi="Arial"/>
                <w:sz w:val="18"/>
                <w:szCs w:val="18"/>
                <w:color w:val="auto"/>
              </w:rPr>
              <w:t>— %</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340"/>
              <w:spacing w:after="0" w:line="172" w:lineRule="exact"/>
              <w:rPr>
                <w:sz w:val="20"/>
                <w:szCs w:val="20"/>
                <w:color w:val="auto"/>
              </w:rPr>
            </w:pPr>
            <w:r>
              <w:rPr>
                <w:rFonts w:ascii="Arial" w:cs="Arial" w:eastAsia="Arial" w:hAnsi="Arial"/>
                <w:sz w:val="18"/>
                <w:szCs w:val="18"/>
                <w:color w:val="auto"/>
                <w:w w:val="91"/>
              </w:rPr>
              <w:t>Restructuring and impairment</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3"/>
            <w:vMerge w:val="restart"/>
          </w:tcPr>
          <w:p>
            <w:pPr>
              <w:jc w:val="right"/>
              <w:ind w:right="960"/>
              <w:spacing w:after="0"/>
              <w:rPr>
                <w:sz w:val="20"/>
                <w:szCs w:val="20"/>
                <w:color w:val="auto"/>
              </w:rPr>
            </w:pPr>
            <w:r>
              <w:rPr>
                <w:rFonts w:ascii="Arial" w:cs="Arial" w:eastAsia="Arial" w:hAnsi="Arial"/>
                <w:sz w:val="18"/>
                <w:szCs w:val="18"/>
                <w:color w:val="auto"/>
              </w:rPr>
              <w:t>— %</w:t>
            </w: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 %</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520" w:type="dxa"/>
            <w:vAlign w:val="bottom"/>
          </w:tcPr>
          <w:p>
            <w:pPr>
              <w:ind w:left="340"/>
              <w:spacing w:after="0"/>
              <w:rPr>
                <w:sz w:val="20"/>
                <w:szCs w:val="20"/>
                <w:color w:val="auto"/>
              </w:rPr>
            </w:pPr>
            <w:r>
              <w:rPr>
                <w:rFonts w:ascii="Arial" w:cs="Arial" w:eastAsia="Arial" w:hAnsi="Arial"/>
                <w:sz w:val="18"/>
                <w:szCs w:val="18"/>
                <w:color w:val="auto"/>
              </w:rPr>
              <w:t>charges</w:t>
            </w: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CEEFF"/>
          </w:tcPr>
          <w:p>
            <w:pPr>
              <w:ind w:left="340"/>
              <w:spacing w:after="0" w:line="173" w:lineRule="exact"/>
              <w:rPr>
                <w:sz w:val="20"/>
                <w:szCs w:val="20"/>
                <w:color w:val="auto"/>
              </w:rPr>
            </w:pPr>
            <w:r>
              <w:rPr>
                <w:rFonts w:ascii="Arial" w:cs="Arial" w:eastAsia="Arial" w:hAnsi="Arial"/>
                <w:sz w:val="18"/>
                <w:szCs w:val="18"/>
                <w:color w:val="auto"/>
                <w:w w:val="99"/>
              </w:rPr>
              <w:t>Gains on product line asset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sales and business divestiture</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591,655</w:t>
            </w: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709,727</w:t>
            </w: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(118,072)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17"/>
        </w:trPr>
        <w:tc>
          <w:tcPr>
            <w:tcW w:w="2520" w:type="dxa"/>
            <w:vAlign w:val="bottom"/>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367,676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180,567</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187,109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1,768 %</w:t>
            </w:r>
          </w:p>
        </w:tc>
        <w:tc>
          <w:tcPr>
            <w:tcW w:w="0" w:type="dxa"/>
            <w:vAlign w:val="bottom"/>
          </w:tcPr>
          <w:p>
            <w:pPr>
              <w:spacing w:after="0"/>
              <w:rPr>
                <w:sz w:val="1"/>
                <w:szCs w:val="1"/>
                <w:color w:val="auto"/>
              </w:rPr>
            </w:pPr>
          </w:p>
        </w:tc>
      </w:tr>
      <w:tr>
        <w:trPr>
          <w:trHeight w:val="218"/>
        </w:trPr>
        <w:tc>
          <w:tcPr>
            <w:tcW w:w="2520" w:type="dxa"/>
            <w:vAlign w:val="bottom"/>
          </w:tcPr>
          <w:p>
            <w:pPr>
              <w:ind w:left="20"/>
              <w:spacing w:after="0" w:line="204"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306,364</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177,285</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129,079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2" w:lineRule="exact"/>
        <w:rPr>
          <w:sz w:val="20"/>
          <w:szCs w:val="20"/>
          <w:color w:val="auto"/>
        </w:rPr>
      </w:pPr>
    </w:p>
    <w:p>
      <w:pPr>
        <w:jc w:val="both"/>
        <w:ind w:firstLine="436"/>
        <w:spacing w:after="0" w:line="27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18" w:lineRule="exact"/>
        <w:rPr>
          <w:sz w:val="20"/>
          <w:szCs w:val="20"/>
          <w:color w:val="auto"/>
        </w:rPr>
      </w:pPr>
    </w:p>
    <w:p>
      <w:pPr>
        <w:jc w:val="both"/>
        <w:ind w:firstLine="436"/>
        <w:spacing w:after="0" w:line="248" w:lineRule="auto"/>
        <w:rPr>
          <w:sz w:val="20"/>
          <w:szCs w:val="20"/>
          <w:color w:val="auto"/>
        </w:rPr>
      </w:pPr>
      <w:r>
        <w:rPr>
          <w:rFonts w:ascii="Arial" w:cs="Arial" w:eastAsia="Arial" w:hAnsi="Arial"/>
          <w:sz w:val="18"/>
          <w:szCs w:val="18"/>
          <w:color w:val="auto"/>
        </w:rPr>
        <w:t>The quarter-over-prior year quarter decrease in cost of revenues of $6.3 million was primarily attributable to a $4.2 million decrease in personnel and labor costs and a $3.2 million decrease in allocated facilities and infrastructure costs, both largely driven by our strategic cost initiative implemented in September 2020, in which we reduced our workforce, consolidated office space and abandoned certain property and equipment. The increase was partially offset by a $1.4 million increase in direct materials cost as a result of increased third-party data costs related to increased Scores revenue. Cost of revenues as a percentage of revenues decreased to 24% during the quarter ended June 30, 2021 from 29% during the quarter ended June 30, 2020, primarily due to increased sales of our higher-margin Scores products.</w:t>
      </w:r>
    </w:p>
    <w:p>
      <w:pPr>
        <w:spacing w:after="0" w:line="143"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7"/>
          <w:szCs w:val="17"/>
          <w:color w:val="auto"/>
        </w:rPr>
        <w:t>The year-to-date period over period decrease in cost of revenues of $7.4 million was primarily attributable to $6.4 million decrease in allocated facilities and infrastructure costs and a $3.7 million decrease in travel costs, partially offset by a $4.3 million increase in direct materials cost. The decrease in allocated facilities and infrastructure costs was primarily driven by our strategic cost initiative implemented in September 2020, in which we consolidated office space and abandoned certain property and equipment. The decrease in travel costs was primarily attributable to a decrease in travel activity due to COVID-19. The increase in direct materials cost was primarily driven by third-party data costs related to increased Scores revenue. Cost of revenues as a percentage of revenues decreased to 26% during the nine months ended June 30, 2021 from 29% during the nine months ended June 30, 2020, primarily due to increased sales of our higher-margin Scores products.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0" w:lineRule="exact"/>
        <w:rPr>
          <w:sz w:val="20"/>
          <w:szCs w:val="20"/>
          <w:color w:val="auto"/>
        </w:rPr>
      </w:pPr>
    </w:p>
    <w:p>
      <w:pPr>
        <w:jc w:val="both"/>
        <w:ind w:firstLine="436"/>
        <w:spacing w:after="0" w:line="364" w:lineRule="auto"/>
        <w:rPr>
          <w:sz w:val="20"/>
          <w:szCs w:val="20"/>
          <w:color w:val="auto"/>
        </w:rPr>
      </w:pPr>
      <w:r>
        <w:rPr>
          <w:rFonts w:ascii="Arial" w:cs="Arial" w:eastAsia="Arial" w:hAnsi="Arial"/>
          <w:sz w:val="15"/>
          <w:szCs w:val="15"/>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 quarter-over-prior year quarter increase in research and development expenses of $4.4 million was primarily attributable to an increase in labor and personnel costs as a result of increased headcount. Research and development expenses as a percentage of revenues increased to 14% during the quarter ended June 30, 2021 from 13% during the quarter ended June 30, 2020.</w:t>
      </w:r>
    </w:p>
    <w:p>
      <w:pPr>
        <w:spacing w:after="0" w:line="135"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 year-to-date period over period increase in research and development expenses of $10.3 million was primarily attributable to an increase in labor and personnel costs as a result of increased headcount. Research and development expenses as a percentage of revenues was 13% during each of the nine months ended June 30, 2021 and June 30, 2020.</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0" w:lineRule="exact"/>
        <w:rPr>
          <w:sz w:val="20"/>
          <w:szCs w:val="20"/>
          <w:color w:val="auto"/>
        </w:rPr>
      </w:pPr>
    </w:p>
    <w:p>
      <w:pPr>
        <w:jc w:val="both"/>
        <w:ind w:firstLine="436"/>
        <w:spacing w:after="0" w:line="364" w:lineRule="auto"/>
        <w:rPr>
          <w:sz w:val="20"/>
          <w:szCs w:val="20"/>
          <w:color w:val="auto"/>
        </w:rPr>
      </w:pPr>
      <w:r>
        <w:rPr>
          <w:rFonts w:ascii="Arial" w:cs="Arial" w:eastAsia="Arial" w:hAnsi="Arial"/>
          <w:sz w:val="15"/>
          <w:szCs w:val="15"/>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58"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The quarter-over-prior year quarter increase in selling, general and administrative expenses of $7.9 million was primarily attributable to an increase in personnel and labor costs, primarily driven by an increase in share-based compensation and incentive costs, partially offset by a decrease in non-capitalizable commission cost. Selling, general and administrative expenses as a percentage of revenues was 32% during each of the quarters ended June 30, 2021 and June 30, 2020.</w:t>
      </w:r>
    </w:p>
    <w:p>
      <w:pPr>
        <w:spacing w:after="0" w:line="138" w:lineRule="exact"/>
        <w:rPr>
          <w:sz w:val="20"/>
          <w:szCs w:val="20"/>
          <w:color w:val="auto"/>
        </w:rPr>
      </w:pPr>
    </w:p>
    <w:p>
      <w:pPr>
        <w:jc w:val="both"/>
        <w:ind w:firstLine="436"/>
        <w:spacing w:after="0" w:line="248" w:lineRule="auto"/>
        <w:rPr>
          <w:sz w:val="20"/>
          <w:szCs w:val="20"/>
          <w:color w:val="auto"/>
        </w:rPr>
      </w:pPr>
      <w:r>
        <w:rPr>
          <w:rFonts w:ascii="Arial" w:cs="Arial" w:eastAsia="Arial" w:hAnsi="Arial"/>
          <w:sz w:val="18"/>
          <w:szCs w:val="18"/>
          <w:color w:val="auto"/>
        </w:rPr>
        <w:t>The year-to-date period over period decrease in selling, general and administrative expenses of $16.4 million was primarily attributable to a $7.6 million decrease in travel costs, a $5.5 million decrease in allocated facilities and infrastructure costs, as well as a $4.1 million decrease in marketing costs. The decrease in travel costs was due to a decrease in travel activity due to COVID-19. The decrease in allocated facilities and infrastructure costs was largely driven by our strategic cost initiative implemented in September 2020, in which we consolidated office space and abandoned certain property and equipment. The decrease in marketing costs was primarily driven by a company-wide marketing event held during the first quarter of our fiscal 2020. Selling, general and administrative expenses as a percentage of revenues decreased to 31% during the nine months ended June 30, 2021 from 34% during the nine months ended June 30, 2020.</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0"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Amortization expense was $0.8 million during the quarter ended June 30, 2021 compared to $1.0 million during the quarter ended June 30, 2020.</w:t>
      </w:r>
    </w:p>
    <w:p>
      <w:pPr>
        <w:spacing w:after="0" w:line="250" w:lineRule="exact"/>
        <w:rPr>
          <w:sz w:val="20"/>
          <w:szCs w:val="20"/>
          <w:color w:val="auto"/>
        </w:rPr>
      </w:pPr>
    </w:p>
    <w:p>
      <w:pPr>
        <w:ind w:firstLine="436"/>
        <w:spacing w:after="0" w:line="364" w:lineRule="auto"/>
        <w:rPr>
          <w:sz w:val="20"/>
          <w:szCs w:val="20"/>
          <w:color w:val="auto"/>
        </w:rPr>
      </w:pPr>
      <w:r>
        <w:rPr>
          <w:rFonts w:ascii="Arial" w:cs="Arial" w:eastAsia="Arial" w:hAnsi="Arial"/>
          <w:sz w:val="15"/>
          <w:szCs w:val="15"/>
          <w:color w:val="auto"/>
        </w:rPr>
        <w:t>Amortization expense was $2.7 million during the nine months ended June 30, 2021 compared to $4.0 million during the nine months ended June 30, 2020. The decrease was primarily attributable to certain assets associated with our Tonbeller acquisition becoming fully amortized in January 2020.</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Restructuring and Impairment Charges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restructuring expenses during the quarter and nine months ended June 30, 2021.</w:t>
      </w:r>
    </w:p>
    <w:p>
      <w:pPr>
        <w:spacing w:after="0" w:line="163"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There were no restructuring expenses during the quarter ended June 30, 2020. During the nine months ended June 30, 2020, we incurred employee separation costs of $3.1 million due to the elimination of 69 positions throughout the Company. Cash payments for all the employee separation costs were paid during fiscal 2020.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Product Line Asset Sales and Business Divestiture</w:t>
      </w:r>
    </w:p>
    <w:p>
      <w:pPr>
        <w:spacing w:after="0" w:line="110"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The $92.8 million gain on product line asset sales and business divestiture during the quarter ended June 30, 2021 was attributable to the sale of the C&amp;R business in June 2021. The $100.1 million gain during the nine months ended June 30, 2021 also included a $7.3 million gain attributable to the sale of all assets related to our cyber risk score operations in October 2020, and the sale of certain assets related to our Applications and Decision Management Software operations to an affiliated joint venture in China in December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0" w:lineRule="exact"/>
        <w:rPr>
          <w:sz w:val="20"/>
          <w:szCs w:val="20"/>
          <w:color w:val="auto"/>
        </w:rPr>
      </w:pPr>
    </w:p>
    <w:p>
      <w:pPr>
        <w:jc w:val="both"/>
        <w:ind w:firstLine="436"/>
        <w:spacing w:after="0" w:line="236" w:lineRule="auto"/>
        <w:rPr>
          <w:sz w:val="20"/>
          <w:szCs w:val="20"/>
          <w:color w:val="auto"/>
        </w:rPr>
      </w:pPr>
      <w:r>
        <w:rPr>
          <w:rFonts w:ascii="Arial" w:cs="Arial" w:eastAsia="Arial" w:hAnsi="Arial"/>
          <w:sz w:val="18"/>
          <w:szCs w:val="18"/>
          <w:color w:val="auto"/>
        </w:rPr>
        <w:t>Interest expense includes interest on the senior notes issued in December 2019, May 2018, and July 2010 (which July 2010 senior notes were paid in full at maturity in July 2020), as well as interest and credit facility fees on the revolving line of credit. Our condensed consolidated statements of income and comprehensive income include interest expense netted with interest income, which is derived primarily from the investment of funds in excess of our immediate operating requirements.</w:t>
      </w:r>
    </w:p>
    <w:p>
      <w:pPr>
        <w:spacing w:after="0" w:line="137"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quarter-over-prior year quarter decrease in interest expense of $1.2 million was primarily attributable to a lower average outstanding debt balance during the quarter ended June 30, 2021.</w:t>
      </w:r>
    </w:p>
    <w:p>
      <w:pPr>
        <w:spacing w:after="0" w:line="127"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year-to-date period over period decrease in interest expense of $2.6 million was primarily attributable to a lower average outstanding debt balance during the nine months ended June 30, 2021.</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0"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Other income,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13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quarter-over-prior year quarter decrease in other income, net of $1.0 million was primarily attributable to a decrease in net unrealized gains on our supplemental retirement and savings plan.</w:t>
      </w:r>
    </w:p>
    <w:p>
      <w:pPr>
        <w:spacing w:after="0" w:line="127"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year-to-date period over period increase in other income, net of $4.6 million was primarily attributable to an increase in net unrealized gains on our supplemental retirement and savings plan during the nine months ended June 30, 2021.</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0"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The effective income tax rates were 19.5% and 15.9% during the quarters ended June 30, 2021 and 2020, respectively, and 16.7% and 1.8% during the nine months ended June 30, 2021 and 2020,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24"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 effective tax rates for the nine months ended June 30, 2021 and 2020 were both impacted favorably by the recording of excess tax benefits relating to stock awards. In addition, the effective tax rate for the nine months ended June 30, 2021 was increased by the tax impact of the gain on the sale of C&amp;R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6" w:lineRule="exact"/>
        <w:rPr>
          <w:sz w:val="20"/>
          <w:szCs w:val="20"/>
          <w:color w:val="auto"/>
        </w:rPr>
      </w:pPr>
    </w:p>
    <w:p>
      <w:pPr>
        <w:ind w:firstLine="396"/>
        <w:spacing w:after="0" w:line="263" w:lineRule="auto"/>
        <w:rPr>
          <w:sz w:val="20"/>
          <w:szCs w:val="20"/>
          <w:color w:val="auto"/>
        </w:rPr>
      </w:pPr>
      <w:r>
        <w:rPr>
          <w:rFonts w:ascii="Arial" w:cs="Arial" w:eastAsia="Arial" w:hAnsi="Arial"/>
          <w:sz w:val="18"/>
          <w:szCs w:val="18"/>
          <w:color w:val="auto"/>
        </w:rPr>
        <w:t>The following tables set forth certain summary information on a segment basis related to our operating income (loss) for the quarters and nine-month periods ended June 30, 2021 and 2020:</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2"/>
              </w:rPr>
              <w:t>Quarter Ended June 30,</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Period-to-Period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Segment</w:t>
            </w: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504"/>
              <w:spacing w:after="0" w:line="157"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296"/>
              <w:spacing w:after="0" w:line="15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20"/>
              <w:spacing w:after="0" w:line="157" w:lineRule="exact"/>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left="364"/>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35,429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Scores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ind w:right="4"/>
              <w:spacing w:after="0"/>
              <w:rPr>
                <w:sz w:val="20"/>
                <w:szCs w:val="20"/>
                <w:color w:val="auto"/>
              </w:rPr>
            </w:pPr>
            <w:r>
              <w:rPr>
                <w:rFonts w:ascii="Arial" w:cs="Arial" w:eastAsia="Arial" w:hAnsi="Arial"/>
                <w:sz w:val="18"/>
                <w:szCs w:val="18"/>
                <w:color w:val="auto"/>
              </w:rPr>
              <w:t>146,784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36,567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expenses</w:t>
            </w:r>
          </w:p>
        </w:tc>
        <w:tc>
          <w:tcPr>
            <w:tcW w:w="5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(33,820)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(31,315)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(2,505)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320"/>
              <w:spacing w:after="0" w:line="204" w:lineRule="exact"/>
              <w:rPr>
                <w:sz w:val="20"/>
                <w:szCs w:val="20"/>
                <w:color w:val="auto"/>
              </w:rPr>
            </w:pPr>
            <w:r>
              <w:rPr>
                <w:rFonts w:ascii="Arial" w:cs="Arial" w:eastAsia="Arial" w:hAnsi="Arial"/>
                <w:sz w:val="18"/>
                <w:szCs w:val="18"/>
                <w:color w:val="auto"/>
                <w:w w:val="87"/>
              </w:rPr>
              <w:t>Total segment operating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133,150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(30,761)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(8,497)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Unallocated amortization expense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9"/>
          </w:tcPr>
          <w:p>
            <w:pPr>
              <w:spacing w:after="0"/>
              <w:rPr>
                <w:sz w:val="20"/>
                <w:szCs w:val="20"/>
                <w:color w:val="auto"/>
              </w:rPr>
            </w:pPr>
            <w:r>
              <w:rPr>
                <w:rFonts w:ascii="Arial" w:cs="Arial" w:eastAsia="Arial" w:hAnsi="Arial"/>
                <w:sz w:val="18"/>
                <w:szCs w:val="18"/>
                <w:color w:val="auto"/>
                <w:w w:val="86"/>
              </w:rPr>
              <w:t>Unallocated gains on product line asset sales and business divestiture</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8"/>
                <w:szCs w:val="18"/>
                <w:color w:val="auto"/>
              </w:rPr>
              <w:t>92,805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92,805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194,384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82,871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111,513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1"/>
              </w:rPr>
              <w:t>Nine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Period-to-Period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Period-to-Period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Segment</w:t>
            </w: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504"/>
              <w:spacing w:after="0" w:line="157"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296"/>
              <w:spacing w:after="0" w:line="157"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center"/>
              <w:ind w:right="20"/>
              <w:spacing w:after="0" w:line="157" w:lineRule="exact"/>
              <w:rPr>
                <w:sz w:val="20"/>
                <w:szCs w:val="20"/>
                <w:color w:val="auto"/>
              </w:rPr>
            </w:pPr>
            <w:r>
              <w:rPr>
                <w:rFonts w:ascii="Arial" w:cs="Arial" w:eastAsia="Arial" w:hAnsi="Arial"/>
                <w:sz w:val="14"/>
                <w:szCs w:val="14"/>
                <w:b w:val="1"/>
                <w:bCs w:val="1"/>
                <w:color w:val="auto"/>
                <w:w w:val="88"/>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left="364"/>
              <w:spacing w:after="0"/>
              <w:rPr>
                <w:sz w:val="20"/>
                <w:szCs w:val="20"/>
                <w:color w:val="auto"/>
              </w:rPr>
            </w:pPr>
            <w:r>
              <w:rPr>
                <w:rFonts w:ascii="Arial" w:cs="Arial" w:eastAsia="Arial" w:hAnsi="Arial"/>
                <w:sz w:val="14"/>
                <w:szCs w:val="14"/>
                <w:b w:val="1"/>
                <w:bCs w:val="1"/>
                <w:color w:val="auto"/>
                <w:w w:val="89"/>
              </w:rPr>
              <w:t>(In thousands)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98,303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95,390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Scores</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ind w:right="4"/>
              <w:spacing w:after="0"/>
              <w:rPr>
                <w:sz w:val="20"/>
                <w:szCs w:val="20"/>
                <w:color w:val="auto"/>
              </w:rPr>
            </w:pPr>
            <w:r>
              <w:rPr>
                <w:rFonts w:ascii="Arial" w:cs="Arial" w:eastAsia="Arial" w:hAnsi="Arial"/>
                <w:sz w:val="18"/>
                <w:szCs w:val="18"/>
                <w:color w:val="auto"/>
              </w:rPr>
              <w:t>416,351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321,131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95,220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expenses</w:t>
            </w:r>
          </w:p>
        </w:tc>
        <w:tc>
          <w:tcPr>
            <w:tcW w:w="5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(97,465)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(99,310)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1,845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320"/>
              <w:spacing w:after="0" w:line="204" w:lineRule="exact"/>
              <w:rPr>
                <w:sz w:val="20"/>
                <w:szCs w:val="20"/>
                <w:color w:val="auto"/>
              </w:rPr>
            </w:pPr>
            <w:r>
              <w:rPr>
                <w:rFonts w:ascii="Arial" w:cs="Arial" w:eastAsia="Arial" w:hAnsi="Arial"/>
                <w:sz w:val="18"/>
                <w:szCs w:val="18"/>
                <w:color w:val="auto"/>
                <w:w w:val="87"/>
              </w:rPr>
              <w:t>Total segment operating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376,956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285,826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91,130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(84,099)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(68,197)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(15,902)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Unallocated amortization expense</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w w:val="93"/>
              </w:rPr>
              <w:t>Unallocated restructuring and impairment charges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8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86"/>
              </w:rPr>
              <w:t>Unallocated gains on product line asset sales and business divestiture</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100,139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100,139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gridSpan w:val="2"/>
          </w:tcPr>
          <w:p>
            <w:pPr>
              <w:spacing w:after="0" w:line="204" w:lineRule="exact"/>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
              <w:spacing w:after="0"/>
              <w:rPr>
                <w:sz w:val="20"/>
                <w:szCs w:val="20"/>
                <w:color w:val="auto"/>
              </w:rPr>
            </w:pPr>
            <w:r>
              <w:rPr>
                <w:rFonts w:ascii="Arial" w:cs="Arial" w:eastAsia="Arial" w:hAnsi="Arial"/>
                <w:sz w:val="18"/>
                <w:szCs w:val="18"/>
                <w:color w:val="auto"/>
              </w:rPr>
              <w:t>390,304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210,479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179,825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Applications</w:t>
            </w: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8"/>
              </w:rPr>
              <w:t>Percentage of</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8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left="170"/>
              <w:spacing w:after="0"/>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Borders>
              <w:top w:val="single" w:sz="8" w:color="auto"/>
            </w:tcBorders>
            <w:gridSpan w:val="2"/>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ind w:right="244"/>
              <w:spacing w:after="0"/>
              <w:rPr>
                <w:sz w:val="20"/>
                <w:szCs w:val="20"/>
                <w:color w:val="auto"/>
              </w:rPr>
            </w:pPr>
            <w:r>
              <w:rPr>
                <w:rFonts w:ascii="Arial" w:cs="Arial" w:eastAsia="Arial" w:hAnsi="Arial"/>
                <w:sz w:val="14"/>
                <w:szCs w:val="14"/>
                <w:b w:val="1"/>
                <w:bCs w:val="1"/>
                <w:color w:val="auto"/>
                <w:w w:val="89"/>
              </w:rPr>
              <w:t>2021</w:t>
            </w:r>
          </w:p>
        </w:tc>
        <w:tc>
          <w:tcPr>
            <w:tcW w:w="1000" w:type="dxa"/>
            <w:vAlign w:val="bottom"/>
            <w:tcBorders>
              <w:top w:val="single" w:sz="8" w:color="auto"/>
            </w:tcBorders>
            <w:gridSpan w:val="3"/>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5"/>
          </w:tcPr>
          <w:p>
            <w:pPr>
              <w:jc w:val="center"/>
              <w:ind w:left="316"/>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5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133,213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398,088</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1"/>
              </w:rPr>
              <w:t>Segment operating expense</w:t>
            </w: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(97,784)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(111,061)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(299,785)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(338,527)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w w:val="95"/>
              </w:rPr>
              <w:t>Segment operating income</w:t>
            </w:r>
          </w:p>
        </w:tc>
        <w:tc>
          <w:tcPr>
            <w:tcW w:w="5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98,303</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3"/>
          </w:tcPr>
          <w:p>
            <w:pPr>
              <w:jc w:val="right"/>
              <w:ind w:right="724"/>
              <w:spacing w:after="0"/>
              <w:rPr>
                <w:sz w:val="20"/>
                <w:szCs w:val="20"/>
                <w:color w:val="auto"/>
              </w:rPr>
            </w:pPr>
            <w:r>
              <w:rPr>
                <w:rFonts w:ascii="Arial" w:cs="Arial" w:eastAsia="Arial" w:hAnsi="Arial"/>
                <w:sz w:val="18"/>
                <w:szCs w:val="18"/>
                <w:color w:val="auto"/>
                <w:w w:val="89"/>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Scores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84"/>
        </w:trPr>
        <w:tc>
          <w:tcPr>
            <w:tcW w:w="2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r>
      <w:tr>
        <w:trPr>
          <w:trHeight w:val="178"/>
        </w:trPr>
        <w:tc>
          <w:tcPr>
            <w:tcW w:w="2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178"/>
        </w:trPr>
        <w:tc>
          <w:tcPr>
            <w:tcW w:w="2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89"/>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131,550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Segment operating expense</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(25,418)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5"/>
              </w:rPr>
              <w:t>(16)%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1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w w:val="95"/>
              </w:rPr>
              <w:t>Segment operating income</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2"/>
              </w:rPr>
              <w:t>110,217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416,351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321,131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606"/>
        </w:trPr>
        <w:tc>
          <w:tcPr>
            <w:tcW w:w="254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w w:val="85"/>
              </w:rPr>
              <w:t>Decision Management Software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7"/>
        </w:trPr>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84"/>
        </w:trPr>
        <w:tc>
          <w:tcPr>
            <w:tcW w:w="2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r>
      <w:tr>
        <w:trPr>
          <w:trHeight w:val="178"/>
        </w:trPr>
        <w:tc>
          <w:tcPr>
            <w:tcW w:w="2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178"/>
        </w:trPr>
        <w:tc>
          <w:tcPr>
            <w:tcW w:w="2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89"/>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100 %</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Segment operating expense</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(43,839)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(141,838)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38"/>
        </w:trPr>
        <w:tc>
          <w:tcPr>
            <w:tcW w:w="21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Segment operating loss</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36"/>
        <w:spacing w:after="0" w:line="328" w:lineRule="auto"/>
        <w:rPr>
          <w:sz w:val="20"/>
          <w:szCs w:val="20"/>
          <w:color w:val="auto"/>
        </w:rPr>
      </w:pPr>
      <w:r>
        <w:rPr>
          <w:rFonts w:ascii="Arial" w:cs="Arial" w:eastAsia="Arial" w:hAnsi="Arial"/>
          <w:sz w:val="15"/>
          <w:szCs w:val="15"/>
          <w:color w:val="auto"/>
        </w:rPr>
        <w:t>The quarter-over-prior year quarter $111.5 million increase in operating income was primarily attributable to an $92.8 million gain on product line asset sales and business divestiture during the quarter ended June 30, 2021, a $24.5 million increase in segment revenues and a $5.0 million decrease in segment operating expenses, partially offset by an $8.5 million increase in share-based compensation cost and a $2.5 million increase in corporate expenses.</w:t>
      </w:r>
    </w:p>
    <w:p>
      <w:pPr>
        <w:spacing w:after="0" w:line="138" w:lineRule="exact"/>
        <w:rPr>
          <w:sz w:val="20"/>
          <w:szCs w:val="20"/>
          <w:color w:val="auto"/>
        </w:rPr>
      </w:pPr>
    </w:p>
    <w:p>
      <w:pPr>
        <w:jc w:val="both"/>
        <w:ind w:firstLine="436"/>
        <w:spacing w:after="0" w:line="276" w:lineRule="auto"/>
        <w:rPr>
          <w:sz w:val="20"/>
          <w:szCs w:val="20"/>
          <w:color w:val="auto"/>
        </w:rPr>
      </w:pPr>
      <w:r>
        <w:rPr>
          <w:rFonts w:ascii="Arial" w:cs="Arial" w:eastAsia="Arial" w:hAnsi="Arial"/>
          <w:sz w:val="17"/>
          <w:szCs w:val="17"/>
          <w:color w:val="auto"/>
        </w:rPr>
        <w:t>At the segment level, the quarter-over-prior year quarter $27.0 million increase in segment operating income was the result of a $36.6 million increase in our Scores segment operating income and a $5.0 million increase in our Applications segment operating income, partially offset by a $12.1 million increase in our Decision Management Software segment operating loss and a $2.5 million increase in corporate expenses.</w:t>
      </w:r>
    </w:p>
    <w:p>
      <w:pPr>
        <w:spacing w:after="0" w:line="171" w:lineRule="exact"/>
        <w:rPr>
          <w:sz w:val="20"/>
          <w:szCs w:val="20"/>
          <w:color w:val="auto"/>
        </w:rPr>
      </w:pPr>
    </w:p>
    <w:p>
      <w:pPr>
        <w:jc w:val="both"/>
        <w:ind w:firstLine="436"/>
        <w:spacing w:after="0" w:line="317" w:lineRule="auto"/>
        <w:rPr>
          <w:sz w:val="20"/>
          <w:szCs w:val="20"/>
          <w:color w:val="auto"/>
        </w:rPr>
      </w:pPr>
      <w:r>
        <w:rPr>
          <w:rFonts w:ascii="Arial" w:cs="Arial" w:eastAsia="Arial" w:hAnsi="Arial"/>
          <w:sz w:val="15"/>
          <w:szCs w:val="15"/>
          <w:color w:val="auto"/>
        </w:rPr>
        <w:t>The quarter-over-prior year quarter $5.0 million increase in Applications segment operating income was due to a $13.3 million decrease in segment operating expenses, partially offset by a $8.3 million decrease in segment revenue. Segment operating income as a percentage of segment revenue for Applications increased to 27% from 21%, primarily attributable to a decrease in travel activity due to COVID-19, as well as our strategic cost initiative implemented in September 2020, in which we reduced our workforce, consolidated office space and abandoned certain property and equipment.</w:t>
      </w:r>
    </w:p>
    <w:p>
      <w:pPr>
        <w:spacing w:after="0" w:line="145"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 quarter-over-prior year quarter $36.6 million increase in Scores segment operating income was due to a $40.7 million increase in segment revenue, partially offset by a $4.1 million increase in segment operating expenses. Segment operating margin for Scores during the quarter ended June 30, 2021 was 85%, consistent with the quarter ended June 30, 2020.</w:t>
      </w:r>
    </w:p>
    <w:p>
      <w:pPr>
        <w:spacing w:after="0" w:line="188" w:lineRule="exact"/>
        <w:rPr>
          <w:sz w:val="20"/>
          <w:szCs w:val="20"/>
          <w:color w:val="auto"/>
        </w:rPr>
      </w:pPr>
    </w:p>
    <w:p>
      <w:pPr>
        <w:jc w:val="both"/>
        <w:ind w:firstLine="436"/>
        <w:spacing w:after="0" w:line="276" w:lineRule="auto"/>
        <w:rPr>
          <w:sz w:val="20"/>
          <w:szCs w:val="20"/>
          <w:color w:val="auto"/>
        </w:rPr>
      </w:pPr>
      <w:r>
        <w:rPr>
          <w:rFonts w:ascii="Arial" w:cs="Arial" w:eastAsia="Arial" w:hAnsi="Arial"/>
          <w:sz w:val="17"/>
          <w:szCs w:val="17"/>
          <w:color w:val="auto"/>
        </w:rPr>
        <w:t>The quarter-over-prior year quarter $12.1 million increase in Decision Management Software segment operating loss was due to a $7.9 million decrease in segment revenue and a $4.2 million increase in segment operating expenses. Segment operating margin for Decision Management Software decreased to negative 47% from negative 8%, mainly due to a decrease in sales of our higher-margin software products.</w:t>
      </w:r>
    </w:p>
    <w:p>
      <w:pPr>
        <w:spacing w:after="0" w:line="118"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The year-to-date period over period increase of $179.8 million in operating income was primarily attributable to a $100.1 million gain on product line asset sales and business divestiture during the nine months ended June 30, 2021, a $61.8 million increase in segment revenues, a $27.5 million decrease in segment operating expenses and a $3.1 million decrease in restructuring and impairment charges, partially offset by a $15.9 million increase in share-based compensation cost.</w:t>
      </w:r>
    </w:p>
    <w:p>
      <w:pPr>
        <w:spacing w:after="0" w:line="138" w:lineRule="exact"/>
        <w:rPr>
          <w:sz w:val="20"/>
          <w:szCs w:val="20"/>
          <w:color w:val="auto"/>
        </w:rPr>
      </w:pPr>
    </w:p>
    <w:p>
      <w:pPr>
        <w:jc w:val="both"/>
        <w:ind w:firstLine="436"/>
        <w:spacing w:after="0" w:line="276" w:lineRule="auto"/>
        <w:rPr>
          <w:sz w:val="20"/>
          <w:szCs w:val="20"/>
          <w:color w:val="auto"/>
        </w:rPr>
      </w:pPr>
      <w:r>
        <w:rPr>
          <w:rFonts w:ascii="Arial" w:cs="Arial" w:eastAsia="Arial" w:hAnsi="Arial"/>
          <w:sz w:val="17"/>
          <w:szCs w:val="17"/>
          <w:color w:val="auto"/>
        </w:rPr>
        <w:t>At the segment level, the year-to-date period over period increase of $91.1 million in segment operating income was the result of a $95.2 million increase in our Scores segment operating income, a $2.9 million increase in our Applications segment operating income and a $1.8 million decrease in corporate expenses, partially offset by an $8.8 million increase in our Decision Management Software segment operating loss.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36"/>
        <w:spacing w:after="0" w:line="317" w:lineRule="auto"/>
        <w:rPr>
          <w:sz w:val="20"/>
          <w:szCs w:val="20"/>
          <w:color w:val="auto"/>
        </w:rPr>
      </w:pPr>
      <w:r>
        <w:rPr>
          <w:rFonts w:ascii="Arial" w:cs="Arial" w:eastAsia="Arial" w:hAnsi="Arial"/>
          <w:sz w:val="15"/>
          <w:szCs w:val="15"/>
          <w:color w:val="auto"/>
        </w:rPr>
        <w:t>The year-to-date period over period $2.9 million increase in Applications segment operating income was due to a $38.7 million decrease in segment operating expenses, partially offset by a $35.8 million decrease in segment revenue. Segment operating income as a percentage of segment revenue for Applications increased to 25% from 22%, primarily attributable to a decrease in travel activity due to COVID-19, as well as our strategic cost initiative implemented in September 2020 in which we reduced our workforce, consolidated office space and abandoned certain property and equipment.</w:t>
      </w:r>
    </w:p>
    <w:p>
      <w:pPr>
        <w:spacing w:after="0" w:line="92"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The year-to-date period over period $95.2 million increase in Scores segment operating income was attributable to a $109.7 million increase in segment revenue, partially offset by a $14.5 million increase in segment operating expenses. Segment operating margin for Scores during the nine months ended June 30, 2021 was 86%, consistent with the nine months ended June 30, 2020.</w:t>
      </w:r>
    </w:p>
    <w:p>
      <w:pPr>
        <w:spacing w:after="0" w:line="135" w:lineRule="exact"/>
        <w:rPr>
          <w:sz w:val="20"/>
          <w:szCs w:val="20"/>
          <w:color w:val="auto"/>
        </w:rPr>
      </w:pPr>
    </w:p>
    <w:p>
      <w:pPr>
        <w:jc w:val="both"/>
        <w:ind w:firstLine="436"/>
        <w:spacing w:after="0" w:line="328" w:lineRule="auto"/>
        <w:rPr>
          <w:sz w:val="20"/>
          <w:szCs w:val="20"/>
          <w:color w:val="auto"/>
        </w:rPr>
      </w:pPr>
      <w:r>
        <w:rPr>
          <w:rFonts w:ascii="Arial" w:cs="Arial" w:eastAsia="Arial" w:hAnsi="Arial"/>
          <w:sz w:val="15"/>
          <w:szCs w:val="15"/>
          <w:color w:val="auto"/>
        </w:rPr>
        <w:t>The year-to-date period over period $8.8 million increase in Decision Management Software segment operating loss was attributable to a $12.1 million decrease in segment revenue, partially offset by a $3.3 million decrease in segment operating expenses. Segment operating margin for Decision Management Software decreased to negative 41% from negative 28%, mainly due to a decrease in sales of our higher-margin software products.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16" w:lineRule="exact"/>
        <w:rPr>
          <w:sz w:val="20"/>
          <w:szCs w:val="20"/>
          <w:color w:val="auto"/>
        </w:rPr>
      </w:pPr>
    </w:p>
    <w:p>
      <w:pPr>
        <w:jc w:val="both"/>
        <w:ind w:firstLine="436"/>
        <w:spacing w:after="0" w:line="247" w:lineRule="auto"/>
        <w:rPr>
          <w:sz w:val="20"/>
          <w:szCs w:val="20"/>
          <w:color w:val="auto"/>
        </w:rPr>
      </w:pPr>
      <w:r>
        <w:rPr>
          <w:rFonts w:ascii="Arial" w:cs="Arial" w:eastAsia="Arial" w:hAnsi="Arial"/>
          <w:sz w:val="18"/>
          <w:szCs w:val="18"/>
          <w:color w:val="auto"/>
        </w:rPr>
        <w:t>As of June 30, 2021, we had $237.6 million in cash and cash equivalents, which included $186.4 million held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$400 million revolving line of credit and anticipated cash flows from operating activities, will be sufficient to fund our working and other capital requirements. Under our current financing arrangements, we have no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95" w:lineRule="exact"/>
        <w:rPr>
          <w:sz w:val="20"/>
          <w:szCs w:val="20"/>
          <w:color w:val="auto"/>
        </w:rPr>
      </w:pPr>
    </w:p>
    <w:p>
      <w:pPr>
        <w:jc w:val="both"/>
        <w:ind w:firstLine="436"/>
        <w:spacing w:after="0" w:line="311" w:lineRule="auto"/>
        <w:rPr>
          <w:sz w:val="20"/>
          <w:szCs w:val="20"/>
          <w:color w:val="auto"/>
        </w:rPr>
      </w:pPr>
      <w:r>
        <w:rPr>
          <w:rFonts w:ascii="Arial" w:cs="Arial" w:eastAsia="Arial" w:hAnsi="Arial"/>
          <w:sz w:val="15"/>
          <w:szCs w:val="15"/>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Nine Months Ended June 30,</w:t>
            </w:r>
          </w:p>
        </w:tc>
        <w:tc>
          <w:tcPr>
            <w:tcW w:w="260" w:type="dxa"/>
            <w:vAlign w:val="bottom"/>
          </w:tcPr>
          <w:p>
            <w:pPr>
              <w:spacing w:after="0"/>
              <w:rPr>
                <w:sz w:val="16"/>
                <w:szCs w:val="16"/>
                <w:color w:val="auto"/>
              </w:rPr>
            </w:pPr>
          </w:p>
        </w:tc>
        <w:tc>
          <w:tcPr>
            <w:tcW w:w="128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Period-to-Period</w:t>
            </w:r>
          </w:p>
        </w:tc>
      </w:t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r>
      <w:tr>
        <w:trPr>
          <w:trHeight w:val="178"/>
        </w:trPr>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332,062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228,730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103,332</w:t>
            </w:r>
          </w:p>
        </w:tc>
      </w:tr>
      <w:tr>
        <w:trPr>
          <w:trHeight w:val="225"/>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160,945</w:t>
            </w:r>
          </w:p>
        </w:tc>
      </w:tr>
      <w:tr>
        <w:trPr>
          <w:trHeight w:val="224"/>
        </w:trPr>
        <w:tc>
          <w:tcPr>
            <w:tcW w:w="67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(183,483)</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(211,089)</w:t>
            </w: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r>
      <w:tr>
        <w:trPr>
          <w:trHeight w:val="217"/>
        </w:trPr>
        <w:tc>
          <w:tcPr>
            <w:tcW w:w="6720" w:type="dxa"/>
            <w:vAlign w:val="bottom"/>
          </w:tcPr>
          <w:p>
            <w:pPr>
              <w:ind w:left="20"/>
              <w:spacing w:after="0" w:line="204" w:lineRule="exact"/>
              <w:rPr>
                <w:sz w:val="20"/>
                <w:szCs w:val="20"/>
                <w:color w:val="auto"/>
              </w:rPr>
            </w:pPr>
            <w:r>
              <w:rPr>
                <w:rFonts w:ascii="Arial" w:cs="Arial" w:eastAsia="Arial" w:hAnsi="Arial"/>
                <w:sz w:val="18"/>
                <w:szCs w:val="18"/>
                <w:color w:val="auto"/>
              </w:rPr>
              <w:t>Increase in cash and cash equivalents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0" w:lineRule="exact"/>
        <w:rPr>
          <w:sz w:val="20"/>
          <w:szCs w:val="20"/>
          <w:color w:val="auto"/>
        </w:rPr>
      </w:pPr>
    </w:p>
    <w:p>
      <w:pPr>
        <w:jc w:val="both"/>
        <w:ind w:firstLine="436"/>
        <w:spacing w:after="0" w:line="249"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increased to $332.1 million during the nine months ended June 30, 2021 from $228.7 million during the nine months ended June 30, 2020. The $103.3 million increase was attributable to a $129.1 million increase in net income and a $80.6 million increase that resulted from timing of receipts and payments in our ordinary course of business, partially offset by a $106.3 million decrease in non-cash items, including a $100.1 million gain on product line asset sales and business divestiture.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0" w:lineRule="exact"/>
        <w:rPr>
          <w:sz w:val="20"/>
          <w:szCs w:val="20"/>
          <w:color w:val="auto"/>
        </w:rPr>
      </w:pPr>
    </w:p>
    <w:p>
      <w:pPr>
        <w:jc w:val="both"/>
        <w:ind w:firstLine="436"/>
        <w:spacing w:after="0" w:line="328" w:lineRule="auto"/>
        <w:rPr>
          <w:sz w:val="20"/>
          <w:szCs w:val="20"/>
          <w:color w:val="auto"/>
        </w:rPr>
      </w:pPr>
      <w:r>
        <w:rPr>
          <w:rFonts w:ascii="Arial" w:cs="Arial" w:eastAsia="Arial" w:hAnsi="Arial"/>
          <w:sz w:val="15"/>
          <w:szCs w:val="15"/>
          <w:color w:val="auto"/>
        </w:rPr>
        <w:t>Net cash provided by investing activities was $137.6 million for the nine months ended June 30, 2021 as compared to net cash used of $23.3 million for the nine months ended June 30, 2020. The $160.9 million change was primarily attributable to $146.4 million in cash proceeds from the product line asset sales and business divestiture during the nine months ended June 30, 2021 and a $15.3 million decrease in purchases of property and equipment.</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0" w:lineRule="exact"/>
        <w:rPr>
          <w:sz w:val="20"/>
          <w:szCs w:val="20"/>
          <w:color w:val="auto"/>
        </w:rPr>
      </w:pPr>
    </w:p>
    <w:p>
      <w:pPr>
        <w:jc w:val="both"/>
        <w:ind w:firstLine="396"/>
        <w:spacing w:after="0" w:line="251" w:lineRule="auto"/>
        <w:rPr>
          <w:sz w:val="20"/>
          <w:szCs w:val="20"/>
          <w:color w:val="auto"/>
        </w:rPr>
      </w:pPr>
      <w:r>
        <w:rPr>
          <w:rFonts w:ascii="Arial" w:cs="Arial" w:eastAsia="Arial" w:hAnsi="Arial"/>
          <w:sz w:val="18"/>
          <w:szCs w:val="18"/>
          <w:color w:val="auto"/>
        </w:rPr>
        <w:t>Net cash used in financing activities increased to $394.6 million for the nine months ended June 30, 2021 from $183.5 million for the nine months ended June 30, 2020. The $211.1 million increase was primarily attributable to a $350.0 million decrease in proceeds from issuance of senior notes and a $331.2 million increase in repurchases of common stock, partially offset by a $236.0 million increase in proceeds from our revolving line of credit and a $227.0 million decrease in payments on our revolving line of credit.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16" w:lineRule="exact"/>
        <w:rPr>
          <w:sz w:val="20"/>
          <w:szCs w:val="20"/>
          <w:color w:val="auto"/>
        </w:rPr>
      </w:pPr>
    </w:p>
    <w:p>
      <w:pPr>
        <w:jc w:val="both"/>
        <w:ind w:firstLine="436"/>
        <w:spacing w:after="0" w:line="317" w:lineRule="auto"/>
        <w:rPr>
          <w:sz w:val="20"/>
          <w:szCs w:val="20"/>
          <w:color w:val="auto"/>
        </w:rPr>
      </w:pPr>
      <w:r>
        <w:rPr>
          <w:rFonts w:ascii="Arial" w:cs="Arial" w:eastAsia="Arial" w:hAnsi="Arial"/>
          <w:sz w:val="15"/>
          <w:szCs w:val="15"/>
          <w:color w:val="auto"/>
        </w:rPr>
        <w:t>In July 2020,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In March 2021, our Board of Directors approved a new stock repurchase program following the completion of the July 2020 program. This new program is open-ended and authorizes repurchases of shares of our common stock up to an aggregate cost of $500.0 million in the open market or in negotiated transactions.</w:t>
      </w:r>
    </w:p>
    <w:p>
      <w:pPr>
        <w:spacing w:after="0" w:line="79"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5"/>
          <w:szCs w:val="15"/>
          <w:color w:val="auto"/>
        </w:rPr>
        <w:t>As part of the broader share repurchase program, we entered into the ASR Agreement with Wells Fargo on June 17, 2021 to repurchase $200.0 million of our common stock. Pursuant to the ASR Agreement, we paid $200.0 million to Wells Fargo and received an initial delivery of 319,400 shares of common stock, which approximated 80 percent of the total number of expected shares to be repurchased under the ASR Agreement. The final number of shares to be repurchased and the average price paid per share will be determined upon the expected settlement of the agreement during the fourth quarter of fiscal 2021.</w:t>
      </w:r>
    </w:p>
    <w:p>
      <w:pPr>
        <w:spacing w:after="0" w:line="106" w:lineRule="exact"/>
        <w:rPr>
          <w:sz w:val="20"/>
          <w:szCs w:val="20"/>
          <w:color w:val="auto"/>
        </w:rPr>
      </w:pPr>
    </w:p>
    <w:p>
      <w:pPr>
        <w:jc w:val="both"/>
        <w:ind w:firstLine="436"/>
        <w:spacing w:after="0" w:line="312" w:lineRule="auto"/>
        <w:rPr>
          <w:sz w:val="20"/>
          <w:szCs w:val="20"/>
          <w:color w:val="auto"/>
        </w:rPr>
      </w:pPr>
      <w:r>
        <w:rPr>
          <w:rFonts w:ascii="Arial" w:cs="Arial" w:eastAsia="Arial" w:hAnsi="Arial"/>
          <w:sz w:val="15"/>
          <w:szCs w:val="15"/>
          <w:color w:val="auto"/>
        </w:rPr>
        <w:t>Pursuant to the July 2020 and March 2021 programs, we repurchased approximately 489,000 shares of our common stock, including 319,400 shares repurchased under the ASR Agreement, at a total repurchase price of $246.0 million and 1,031,000 shares of our common stock, including 319,400 shares repurchased under the ASR Agreement, at a total repurchase price of $501.2 million during the quarter and nine months ended June 30, 2021, respectively. As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 June 30, 2021, we had $225.3 million remaining under the March 2021 program, which includes a $40.0 million prepayment under the ASR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16"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5"/>
          <w:szCs w:val="15"/>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interest coverage ratio of 3.00. The credit agreement also contains other covenants typical of unsecured facilities. As of June 30, 2021, we had $316.0 million in borrowings outstanding at a weighted-average interest rate of 1.216% and we were in compliance with all financial covenants under this credit facility, and do not believe we are at material risk of not meeting these covenants due to COVID-19.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16" w:lineRule="exact"/>
        <w:rPr>
          <w:sz w:val="20"/>
          <w:szCs w:val="20"/>
          <w:color w:val="auto"/>
        </w:rPr>
      </w:pPr>
    </w:p>
    <w:p>
      <w:pPr>
        <w:jc w:val="both"/>
        <w:ind w:firstLine="396"/>
        <w:spacing w:after="0" w:line="307" w:lineRule="auto"/>
        <w:rPr>
          <w:sz w:val="20"/>
          <w:szCs w:val="20"/>
          <w:color w:val="auto"/>
        </w:rPr>
      </w:pPr>
      <w:r>
        <w:rPr>
          <w:rFonts w:ascii="Arial" w:cs="Arial" w:eastAsia="Arial" w:hAnsi="Arial"/>
          <w:sz w:val="15"/>
          <w:szCs w:val="15"/>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and with the 2018 Senior Notes, the “Senior Notes”). The 2019 Senior Notes require interest payments semi-annually at a rate of 4.00% per annum and will mature on June 15, 2028. The indentures for the Senior Notes contain certain covenants typical of unsecured obligations. As of June 30, 2021, the carrying value of the Senior Notes was $750.0 million and we were in compliance with all financial covenants under these obligations, and do not believe we are at material risk of not meeting these covenants due to COVID-19.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6" w:lineRule="exact"/>
        <w:rPr>
          <w:sz w:val="20"/>
          <w:szCs w:val="20"/>
          <w:color w:val="auto"/>
        </w:rPr>
      </w:pPr>
    </w:p>
    <w:p>
      <w:pPr>
        <w:jc w:val="both"/>
        <w:ind w:firstLine="436"/>
        <w:spacing w:after="0" w:line="292"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3" w:lineRule="exact"/>
        <w:rPr>
          <w:sz w:val="20"/>
          <w:szCs w:val="20"/>
          <w:color w:val="auto"/>
        </w:rPr>
      </w:pPr>
    </w:p>
    <w:p>
      <w:pPr>
        <w:jc w:val="both"/>
        <w:ind w:firstLine="436"/>
        <w:spacing w:after="0" w:line="305" w:lineRule="auto"/>
        <w:rPr>
          <w:sz w:val="20"/>
          <w:szCs w:val="20"/>
          <w:color w:val="auto"/>
        </w:rPr>
      </w:pPr>
      <w:r>
        <w:rPr>
          <w:rFonts w:ascii="Arial" w:cs="Arial" w:eastAsia="Arial" w:hAnsi="Arial"/>
          <w:sz w:val="15"/>
          <w:szCs w:val="15"/>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61"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63" w:lineRule="exact"/>
        <w:rPr>
          <w:sz w:val="20"/>
          <w:szCs w:val="20"/>
          <w:color w:val="auto"/>
        </w:rPr>
      </w:pPr>
    </w:p>
    <w:p>
      <w:pPr>
        <w:jc w:val="both"/>
        <w:ind w:firstLine="396"/>
        <w:spacing w:after="0" w:line="307" w:lineRule="auto"/>
        <w:rPr>
          <w:sz w:val="20"/>
          <w:szCs w:val="20"/>
          <w:color w:val="auto"/>
        </w:rPr>
      </w:pPr>
      <w:r>
        <w:rPr>
          <w:rFonts w:ascii="Arial" w:cs="Arial" w:eastAsia="Arial" w:hAnsi="Arial"/>
          <w:sz w:val="15"/>
          <w:szCs w:val="15"/>
          <w:color w:val="auto"/>
        </w:rPr>
        <w:t>Our revenue is primarily derived from term-based or perpetual licensing of software and scoring products and solutions, and associated maintenance; SaaS subscription services; scoring and credit monitoring services for consumers; and professional services. For contracts with customers that contain various combinations of products and services, we evaluate whether the products or services are distinct—distinct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02"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7"/>
          <w:szCs w:val="17"/>
          <w:color w:val="auto"/>
        </w:rPr>
        <w:t>License revenue is derived from contracts in which we grant our direct customers or distributors the right to deploy or resell our software and scoring products and solutions on-premises. Our software offerings often include a term-based or perpetual license and post-contract support or maintenance, both of which generally represent distinct performance obligations and are accounted for separately. For term-based licenses, the transaction price is either in the form of a fixed consideration—a single subscription with license and maintenance bundled, or a usage-based royalty—sometimes subject to a guaranteed minimum —for the license and maintenance bundle. For perpetual licenses, the transaction price is generally a fixed consideration with separately stated prices for license and maintenance. When the amount is in the form of a fixed consideration, including the guaranteed minimum in usage-based royalty, license revenue from distinct on-premises licenses is recognized at the point in time when the software or scoring solution is made available to the customer or distributor. Any royalties not subject to the guaranteed minimum or earned in excess of the minimum amount are recognized as transactional revenue when the subsequent sales or usage occurs. Revenue allocated to maintenance is generally recognized ratably over the contract period as customers simultaneously consume and receive benefits.</w:t>
      </w:r>
    </w:p>
    <w:p>
      <w:pPr>
        <w:spacing w:after="0" w:line="129" w:lineRule="exact"/>
        <w:rPr>
          <w:sz w:val="20"/>
          <w:szCs w:val="20"/>
          <w:color w:val="auto"/>
        </w:rPr>
      </w:pPr>
    </w:p>
    <w:p>
      <w:pPr>
        <w:jc w:val="both"/>
        <w:ind w:firstLine="396"/>
        <w:spacing w:after="0" w:line="273" w:lineRule="auto"/>
        <w:rPr>
          <w:sz w:val="20"/>
          <w:szCs w:val="20"/>
          <w:color w:val="auto"/>
        </w:rPr>
      </w:pPr>
      <w:r>
        <w:rPr>
          <w:rFonts w:ascii="Arial" w:cs="Arial" w:eastAsia="Arial" w:hAnsi="Arial"/>
          <w:sz w:val="16"/>
          <w:szCs w:val="16"/>
          <w:color w:val="auto"/>
        </w:rPr>
        <w:t>In addition to usage-based royalty on our software and scoring products, transactional revenue is also derived from SaaS contracts in which we provide customers with access to and standard support for our software application either in the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Analytic Cloud or AWS, our primary cloud infrastructure provider, on a subscription basis. The transaction price typically includes a fixed consideration in the form of a guaranteed minimum that allows up to a certain level of usage and a variable consideration in the form of usage or transaction-based fees in excess of the minimum threshold; or usage or transaction-based variable amount not subject to a minimum threshold. We determined the nature of our SaaS arrangements is to provide continuous access to our hosted application in the cloud, i.e., a stand-ready obligation that comprises a series of distinct service periods (e.g., a series of distinct daily, monthly or annual periods of service). We estimate the total variable consideration at contract inception—subject to any constraints that may apply—and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24"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We also derive transactional revenue from credit scoring and monitoring services that provide consumers access to their credit reports and enable them to monitor their credit. These are provided as either a one-time or ongoing subscription service renewed monthly or annually, all with a fixed consideration. We determined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43" w:lineRule="exact"/>
        <w:rPr>
          <w:sz w:val="20"/>
          <w:szCs w:val="20"/>
          <w:color w:val="auto"/>
        </w:rPr>
      </w:pPr>
    </w:p>
    <w:p>
      <w:pPr>
        <w:jc w:val="both"/>
        <w:ind w:firstLine="396"/>
        <w:spacing w:after="0" w:line="307" w:lineRule="auto"/>
        <w:rPr>
          <w:sz w:val="20"/>
          <w:szCs w:val="20"/>
          <w:color w:val="auto"/>
        </w:rPr>
      </w:pPr>
      <w:r>
        <w:rPr>
          <w:rFonts w:ascii="Arial" w:cs="Arial" w:eastAsia="Arial" w:hAnsi="Arial"/>
          <w:sz w:val="15"/>
          <w:szCs w:val="15"/>
          <w:color w:val="auto"/>
        </w:rPr>
        <w:t>Professional services include software or SaaS implementation, consulting, model development, training services and premium cloud support. They are sold either standalone, or together with other products or services and generally represent distinct performance obligations. The transaction price can be a fixed amount or on a time and materials basis. Revenue on fixed-price services is recognized using an input method based on labor hours expended which we believe provides a faithful depiction of the transfer of services. Revenue on services provided on a time and materials basis is recognized applying the “right-to-invoice” practical expedient as the amount to which we have a right to invoice the customer corresponds directly with the value of our performance to the customer. In addition, we sell premium cloud support on a subscription basis for a fixed amount, and revenue is recognized ratably over the contract term.</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76"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43" w:lineRule="exact"/>
        <w:rPr>
          <w:sz w:val="20"/>
          <w:szCs w:val="20"/>
          <w:color w:val="auto"/>
        </w:rPr>
      </w:pPr>
    </w:p>
    <w:p>
      <w:pPr>
        <w:jc w:val="both"/>
        <w:ind w:firstLine="396"/>
        <w:spacing w:after="0" w:line="311" w:lineRule="auto"/>
        <w:rPr>
          <w:sz w:val="20"/>
          <w:szCs w:val="20"/>
          <w:color w:val="auto"/>
        </w:rPr>
      </w:pPr>
      <w:r>
        <w:rPr>
          <w:rFonts w:ascii="Arial" w:cs="Arial" w:eastAsia="Arial" w:hAnsi="Arial"/>
          <w:sz w:val="15"/>
          <w:szCs w:val="15"/>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97" w:lineRule="exact"/>
        <w:rPr>
          <w:sz w:val="20"/>
          <w:szCs w:val="20"/>
          <w:color w:val="auto"/>
        </w:rPr>
      </w:pPr>
    </w:p>
    <w:p>
      <w:pPr>
        <w:jc w:val="both"/>
        <w:ind w:firstLine="396"/>
        <w:spacing w:after="0" w:line="307" w:lineRule="auto"/>
        <w:rPr>
          <w:sz w:val="20"/>
          <w:szCs w:val="20"/>
          <w:color w:val="auto"/>
        </w:rPr>
      </w:pPr>
      <w:r>
        <w:rPr>
          <w:rFonts w:ascii="Arial" w:cs="Arial" w:eastAsia="Arial" w:hAnsi="Arial"/>
          <w:sz w:val="15"/>
          <w:szCs w:val="15"/>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63"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condensed consolidated statements of income and comprehensive income.</w:t>
      </w:r>
    </w:p>
    <w:p>
      <w:pPr>
        <w:spacing w:after="0" w:line="124" w:lineRule="exact"/>
        <w:rPr>
          <w:sz w:val="20"/>
          <w:szCs w:val="20"/>
          <w:color w:val="auto"/>
        </w:rPr>
      </w:pPr>
    </w:p>
    <w:p>
      <w:pPr>
        <w:jc w:val="both"/>
        <w:ind w:firstLine="396"/>
        <w:spacing w:after="0" w:line="364" w:lineRule="auto"/>
        <w:rPr>
          <w:sz w:val="20"/>
          <w:szCs w:val="20"/>
          <w:color w:val="auto"/>
        </w:rPr>
      </w:pPr>
      <w:r>
        <w:rPr>
          <w:rFonts w:ascii="Arial" w:cs="Arial" w:eastAsia="Arial" w:hAnsi="Arial"/>
          <w:sz w:val="15"/>
          <w:szCs w:val="15"/>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03" w:lineRule="exact"/>
        <w:rPr>
          <w:sz w:val="20"/>
          <w:szCs w:val="20"/>
          <w:color w:val="auto"/>
        </w:rPr>
      </w:pPr>
    </w:p>
    <w:p>
      <w:pPr>
        <w:jc w:val="both"/>
        <w:ind w:firstLine="436"/>
        <w:spacing w:after="0" w:line="305" w:lineRule="auto"/>
        <w:rPr>
          <w:sz w:val="20"/>
          <w:szCs w:val="20"/>
          <w:color w:val="auto"/>
        </w:rPr>
      </w:pPr>
      <w:r>
        <w:rPr>
          <w:rFonts w:ascii="Arial" w:cs="Arial" w:eastAsia="Arial" w:hAnsi="Arial"/>
          <w:sz w:val="15"/>
          <w:szCs w:val="15"/>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03" w:lineRule="exact"/>
        <w:rPr>
          <w:sz w:val="20"/>
          <w:szCs w:val="20"/>
          <w:color w:val="auto"/>
        </w:rPr>
      </w:pPr>
    </w:p>
    <w:p>
      <w:pPr>
        <w:jc w:val="both"/>
        <w:ind w:firstLine="436"/>
        <w:spacing w:after="0" w:line="305" w:lineRule="auto"/>
        <w:rPr>
          <w:sz w:val="20"/>
          <w:szCs w:val="20"/>
          <w:color w:val="auto"/>
        </w:rPr>
      </w:pPr>
      <w:r>
        <w:rPr>
          <w:rFonts w:ascii="Arial" w:cs="Arial" w:eastAsia="Arial" w:hAnsi="Arial"/>
          <w:sz w:val="15"/>
          <w:szCs w:val="15"/>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96"/>
        <w:spacing w:after="0" w:line="299" w:lineRule="auto"/>
        <w:rPr>
          <w:sz w:val="20"/>
          <w:szCs w:val="20"/>
          <w:color w:val="auto"/>
        </w:rPr>
      </w:pPr>
      <w:r>
        <w:rPr>
          <w:rFonts w:ascii="Arial" w:cs="Arial" w:eastAsia="Arial" w:hAnsi="Arial"/>
          <w:sz w:val="15"/>
          <w:szCs w:val="15"/>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w:t>
      </w:r>
    </w:p>
    <w:p>
      <w:pPr>
        <w:spacing w:after="0" w:line="1" w:lineRule="exact"/>
        <w:rPr>
          <w:sz w:val="20"/>
          <w:szCs w:val="20"/>
          <w:color w:val="auto"/>
        </w:rPr>
      </w:pPr>
    </w:p>
    <w:p>
      <w:pPr>
        <w:jc w:val="both"/>
        <w:ind w:firstLine="6"/>
        <w:spacing w:after="0" w:line="246" w:lineRule="auto"/>
        <w:tabs>
          <w:tab w:leader="none" w:pos="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42" w:lineRule="exact"/>
        <w:rPr>
          <w:sz w:val="20"/>
          <w:szCs w:val="20"/>
          <w:color w:val="auto"/>
        </w:rPr>
      </w:pPr>
    </w:p>
    <w:p>
      <w:pPr>
        <w:jc w:val="both"/>
        <w:ind w:firstLine="396"/>
        <w:spacing w:after="0" w:line="305"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0" w:lineRule="exact"/>
        <w:rPr>
          <w:sz w:val="20"/>
          <w:szCs w:val="20"/>
          <w:color w:val="auto"/>
        </w:rPr>
      </w:pPr>
    </w:p>
    <w:p>
      <w:pPr>
        <w:jc w:val="both"/>
        <w:ind w:firstLine="396"/>
        <w:spacing w:after="0" w:line="299" w:lineRule="auto"/>
        <w:rPr>
          <w:sz w:val="20"/>
          <w:szCs w:val="20"/>
          <w:color w:val="auto"/>
        </w:rPr>
      </w:pPr>
      <w:r>
        <w:rPr>
          <w:rFonts w:ascii="Arial" w:cs="Arial" w:eastAsia="Arial" w:hAnsi="Arial"/>
          <w:sz w:val="15"/>
          <w:szCs w:val="15"/>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319" w:lineRule="exact"/>
        <w:rPr>
          <w:sz w:val="20"/>
          <w:szCs w:val="20"/>
          <w:color w:val="auto"/>
        </w:rPr>
      </w:pPr>
    </w:p>
    <w:p>
      <w:pPr>
        <w:jc w:val="both"/>
        <w:ind w:firstLine="436"/>
        <w:spacing w:after="0" w:line="248" w:lineRule="auto"/>
        <w:rPr>
          <w:sz w:val="20"/>
          <w:szCs w:val="20"/>
          <w:color w:val="auto"/>
        </w:rPr>
      </w:pPr>
      <w:r>
        <w:rPr>
          <w:rFonts w:ascii="Arial" w:cs="Arial" w:eastAsia="Arial" w:hAnsi="Arial"/>
          <w:sz w:val="18"/>
          <w:szCs w:val="18"/>
          <w:color w:val="auto"/>
        </w:rPr>
        <w:t>For fiscal 2017, we elected to proceed directly to the step one quantitative analysis for all of our reporting units. There was a substantial excess of fair value over carrying value for each of our reporting units and we determined goodwill was not impaired for any of our reporting units for fiscal 2017. For fiscal 2018, 2019 and 2020,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2018, 2019 and 2020.</w:t>
      </w:r>
    </w:p>
    <w:p>
      <w:pPr>
        <w:spacing w:after="0" w:line="143" w:lineRule="exact"/>
        <w:rPr>
          <w:sz w:val="20"/>
          <w:szCs w:val="20"/>
          <w:color w:val="auto"/>
        </w:rPr>
      </w:pPr>
    </w:p>
    <w:p>
      <w:pPr>
        <w:jc w:val="both"/>
        <w:ind w:firstLine="396"/>
        <w:spacing w:after="0" w:line="305" w:lineRule="auto"/>
        <w:rPr>
          <w:sz w:val="20"/>
          <w:szCs w:val="20"/>
          <w:color w:val="auto"/>
        </w:rPr>
      </w:pPr>
      <w:r>
        <w:rPr>
          <w:rFonts w:ascii="Arial" w:cs="Arial" w:eastAsia="Arial" w:hAnsi="Arial"/>
          <w:sz w:val="15"/>
          <w:szCs w:val="15"/>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96"/>
        <w:spacing w:after="0" w:line="266" w:lineRule="auto"/>
        <w:rPr>
          <w:sz w:val="20"/>
          <w:szCs w:val="20"/>
          <w:color w:val="auto"/>
        </w:rPr>
      </w:pPr>
      <w:r>
        <w:rPr>
          <w:rFonts w:ascii="Arial" w:cs="Arial" w:eastAsia="Arial" w:hAnsi="Arial"/>
          <w:sz w:val="17"/>
          <w:szCs w:val="17"/>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0"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the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3"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condensed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08" w:lineRule="exact"/>
        <w:rPr>
          <w:sz w:val="20"/>
          <w:szCs w:val="20"/>
          <w:color w:val="auto"/>
        </w:rPr>
      </w:pPr>
    </w:p>
    <w:p>
      <w:pPr>
        <w:jc w:val="both"/>
        <w:ind w:firstLine="436"/>
        <w:spacing w:after="0" w:line="303" w:lineRule="auto"/>
        <w:rPr>
          <w:sz w:val="20"/>
          <w:szCs w:val="20"/>
          <w:color w:val="auto"/>
        </w:rPr>
      </w:pPr>
      <w:r>
        <w:rPr>
          <w:rFonts w:ascii="Arial" w:cs="Arial" w:eastAsia="Arial" w:hAnsi="Arial"/>
          <w:sz w:val="15"/>
          <w:szCs w:val="15"/>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06"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90"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3" w:lineRule="exact"/>
        <w:rPr>
          <w:sz w:val="20"/>
          <w:szCs w:val="20"/>
          <w:color w:val="auto"/>
        </w:rPr>
      </w:pPr>
    </w:p>
    <w:p>
      <w:pPr>
        <w:jc w:val="both"/>
        <w:ind w:firstLine="396"/>
        <w:spacing w:after="0" w:line="23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Internal-Use Software </w:t>
      </w:r>
      <w:r>
        <w:rPr>
          <w:rFonts w:ascii="Arial" w:cs="Arial" w:eastAsia="Arial" w:hAnsi="Arial"/>
          <w:sz w:val="18"/>
          <w:szCs w:val="18"/>
          <w:color w:val="auto"/>
        </w:rPr>
        <w:t>(“ASU 2018-15”). ASU 2018-15 aligns the requirements for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 cloud computing arrangement that is a service contract with the requirements for capitalizing implementation costs incurred to develop or obtain internal-use software. We adopted ASU 2018-15 in the first quarter of our fiscal 2021 and the adoption did not have a significant impact on our condensed consolidated financial statements.</w:t>
      </w:r>
    </w:p>
    <w:p>
      <w:pPr>
        <w:spacing w:after="0" w:line="135"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and ASU 2019-11 (collectively, “Topic 326”).</w:t>
      </w:r>
      <w:r>
        <w:rPr>
          <w:rFonts w:ascii="Arial" w:cs="Arial" w:eastAsia="Arial" w:hAnsi="Arial"/>
          <w:sz w:val="17"/>
          <w:szCs w:val="17"/>
          <w:i w:val="1"/>
          <w:iCs w:val="1"/>
          <w:color w:val="auto"/>
        </w:rPr>
        <w:t xml:space="preserve"> </w:t>
      </w:r>
      <w:r>
        <w:rPr>
          <w:rFonts w:ascii="Arial" w:cs="Arial" w:eastAsia="Arial" w:hAnsi="Arial"/>
          <w:sz w:val="17"/>
          <w:szCs w:val="17"/>
          <w:color w:val="auto"/>
        </w:rPr>
        <w:t>Topic 326 requires measurement and recognition of expected credit losses for financial assets held. We adopted Topic 326 in the first quarter of our fiscal 2021 and the adoption did not have a significant impact on our condensed consolidated financial statements.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do not expect that any recently issued accounting pronouncements will have a significant effect on our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16"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0"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June 30, 2021 and September 30, 2020:</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w w:val="91"/>
              </w:rPr>
              <w:t>September 30, 2020</w:t>
            </w:r>
          </w:p>
        </w:tc>
        <w:tc>
          <w:tcPr>
            <w:tcW w:w="1340" w:type="dxa"/>
            <w:vAlign w:val="bottom"/>
            <w:tcBorders>
              <w:bottom w:val="single" w:sz="8" w:color="auto"/>
            </w:tcBorders>
          </w:tcPr>
          <w:p>
            <w:pPr>
              <w:spacing w:after="0"/>
              <w:rPr>
                <w:sz w:val="16"/>
                <w:szCs w:val="16"/>
                <w:color w:val="auto"/>
              </w:rPr>
            </w:pPr>
          </w:p>
        </w:tc>
      </w:tr>
      <w:tr>
        <w:trPr>
          <w:trHeight w:val="131"/>
        </w:trPr>
        <w:tc>
          <w:tcPr>
            <w:tcW w:w="2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240"/>
              <w:spacing w:after="0" w:line="131"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1"/>
                <w:szCs w:val="11"/>
                <w:color w:val="auto"/>
              </w:rPr>
            </w:pPr>
          </w:p>
        </w:tc>
        <w:tc>
          <w:tcPr>
            <w:tcW w:w="1420" w:type="dxa"/>
            <w:vAlign w:val="bottom"/>
          </w:tcPr>
          <w:p>
            <w:pPr>
              <w:jc w:val="center"/>
              <w:ind w:right="425"/>
              <w:spacing w:after="0" w:line="131"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65"/>
              <w:spacing w:after="0" w:line="131"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40"/>
              <w:spacing w:after="0" w:line="131"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540" w:type="dxa"/>
            <w:vAlign w:val="bottom"/>
          </w:tcPr>
          <w:p>
            <w:pPr>
              <w:jc w:val="center"/>
              <w:ind w:right="345"/>
              <w:spacing w:after="0" w:line="131"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104"/>
              <w:spacing w:after="0" w:line="131" w:lineRule="exact"/>
              <w:rPr>
                <w:sz w:val="20"/>
                <w:szCs w:val="20"/>
                <w:color w:val="auto"/>
              </w:rPr>
            </w:pPr>
            <w:r>
              <w:rPr>
                <w:rFonts w:ascii="Arial" w:cs="Arial" w:eastAsia="Arial" w:hAnsi="Arial"/>
                <w:sz w:val="14"/>
                <w:szCs w:val="14"/>
                <w:b w:val="1"/>
                <w:bCs w:val="1"/>
                <w:color w:val="auto"/>
                <w:w w:val="86"/>
              </w:rPr>
              <w:t>Average</w:t>
            </w:r>
          </w:p>
        </w:tc>
      </w:tr>
      <w:tr>
        <w:trPr>
          <w:trHeight w:val="184"/>
        </w:trPr>
        <w:tc>
          <w:tcPr>
            <w:tcW w:w="2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05"/>
              <w:spacing w:after="0"/>
              <w:rPr>
                <w:sz w:val="20"/>
                <w:szCs w:val="20"/>
                <w:color w:val="auto"/>
              </w:rPr>
            </w:pPr>
            <w:r>
              <w:rPr>
                <w:rFonts w:ascii="Arial" w:cs="Arial" w:eastAsia="Arial" w:hAnsi="Arial"/>
                <w:sz w:val="14"/>
                <w:szCs w:val="14"/>
                <w:b w:val="1"/>
                <w:bCs w:val="1"/>
                <w:color w:val="auto"/>
                <w:w w:val="94"/>
              </w:rPr>
              <w:t>Amount</w:t>
            </w:r>
          </w:p>
        </w:tc>
        <w:tc>
          <w:tcPr>
            <w:tcW w:w="178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5"/>
              </w:rPr>
              <w:t>Yield</w:t>
            </w: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45"/>
              <w:spacing w:after="0"/>
              <w:rPr>
                <w:sz w:val="20"/>
                <w:szCs w:val="20"/>
                <w:color w:val="auto"/>
              </w:rPr>
            </w:pPr>
            <w:r>
              <w:rPr>
                <w:rFonts w:ascii="Arial" w:cs="Arial" w:eastAsia="Arial" w:hAnsi="Arial"/>
                <w:sz w:val="14"/>
                <w:szCs w:val="14"/>
                <w:b w:val="1"/>
                <w:bCs w:val="1"/>
                <w:color w:val="auto"/>
                <w:w w:val="90"/>
              </w:rPr>
              <w:t>Amount</w:t>
            </w:r>
          </w:p>
        </w:tc>
        <w:tc>
          <w:tcPr>
            <w:tcW w:w="13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5"/>
              </w:rPr>
              <w:t>Yield</w:t>
            </w:r>
          </w:p>
        </w:tc>
      </w:tr>
      <w:tr>
        <w:trPr>
          <w:trHeight w:val="178"/>
        </w:trPr>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6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Cash and cash equivalents   $</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237,612</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65"/>
              <w:spacing w:after="0"/>
              <w:rPr>
                <w:sz w:val="20"/>
                <w:szCs w:val="20"/>
                <w:color w:val="auto"/>
              </w:rPr>
            </w:pPr>
            <w:r>
              <w:rPr>
                <w:rFonts w:ascii="Arial" w:cs="Arial" w:eastAsia="Arial" w:hAnsi="Arial"/>
                <w:sz w:val="18"/>
                <w:szCs w:val="18"/>
                <w:color w:val="auto"/>
              </w:rPr>
              <w:t>237,612</w:t>
            </w: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0.02 %  $</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157,394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85"/>
              <w:spacing w:after="0"/>
              <w:rPr>
                <w:sz w:val="20"/>
                <w:szCs w:val="20"/>
                <w:color w:val="auto"/>
              </w:rPr>
            </w:pPr>
            <w:r>
              <w:rPr>
                <w:rFonts w:ascii="Arial" w:cs="Arial" w:eastAsia="Arial" w:hAnsi="Arial"/>
                <w:sz w:val="18"/>
                <w:szCs w:val="18"/>
                <w:color w:val="auto"/>
              </w:rPr>
              <w:t>157,394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and with the 2018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2021 and September 30,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280" w:type="dxa"/>
            <w:vAlign w:val="bottom"/>
            <w:tcBorders>
              <w:bottom w:val="single" w:sz="8" w:color="auto"/>
            </w:tcBorders>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Face Value (*)</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Face Value (*)</w:t>
            </w: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5"/>
              </w:rPr>
              <w:t>Fair Value</w:t>
            </w:r>
          </w:p>
        </w:tc>
      </w:tr>
      <w:tr>
        <w:trPr>
          <w:trHeight w:val="178"/>
        </w:trPr>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2018 Senior Notes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442,000</w:t>
            </w:r>
          </w:p>
        </w:tc>
      </w:tr>
      <w:tr>
        <w:trPr>
          <w:trHeight w:val="224"/>
        </w:trPr>
        <w:tc>
          <w:tcPr>
            <w:tcW w:w="40" w:type="dxa"/>
            <w:vAlign w:val="bottom"/>
          </w:tcPr>
          <w:p>
            <w:pPr>
              <w:spacing w:after="0"/>
              <w:rPr>
                <w:sz w:val="19"/>
                <w:szCs w:val="19"/>
                <w:color w:val="auto"/>
              </w:rPr>
            </w:pP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 2019 Senior Notes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358,750</w:t>
            </w:r>
          </w:p>
        </w:tc>
      </w:tr>
      <w:tr>
        <w:trPr>
          <w:trHeight w:val="243"/>
        </w:trPr>
        <w:tc>
          <w:tcPr>
            <w:tcW w:w="40" w:type="dxa"/>
            <w:vAlign w:val="bottom"/>
          </w:tcPr>
          <w:p>
            <w:pPr>
              <w:spacing w:after="0"/>
              <w:rPr>
                <w:sz w:val="20"/>
                <w:szCs w:val="20"/>
                <w:color w:val="auto"/>
              </w:rPr>
            </w:pPr>
          </w:p>
        </w:tc>
        <w:tc>
          <w:tcPr>
            <w:tcW w:w="3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800,750</w:t>
            </w: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80" w:lineRule="exact"/>
        <w:rPr>
          <w:sz w:val="20"/>
          <w:szCs w:val="20"/>
          <w:color w:val="auto"/>
        </w:rPr>
      </w:pPr>
    </w:p>
    <w:p>
      <w:pPr>
        <w:ind w:firstLine="402"/>
        <w:spacing w:after="0" w:line="263" w:lineRule="auto"/>
        <w:tabs>
          <w:tab w:leader="none" w:pos="633" w:val="left"/>
        </w:tabs>
        <w:numPr>
          <w:ilvl w:val="0"/>
          <w:numId w:val="16"/>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$9.4 million and $10.6 million at June 30, 2021 and September 30, 2020, respectively.</w:t>
      </w:r>
    </w:p>
    <w:p>
      <w:pPr>
        <w:spacing w:after="0" w:line="180"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$316.0 million in borrowings outstanding at a weighted-average interest rate of 1.216% under the credit facility as of June 30, 2021.</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0" w:lineRule="exact"/>
        <w:rPr>
          <w:sz w:val="20"/>
          <w:szCs w:val="20"/>
          <w:color w:val="auto"/>
        </w:rPr>
      </w:pPr>
    </w:p>
    <w:p>
      <w:pPr>
        <w:jc w:val="both"/>
        <w:ind w:firstLine="436"/>
        <w:spacing w:after="0" w:line="307" w:lineRule="auto"/>
        <w:rPr>
          <w:sz w:val="20"/>
          <w:szCs w:val="20"/>
          <w:color w:val="auto"/>
        </w:rPr>
      </w:pPr>
      <w:r>
        <w:rPr>
          <w:rFonts w:ascii="Arial" w:cs="Arial" w:eastAsia="Arial" w:hAnsi="Arial"/>
          <w:sz w:val="15"/>
          <w:szCs w:val="15"/>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June 30, 2021 and September 30,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31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Contract Amount</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1480" w:type="dxa"/>
            <w:vAlign w:val="bottom"/>
          </w:tcPr>
          <w:p>
            <w:pPr>
              <w:jc w:val="center"/>
              <w:ind w:left="581"/>
              <w:spacing w:after="0" w:line="126" w:lineRule="exact"/>
              <w:rPr>
                <w:sz w:val="20"/>
                <w:szCs w:val="20"/>
                <w:color w:val="auto"/>
              </w:rPr>
            </w:pPr>
            <w:r>
              <w:rPr>
                <w:rFonts w:ascii="Arial" w:cs="Arial" w:eastAsia="Arial" w:hAnsi="Arial"/>
                <w:sz w:val="14"/>
                <w:szCs w:val="14"/>
                <w:b w:val="1"/>
                <w:bCs w:val="1"/>
                <w:color w:val="auto"/>
                <w:w w:val="89"/>
              </w:rPr>
              <w:t>Foreign</w:t>
            </w:r>
          </w:p>
        </w:tc>
        <w:tc>
          <w:tcPr>
            <w:tcW w:w="6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4"/>
        </w:trPr>
        <w:tc>
          <w:tcPr>
            <w:tcW w:w="6000" w:type="dxa"/>
            <w:vAlign w:val="bottom"/>
          </w:tcPr>
          <w:p>
            <w:pPr>
              <w:spacing w:after="0"/>
              <w:rPr>
                <w:sz w:val="16"/>
                <w:szCs w:val="16"/>
                <w:color w:val="auto"/>
              </w:rPr>
            </w:pPr>
          </w:p>
        </w:tc>
        <w:tc>
          <w:tcPr>
            <w:tcW w:w="148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16,600</w:t>
            </w:r>
          </w:p>
        </w:tc>
        <w:tc>
          <w:tcPr>
            <w:tcW w:w="1000" w:type="dxa"/>
            <w:vAlign w:val="bottom"/>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19,715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14,601</w:t>
            </w:r>
          </w:p>
        </w:tc>
        <w:tc>
          <w:tcPr>
            <w:tcW w:w="1000" w:type="dxa"/>
            <w:vAlign w:val="bottom"/>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20,300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00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60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September 30, 2020</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31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Contract Amount</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6"/>
        </w:trPr>
        <w:tc>
          <w:tcPr>
            <w:tcW w:w="6000" w:type="dxa"/>
            <w:vAlign w:val="bottom"/>
          </w:tcPr>
          <w:p>
            <w:pPr>
              <w:spacing w:after="0"/>
              <w:rPr>
                <w:sz w:val="10"/>
                <w:szCs w:val="10"/>
                <w:color w:val="auto"/>
              </w:rPr>
            </w:pPr>
          </w:p>
        </w:tc>
        <w:tc>
          <w:tcPr>
            <w:tcW w:w="1480" w:type="dxa"/>
            <w:vAlign w:val="bottom"/>
          </w:tcPr>
          <w:p>
            <w:pPr>
              <w:jc w:val="center"/>
              <w:ind w:left="581"/>
              <w:spacing w:after="0" w:line="126" w:lineRule="exact"/>
              <w:rPr>
                <w:sz w:val="20"/>
                <w:szCs w:val="20"/>
                <w:color w:val="auto"/>
              </w:rPr>
            </w:pPr>
            <w:r>
              <w:rPr>
                <w:rFonts w:ascii="Arial" w:cs="Arial" w:eastAsia="Arial" w:hAnsi="Arial"/>
                <w:sz w:val="14"/>
                <w:szCs w:val="14"/>
                <w:b w:val="1"/>
                <w:bCs w:val="1"/>
                <w:color w:val="auto"/>
                <w:w w:val="89"/>
              </w:rPr>
              <w:t>Foreign</w:t>
            </w:r>
          </w:p>
        </w:tc>
        <w:tc>
          <w:tcPr>
            <w:tcW w:w="6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4"/>
        </w:trPr>
        <w:tc>
          <w:tcPr>
            <w:tcW w:w="6000" w:type="dxa"/>
            <w:vAlign w:val="bottom"/>
          </w:tcPr>
          <w:p>
            <w:pPr>
              <w:spacing w:after="0"/>
              <w:rPr>
                <w:sz w:val="16"/>
                <w:szCs w:val="16"/>
                <w:color w:val="auto"/>
              </w:rPr>
            </w:pPr>
          </w:p>
        </w:tc>
        <w:tc>
          <w:tcPr>
            <w:tcW w:w="148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0" w:type="dxa"/>
            <w:vAlign w:val="bottom"/>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17,656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16,555</w:t>
            </w:r>
          </w:p>
        </w:tc>
        <w:tc>
          <w:tcPr>
            <w:tcW w:w="1000" w:type="dxa"/>
            <w:vAlign w:val="bottom"/>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21,300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foreign currency forward contracts were entered into on June 30, 2021 and September 30, 2020, respectively; therefore, their fair value was $0 on each of these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0" w:lineRule="exact"/>
        <w:rPr>
          <w:sz w:val="20"/>
          <w:szCs w:val="20"/>
          <w:color w:val="auto"/>
        </w:rPr>
      </w:pPr>
    </w:p>
    <w:p>
      <w:pPr>
        <w:jc w:val="both"/>
        <w:ind w:firstLine="396"/>
        <w:spacing w:after="0" w:line="305" w:lineRule="auto"/>
        <w:rPr>
          <w:sz w:val="20"/>
          <w:szCs w:val="20"/>
          <w:color w:val="auto"/>
        </w:rPr>
      </w:pPr>
      <w:r>
        <w:rPr>
          <w:rFonts w:ascii="Arial" w:cs="Arial" w:eastAsia="Arial" w:hAnsi="Arial"/>
          <w:sz w:val="15"/>
          <w:szCs w:val="15"/>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are effective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3"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Market and Strategy Risks</w:t>
      </w:r>
    </w:p>
    <w:p>
      <w:pPr>
        <w:spacing w:after="0" w:line="169" w:lineRule="exact"/>
        <w:rPr>
          <w:sz w:val="20"/>
          <w:szCs w:val="20"/>
          <w:color w:val="auto"/>
        </w:rPr>
      </w:pPr>
    </w:p>
    <w:p>
      <w:pPr>
        <w:ind w:left="160" w:right="20"/>
        <w:spacing w:after="0" w:line="364" w:lineRule="auto"/>
        <w:rPr>
          <w:sz w:val="20"/>
          <w:szCs w:val="20"/>
          <w:color w:val="auto"/>
        </w:rPr>
      </w:pPr>
      <w:r>
        <w:rPr>
          <w:rFonts w:ascii="Arial" w:cs="Arial" w:eastAsia="Arial" w:hAnsi="Arial"/>
          <w:sz w:val="15"/>
          <w:szCs w:val="15"/>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58"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color w:val="auto"/>
        </w:rPr>
        <w:t>The COVID-19 pandemic has resulted in a widespread health crisis that has adversely affected the global economy, leading to reduced consumer spending and lending activities and disruptions and volatility in the global capital markets. COVID-19 has caused shutdowns to businesses and cities worldwide and has disrupted supply chains, business operations, travel, and consumer confidence.</w:t>
      </w:r>
    </w:p>
    <w:p>
      <w:pPr>
        <w:spacing w:after="0" w:line="135"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7"/>
          <w:szCs w:val="17"/>
          <w:color w:val="auto"/>
        </w:rPr>
        <w:t>As a result of the COVID-19 pandemic, we have temporarily closed the majority of our offices (including our corporate headquarters in the United States) and implemented travel restrictions, both of which have disrupted how we operate our business. Due in part to anticipated post-pandemic workforce patterns, we have permanently closed certain non-core offices, reduced certain other office space and reduced our global workforce. Our operations may be further negatively affected by a range of external factors related to the COVID-19 pandemic that are not within our control. For example, many cities, counties, states, and countries may continue to impose a wide range of restrictions on our employees’, partners’ and customers’ physical movement to limit the spread of COVID-19. We have postponed, canceled or shifted certain of our customer, employee or industry events to virtual-only experiences and may continue to do so in the future. If the COVID-19 pandemic has a substantial impact on our employees’, partners’ or customers’ productivity or ability to collaborate, our results of operations and overall financial performance may be harmed.</w:t>
      </w:r>
    </w:p>
    <w:p>
      <w:pPr>
        <w:spacing w:after="0" w:line="115" w:lineRule="exact"/>
        <w:rPr>
          <w:sz w:val="20"/>
          <w:szCs w:val="20"/>
          <w:color w:val="auto"/>
        </w:rPr>
      </w:pPr>
    </w:p>
    <w:p>
      <w:pPr>
        <w:jc w:val="both"/>
        <w:ind w:firstLine="238"/>
        <w:spacing w:after="0" w:line="231" w:lineRule="auto"/>
        <w:rPr>
          <w:sz w:val="20"/>
          <w:szCs w:val="20"/>
          <w:color w:val="auto"/>
        </w:rPr>
      </w:pPr>
      <w:r>
        <w:rPr>
          <w:rFonts w:ascii="Arial" w:cs="Arial" w:eastAsia="Arial" w:hAnsi="Arial"/>
          <w:sz w:val="17"/>
          <w:szCs w:val="17"/>
          <w:color w:val="auto"/>
        </w:rPr>
        <w:t>The situation surrounding the COVID-19 pandemic is constantly evolving and both the short-term and long-term effects remain unknown. 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 We have seen evidence that COVID-19 has adversely affected certain segments and originations volume, which may impact future revenue. We are unable to accurately predict the complete impact that COVID-19 will have on our future results of operations, financial condition, liquidity and cash flows due to numerous uncertainties, including the severity and transmission rate of the virus and its variants, the duration and any resurgence of the outbreak, the extent and effectiveness of containment actions, the effectiveness of any medical treatment and prevention options, and the impact of these and other factors on us, our employees, customers, partners and vendors, and on worldwide and U.S. economic conditions. If we are not able to respond to and manage these impacts effectively, our business may be harmed to a material extent.</w:t>
      </w:r>
    </w:p>
    <w:p>
      <w:pPr>
        <w:spacing w:after="0" w:line="188"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207" w:lineRule="exact"/>
        <w:rPr>
          <w:sz w:val="20"/>
          <w:szCs w:val="20"/>
          <w:color w:val="auto"/>
        </w:rPr>
      </w:pPr>
    </w:p>
    <w:p>
      <w:pPr>
        <w:jc w:val="both"/>
        <w:ind w:firstLine="238"/>
        <w:spacing w:after="0" w:line="262"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We have increasingly focused our DM strategy on bringing our Decision Management software together in a flexible, extensible, and cloud-native platform approach (the FICO Decision Management Platform). Our DM strategy is designed to enable us to increase our business by selling multiple connectable and extensible DM products to clients, as well as to enable the development of custom client solutions and to allow our clients to more easily expand their usage and the use cases they enable over time. The market may be unreceptive to our general DM business approach, including being unreceptive to our cloud-based offerings, unreceptive to purchasing multiple products from us, or unreceptive to our customized solutions. As we continue to pursue our DM strategy, we may experience volatility in our revenues and operating results caused by various factors, including differences in revenue recognition treatment between our cloud-based offerings and on-premise software licenses, the timing of investments and other expenditures necessary to develop and operate our cloud-based offerings, and the adoption of new sales and delivery methods. If our DM strategy is not successful, we may not be able to grow our business, growth may occur more slowly than we anticipate, or our revenues and profits may decline.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207"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217" w:lineRule="exact"/>
        <w:rPr>
          <w:sz w:val="20"/>
          <w:szCs w:val="20"/>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regulatory approvals for our products and services, including credit score models;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increasing availability of free or relatively inexpensive consumer credit, credit score and other information from public or commercial sources;</w:t>
      </w:r>
    </w:p>
    <w:p>
      <w:pPr>
        <w:spacing w:after="0" w:line="38" w:lineRule="exact"/>
        <w:rPr>
          <w:rFonts w:ascii="Arial" w:cs="Arial" w:eastAsia="Arial" w:hAnsi="Arial"/>
          <w:sz w:val="15"/>
          <w:szCs w:val="15"/>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30"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207" w:lineRule="exact"/>
        <w:rPr>
          <w:sz w:val="20"/>
          <w:szCs w:val="20"/>
          <w:color w:val="auto"/>
        </w:rPr>
      </w:pPr>
    </w:p>
    <w:p>
      <w:pPr>
        <w:jc w:val="both"/>
        <w:ind w:firstLine="238"/>
        <w:spacing w:after="0" w:line="303" w:lineRule="auto"/>
        <w:rPr>
          <w:sz w:val="20"/>
          <w:szCs w:val="20"/>
          <w:color w:val="auto"/>
        </w:rPr>
      </w:pPr>
      <w:r>
        <w:rPr>
          <w:rFonts w:ascii="Arial" w:cs="Arial" w:eastAsia="Arial" w:hAnsi="Arial"/>
          <w:sz w:val="15"/>
          <w:szCs w:val="15"/>
          <w:color w:val="auto"/>
        </w:rPr>
        <w:t>During fiscal 2020, 86%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the COVID-19 pandemic,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186"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11" w:lineRule="exact"/>
        <w:rPr>
          <w:sz w:val="20"/>
          <w:szCs w:val="20"/>
          <w:color w:val="auto"/>
        </w:rPr>
      </w:pPr>
    </w:p>
    <w:p>
      <w:pPr>
        <w:jc w:val="both"/>
        <w:ind w:firstLine="238"/>
        <w:spacing w:after="0" w:line="263" w:lineRule="auto"/>
        <w:rPr>
          <w:sz w:val="20"/>
          <w:szCs w:val="20"/>
          <w:color w:val="auto"/>
        </w:rPr>
      </w:pPr>
      <w:r>
        <w:rPr>
          <w:rFonts w:ascii="Arial" w:cs="Arial" w:eastAsia="Arial" w:hAnsi="Arial"/>
          <w:sz w:val="18"/>
          <w:szCs w:val="18"/>
          <w:color w:val="auto"/>
        </w:rPr>
        <w:t>While we are attempting to expand our sales of consumer credit and banking products and services into international markets, the risks are greater as these markets are also experiencing substantial disruption and we are less well-known in them.</w:t>
      </w:r>
    </w:p>
    <w:p>
      <w:pPr>
        <w:spacing w:after="0" w:line="207" w:lineRule="exact"/>
        <w:rPr>
          <w:sz w:val="20"/>
          <w:szCs w:val="20"/>
          <w:color w:val="auto"/>
        </w:rPr>
      </w:pPr>
    </w:p>
    <w:p>
      <w:pPr>
        <w:jc w:val="both"/>
        <w:ind w:left="160"/>
        <w:spacing w:after="0" w:line="31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71"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color w:val="auto"/>
        </w:rPr>
        <w:t>Most of our customers are relatively large enterprises, such as banks, payment card processors, insurance companies, healthcare firms, telecommunications providers, retailers and public agencies. As a result, many of our customers and potential customers are significantly larger than we are and may have sufficient bargaining power to demand reduced prices and favorable nonstandard terms.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238"/>
        <w:spacing w:after="0" w:line="248" w:lineRule="auto"/>
        <w:rPr>
          <w:sz w:val="20"/>
          <w:szCs w:val="20"/>
          <w:color w:val="auto"/>
        </w:rPr>
      </w:pPr>
      <w:r>
        <w:rPr>
          <w:rFonts w:ascii="Arial" w:cs="Arial" w:eastAsia="Arial" w:hAnsi="Arial"/>
          <w:sz w:val="18"/>
          <w:szCs w:val="18"/>
          <w:color w:val="auto"/>
        </w:rPr>
        <w:t>In addition, the U.S. and other key international economies are experiencing and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w:t>
      </w:r>
      <w:r>
        <w:rPr>
          <w:rFonts w:ascii="Arial" w:cs="Arial" w:eastAsia="Arial" w:hAnsi="Arial"/>
          <w:sz w:val="18"/>
          <w:szCs w:val="18"/>
          <w:color w:val="212529"/>
        </w:rPr>
        <w:t>,</w:t>
      </w:r>
      <w:r>
        <w:rPr>
          <w:rFonts w:ascii="Arial" w:cs="Arial" w:eastAsia="Arial" w:hAnsi="Arial"/>
          <w:sz w:val="18"/>
          <w:szCs w:val="18"/>
          <w:color w:val="auto"/>
        </w:rPr>
        <w:t xml:space="preserve"> </w:t>
      </w:r>
      <w:r>
        <w:rPr>
          <w:rFonts w:ascii="Arial" w:cs="Arial" w:eastAsia="Arial" w:hAnsi="Arial"/>
          <w:sz w:val="18"/>
          <w:szCs w:val="18"/>
          <w:color w:val="212529"/>
        </w:rPr>
        <w:t xml:space="preserve">whether arising in connection with the current COVID-19 pandemic or otherwise, could </w:t>
      </w:r>
      <w:r>
        <w:rPr>
          <w:rFonts w:ascii="Arial" w:cs="Arial" w:eastAsia="Arial" w:hAnsi="Arial"/>
          <w:sz w:val="18"/>
          <w:szCs w:val="18"/>
          <w:color w:val="000000"/>
        </w:rPr>
        <w:t>result in a decline in the volume of transactions that we execute for</w:t>
      </w:r>
      <w:r>
        <w:rPr>
          <w:rFonts w:ascii="Arial" w:cs="Arial" w:eastAsia="Arial" w:hAnsi="Arial"/>
          <w:sz w:val="18"/>
          <w:szCs w:val="18"/>
          <w:color w:val="212529"/>
        </w:rPr>
        <w:t xml:space="preserve"> </w:t>
      </w:r>
      <w:r>
        <w:rPr>
          <w:rFonts w:ascii="Arial" w:cs="Arial" w:eastAsia="Arial" w:hAnsi="Arial"/>
          <w:sz w:val="18"/>
          <w:szCs w:val="18"/>
          <w:color w:val="000000"/>
        </w:rPr>
        <w:t>our customers.</w:t>
      </w:r>
    </w:p>
    <w:p>
      <w:pPr>
        <w:spacing w:after="0" w:line="222" w:lineRule="exact"/>
        <w:rPr>
          <w:sz w:val="20"/>
          <w:szCs w:val="20"/>
          <w:color w:val="auto"/>
        </w:rPr>
      </w:pPr>
    </w:p>
    <w:p>
      <w:pPr>
        <w:jc w:val="both"/>
        <w:ind w:firstLine="238"/>
        <w:spacing w:after="0" w:line="271" w:lineRule="auto"/>
        <w:rPr>
          <w:sz w:val="20"/>
          <w:szCs w:val="20"/>
          <w:color w:val="auto"/>
        </w:rPr>
      </w:pPr>
      <w:r>
        <w:rPr>
          <w:rFonts w:ascii="Arial" w:cs="Arial" w:eastAsia="Arial" w:hAnsi="Arial"/>
          <w:sz w:val="16"/>
          <w:szCs w:val="16"/>
          <w:color w:val="auto"/>
        </w:rPr>
        <w:t>We also derive a substantial portion of our revenues and operating income from our contracts with the three major credit reporting agencies, Experian, TransUnion and Equifax,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offerings, the loss of or a significant change in a relationship with a major customer, the loss of or a significant change in a relationship with a significant third-party distributor (including payment card processors), or the delay of significant revenues from these sources, could have a material adverse effect on our revenues and results of operations.</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42" w:lineRule="exact"/>
        <w:rPr>
          <w:sz w:val="20"/>
          <w:szCs w:val="20"/>
          <w:color w:val="auto"/>
        </w:rPr>
      </w:pPr>
    </w:p>
    <w:p>
      <w:pPr>
        <w:jc w:val="both"/>
        <w:ind w:firstLine="238"/>
        <w:spacing w:after="0" w:line="317" w:lineRule="auto"/>
        <w:rPr>
          <w:sz w:val="20"/>
          <w:szCs w:val="20"/>
          <w:color w:val="auto"/>
        </w:rPr>
      </w:pPr>
      <w:r>
        <w:rPr>
          <w:rFonts w:ascii="Arial" w:cs="Arial" w:eastAsia="Arial" w:hAnsi="Arial"/>
          <w:sz w:val="15"/>
          <w:szCs w:val="15"/>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71"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207" w:lineRule="exact"/>
        <w:rPr>
          <w:sz w:val="20"/>
          <w:szCs w:val="20"/>
          <w:color w:val="auto"/>
        </w:rPr>
      </w:pPr>
    </w:p>
    <w:p>
      <w:pPr>
        <w:jc w:val="both"/>
        <w:ind w:firstLine="238"/>
        <w:spacing w:after="0" w:line="301" w:lineRule="auto"/>
        <w:rPr>
          <w:sz w:val="20"/>
          <w:szCs w:val="20"/>
          <w:color w:val="auto"/>
        </w:rPr>
      </w:pPr>
      <w:r>
        <w:rPr>
          <w:rFonts w:ascii="Arial" w:cs="Arial" w:eastAsia="Arial" w:hAnsi="Arial"/>
          <w:sz w:val="15"/>
          <w:szCs w:val="15"/>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187"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207"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7"/>
          <w:szCs w:val="17"/>
          <w:color w:val="auto"/>
        </w:rPr>
        <w:t>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238"/>
        <w:spacing w:after="0" w:line="249"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220" w:lineRule="exact"/>
        <w:rPr>
          <w:sz w:val="20"/>
          <w:szCs w:val="20"/>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4"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30" w:lineRule="exact"/>
        <w:rPr>
          <w:sz w:val="20"/>
          <w:szCs w:val="20"/>
          <w:color w:val="auto"/>
        </w:rPr>
      </w:pPr>
    </w:p>
    <w:p>
      <w:pPr>
        <w:ind w:left="160"/>
        <w:spacing w:after="0" w:line="292"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85" w:lineRule="exact"/>
        <w:rPr>
          <w:sz w:val="20"/>
          <w:szCs w:val="20"/>
          <w:color w:val="auto"/>
        </w:rPr>
      </w:pPr>
    </w:p>
    <w:p>
      <w:pPr>
        <w:jc w:val="both"/>
        <w:ind w:firstLine="238"/>
        <w:spacing w:after="0" w:line="267"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business analytics is rapidly evolving and highly competitive, and we expect competition in this market to persist and intensify. Our regional and global competitors vary in size and in the scope of the products and services they offer, and include:</w:t>
      </w:r>
    </w:p>
    <w:p>
      <w:pPr>
        <w:spacing w:after="0" w:line="207" w:lineRule="exact"/>
        <w:rPr>
          <w:sz w:val="20"/>
          <w:szCs w:val="20"/>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fraud and security management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4" w:lineRule="exact"/>
        <w:rPr>
          <w:rFonts w:ascii="Arial" w:cs="Arial" w:eastAsia="Arial" w:hAnsi="Arial"/>
          <w:sz w:val="18"/>
          <w:szCs w:val="18"/>
          <w:color w:val="auto"/>
        </w:rPr>
      </w:pPr>
    </w:p>
    <w:p>
      <w:pPr>
        <w:ind w:left="640" w:right="20" w:hanging="317"/>
        <w:spacing w:after="0" w:line="24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30" w:lineRule="exact"/>
        <w:rPr>
          <w:sz w:val="20"/>
          <w:szCs w:val="20"/>
          <w:color w:val="auto"/>
        </w:rPr>
      </w:pPr>
    </w:p>
    <w:p>
      <w:pPr>
        <w:jc w:val="both"/>
        <w:ind w:firstLine="238"/>
        <w:spacing w:after="0" w:line="301" w:lineRule="auto"/>
        <w:rPr>
          <w:sz w:val="20"/>
          <w:szCs w:val="20"/>
          <w:color w:val="auto"/>
        </w:rPr>
      </w:pPr>
      <w:r>
        <w:rPr>
          <w:rFonts w:ascii="Arial" w:cs="Arial" w:eastAsia="Arial" w:hAnsi="Arial"/>
          <w:sz w:val="15"/>
          <w:szCs w:val="15"/>
          <w:color w:val="auto"/>
        </w:rPr>
        <w:t>We expect to experience additional competition from other established and emerging companies, as well as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 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17"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207"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7"/>
          <w:szCs w:val="17"/>
          <w:color w:val="auto"/>
        </w:rPr>
        <w:t>Many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208"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207" w:lineRule="exact"/>
        <w:rPr>
          <w:sz w:val="20"/>
          <w:szCs w:val="20"/>
          <w:color w:val="auto"/>
        </w:rPr>
      </w:pPr>
    </w:p>
    <w:p>
      <w:pPr>
        <w:ind w:firstLine="238"/>
        <w:spacing w:after="0" w:line="263"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207" w:lineRule="exact"/>
        <w:rPr>
          <w:sz w:val="20"/>
          <w:szCs w:val="20"/>
          <w:color w:val="auto"/>
        </w:rPr>
      </w:pPr>
    </w:p>
    <w:p>
      <w:pPr>
        <w:ind w:left="640" w:hanging="317"/>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27" w:lineRule="exact"/>
        <w:rPr>
          <w:rFonts w:ascii="Arial" w:cs="Arial" w:eastAsia="Arial" w:hAnsi="Arial"/>
          <w:sz w:val="17"/>
          <w:szCs w:val="17"/>
          <w:color w:val="auto"/>
        </w:rPr>
      </w:pPr>
    </w:p>
    <w:p>
      <w:pPr>
        <w:jc w:val="both"/>
        <w:ind w:left="640" w:hanging="317"/>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2"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4"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spacing w:after="0" w:line="1" w:lineRule="exact"/>
        <w:rPr>
          <w:rFonts w:ascii="Arial" w:cs="Arial" w:eastAsia="Arial" w:hAnsi="Arial"/>
          <w:sz w:val="18"/>
          <w:szCs w:val="18"/>
          <w:color w:val="auto"/>
        </w:rPr>
      </w:pPr>
    </w:p>
    <w:p>
      <w:pPr>
        <w:jc w:val="both"/>
        <w:ind w:left="640" w:hanging="317"/>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2" w:lineRule="exact"/>
        <w:rPr>
          <w:rFonts w:ascii="Arial" w:cs="Arial" w:eastAsia="Arial" w:hAnsi="Arial"/>
          <w:sz w:val="18"/>
          <w:szCs w:val="18"/>
          <w:color w:val="auto"/>
        </w:rPr>
      </w:pPr>
    </w:p>
    <w:p>
      <w:pPr>
        <w:jc w:val="both"/>
        <w:ind w:left="640" w:hanging="317"/>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3"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 and</w:t>
      </w:r>
    </w:p>
    <w:p>
      <w:pPr>
        <w:spacing w:after="0" w:line="1" w:lineRule="exact"/>
        <w:rPr>
          <w:rFonts w:ascii="Arial" w:cs="Arial" w:eastAsia="Arial" w:hAnsi="Arial"/>
          <w:sz w:val="18"/>
          <w:szCs w:val="18"/>
          <w:color w:val="auto"/>
        </w:rPr>
      </w:pPr>
    </w:p>
    <w:p>
      <w:pPr>
        <w:ind w:left="640" w:hanging="317"/>
        <w:spacing w:after="0" w:line="249"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w:t>
      </w:r>
    </w:p>
    <w:p>
      <w:pPr>
        <w:spacing w:after="0" w:line="219"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strategic divestitures will provide business benefits.</w:t>
      </w:r>
    </w:p>
    <w:p>
      <w:pPr>
        <w:spacing w:after="0" w:line="242" w:lineRule="exact"/>
        <w:rPr>
          <w:sz w:val="20"/>
          <w:szCs w:val="20"/>
          <w:color w:val="auto"/>
        </w:rPr>
      </w:pPr>
    </w:p>
    <w:p>
      <w:pPr>
        <w:jc w:val="both"/>
        <w:ind w:firstLine="317"/>
        <w:spacing w:after="0" w:line="263" w:lineRule="auto"/>
        <w:rPr>
          <w:sz w:val="20"/>
          <w:szCs w:val="20"/>
          <w:color w:val="auto"/>
        </w:rPr>
      </w:pPr>
      <w:r>
        <w:rPr>
          <w:rFonts w:ascii="Arial" w:cs="Arial" w:eastAsia="Arial" w:hAnsi="Arial"/>
          <w:sz w:val="18"/>
          <w:szCs w:val="18"/>
          <w:color w:val="auto"/>
        </w:rPr>
        <w:t>As part of our strategy, we continuously evaluate our portfolio of businesses. We have previously, are currently, and may in the future make other changes to our portfolio as well, which may be material. Divestitures involve risks, including:</w:t>
      </w:r>
    </w:p>
    <w:p>
      <w:pPr>
        <w:spacing w:after="0" w:line="207" w:lineRule="exact"/>
        <w:rPr>
          <w:sz w:val="20"/>
          <w:szCs w:val="20"/>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of our operations or businesses;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the separation of operations, services, products and personnel;</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finding a suitable purchaser;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317"/>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disposing of businesses or assets at a price or on terms that are less favorable than we had anticipated, or with purchase price adjustments or the exclusion of assets or liabilities that must be divested, managed or run off separately;</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relationships with our customers, suppliers or their businesses,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erosion of employee morale or customer confidence; and</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retention of contingent liabilities related to the divested business.</w:t>
      </w:r>
    </w:p>
    <w:p>
      <w:pPr>
        <w:spacing w:after="0" w:line="230" w:lineRule="exact"/>
        <w:rPr>
          <w:sz w:val="20"/>
          <w:szCs w:val="20"/>
          <w:color w:val="auto"/>
        </w:rPr>
      </w:pPr>
    </w:p>
    <w:p>
      <w:pPr>
        <w:jc w:val="both"/>
        <w:ind w:firstLine="238"/>
        <w:spacing w:after="0" w:line="263" w:lineRule="auto"/>
        <w:rPr>
          <w:sz w:val="20"/>
          <w:szCs w:val="20"/>
          <w:color w:val="auto"/>
        </w:rPr>
      </w:pPr>
      <w:r>
        <w:rPr>
          <w:rFonts w:ascii="Arial" w:cs="Arial" w:eastAsia="Arial" w:hAnsi="Arial"/>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242"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7"/>
          <w:szCs w:val="17"/>
          <w:color w:val="auto"/>
        </w:rPr>
        <w:t>As part of our management approach, we pursue ongoing reengineering efforts designed to grow revenues through strategic resource allocation and improve profitability through cost reductions. For example, in September 2020, we implemented a course of action designed to reduce our operating costs in lower value, less strategic areas of our business in order to facilitate incremental investment in higher value, more strategic areas while also reducing our facilities footprint in light of anticipated post-pandemic workforce patterns. In addition, we are in the process of implementing a new Remote Work Policy which will allow a portion of our workforce to partially or fully work from home. These and other reengineering efforts may not be successful over the long term should we fail to reduce expenses at the anticipated level, should we fail to increase revenues to anticipated levels or at all, or should productivity decline or employees’ ability to collaborate fall as a result of the Remote Work Policy. If our reengineering efforts are not successful over the long term, our revenues, results of operations and business may suffer.</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42" w:lineRule="exact"/>
        <w:rPr>
          <w:sz w:val="20"/>
          <w:szCs w:val="20"/>
          <w:color w:val="auto"/>
        </w:rPr>
      </w:pPr>
    </w:p>
    <w:p>
      <w:pPr>
        <w:jc w:val="both"/>
        <w:ind w:firstLine="238"/>
        <w:spacing w:after="0" w:line="302" w:lineRule="auto"/>
        <w:rPr>
          <w:sz w:val="20"/>
          <w:szCs w:val="20"/>
          <w:color w:val="auto"/>
        </w:rPr>
      </w:pPr>
      <w:r>
        <w:rPr>
          <w:rFonts w:ascii="Arial" w:cs="Arial" w:eastAsia="Arial" w:hAnsi="Arial"/>
          <w:sz w:val="15"/>
          <w:szCs w:val="15"/>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86" w:lineRule="exact"/>
        <w:rPr>
          <w:sz w:val="20"/>
          <w:szCs w:val="20"/>
          <w:color w:val="auto"/>
        </w:rPr>
      </w:pPr>
    </w:p>
    <w:p>
      <w:pPr>
        <w:jc w:val="both"/>
        <w:ind w:firstLine="238"/>
        <w:spacing w:after="0" w:line="249"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238"/>
        <w:spacing w:after="0" w:line="305" w:lineRule="auto"/>
        <w:rPr>
          <w:sz w:val="20"/>
          <w:szCs w:val="20"/>
          <w:color w:val="auto"/>
        </w:rPr>
      </w:pPr>
      <w:r>
        <w:rPr>
          <w:rFonts w:ascii="Arial" w:cs="Arial" w:eastAsia="Arial" w:hAnsi="Arial"/>
          <w:sz w:val="15"/>
          <w:szCs w:val="15"/>
          <w:color w:val="auto"/>
        </w:rPr>
        <w:t xml:space="preserve">Because our business requires the storage, transmission and utilization of sensitive consumer and customer information, we will continue to routinely be the target of attempted cybersecurity and other security threats by outside third parties, including technically sophisticated and well-resourced bad actors attempting to access or steal the data we store. Many of our products are provided by us through the Internet. We may be exposed to additional cybersecurity threats as we migrate our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w:t>
      </w:r>
      <w:r>
        <w:rPr>
          <w:rFonts w:ascii="Arial" w:cs="Arial" w:eastAsia="Arial" w:hAnsi="Arial"/>
          <w:sz w:val="15"/>
          <w:szCs w:val="15"/>
          <w:color w:val="212529"/>
        </w:rPr>
        <w:t>These threats include phishing attacks on our email systems and other cyber-attacks, including state-sponsored cyber-attacks,</w:t>
      </w:r>
      <w:r>
        <w:rPr>
          <w:rFonts w:ascii="Arial" w:cs="Arial" w:eastAsia="Arial" w:hAnsi="Arial"/>
          <w:sz w:val="15"/>
          <w:szCs w:val="15"/>
          <w:color w:val="auto"/>
        </w:rPr>
        <w:t xml:space="preserve"> </w:t>
      </w:r>
      <w:r>
        <w:rPr>
          <w:rFonts w:ascii="Arial" w:cs="Arial" w:eastAsia="Arial" w:hAnsi="Arial"/>
          <w:sz w:val="15"/>
          <w:szCs w:val="15"/>
          <w:color w:val="212529"/>
        </w:rPr>
        <w:t>industrial espionage, insider threats, denial-of-service attacks, computer viruses, ransomware and other malware, payment fraud or other cyber incidents.</w:t>
      </w:r>
    </w:p>
    <w:p>
      <w:pPr>
        <w:spacing w:after="0" w:line="182" w:lineRule="exact"/>
        <w:rPr>
          <w:sz w:val="20"/>
          <w:szCs w:val="20"/>
          <w:color w:val="auto"/>
        </w:rPr>
      </w:pPr>
    </w:p>
    <w:p>
      <w:pPr>
        <w:jc w:val="both"/>
        <w:ind w:firstLine="238"/>
        <w:spacing w:after="0" w:line="263" w:lineRule="auto"/>
        <w:rPr>
          <w:sz w:val="20"/>
          <w:szCs w:val="20"/>
          <w:color w:val="auto"/>
        </w:rPr>
      </w:pPr>
      <w:r>
        <w:rPr>
          <w:rFonts w:ascii="Arial" w:cs="Arial" w:eastAsia="Arial" w:hAnsi="Arial"/>
          <w:sz w:val="17"/>
          <w:szCs w:val="17"/>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211" w:lineRule="exact"/>
        <w:rPr>
          <w:sz w:val="20"/>
          <w:szCs w:val="20"/>
          <w:color w:val="auto"/>
        </w:rPr>
      </w:pPr>
    </w:p>
    <w:p>
      <w:pPr>
        <w:jc w:val="both"/>
        <w:ind w:firstLine="238"/>
        <w:spacing w:after="0" w:line="305" w:lineRule="auto"/>
        <w:rPr>
          <w:sz w:val="20"/>
          <w:szCs w:val="20"/>
          <w:color w:val="auto"/>
        </w:rPr>
      </w:pPr>
      <w:r>
        <w:rPr>
          <w:rFonts w:ascii="Arial" w:cs="Arial" w:eastAsia="Arial" w:hAnsi="Arial"/>
          <w:sz w:val="15"/>
          <w:szCs w:val="15"/>
          <w:color w:val="auto"/>
        </w:rPr>
        <w:t>Malicious third parties may also conduct attacks designed to temporarily deny customers, distributors and vendors access to our systems and services. Cybersecurity breaches experienced by our vendors, by our distributors, by our customers or by us may trigger governmental notice requirements and public disclosures, which may lead to widespread negative publicity. Any such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 including remote working arrangements.</w:t>
      </w:r>
    </w:p>
    <w:p>
      <w:pPr>
        <w:spacing w:after="0" w:line="182" w:lineRule="exact"/>
        <w:rPr>
          <w:sz w:val="20"/>
          <w:szCs w:val="20"/>
          <w:color w:val="auto"/>
        </w:rPr>
      </w:pPr>
    </w:p>
    <w:p>
      <w:pPr>
        <w:jc w:val="both"/>
        <w:ind w:firstLine="238"/>
        <w:spacing w:after="0" w:line="263" w:lineRule="auto"/>
        <w:rPr>
          <w:sz w:val="20"/>
          <w:szCs w:val="20"/>
          <w:color w:val="auto"/>
        </w:rPr>
      </w:pPr>
      <w:r>
        <w:rPr>
          <w:rFonts w:ascii="Arial" w:cs="Arial" w:eastAsia="Arial" w:hAnsi="Arial"/>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207" w:lineRule="exact"/>
        <w:rPr>
          <w:sz w:val="20"/>
          <w:szCs w:val="20"/>
          <w:color w:val="auto"/>
        </w:rPr>
      </w:pPr>
    </w:p>
    <w:p>
      <w:pPr>
        <w:jc w:val="both"/>
        <w:ind w:firstLine="238"/>
        <w:spacing w:after="0" w:line="303" w:lineRule="auto"/>
        <w:rPr>
          <w:sz w:val="20"/>
          <w:szCs w:val="20"/>
          <w:color w:val="auto"/>
        </w:rPr>
      </w:pPr>
      <w:r>
        <w:rPr>
          <w:rFonts w:ascii="Arial" w:cs="Arial" w:eastAsia="Arial" w:hAnsi="Arial"/>
          <w:sz w:val="15"/>
          <w:szCs w:val="15"/>
          <w:color w:val="auto"/>
        </w:rPr>
        <w:t xml:space="preserve">Our ability to provide reliable service in our businesses depends on the efficient and uninterrupted operation of our data centers, information technology and communication systems, and increasingly those of our external service providers. As we continue to grow our SaaS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fires, floods, earthquakes, </w:t>
      </w:r>
      <w:r>
        <w:rPr>
          <w:rFonts w:ascii="Arial" w:cs="Arial" w:eastAsia="Arial" w:hAnsi="Arial"/>
          <w:sz w:val="15"/>
          <w:szCs w:val="15"/>
          <w:color w:val="212529"/>
        </w:rPr>
        <w:t>pandemics (including the COVID-19 pandemic)</w:t>
      </w:r>
      <w:r>
        <w:rPr>
          <w:rFonts w:ascii="Arial" w:cs="Arial" w:eastAsia="Arial" w:hAnsi="Arial"/>
          <w:sz w:val="15"/>
          <w:szCs w:val="15"/>
          <w:b w:val="1"/>
          <w:bCs w:val="1"/>
          <w:color w:val="212529"/>
        </w:rPr>
        <w:t>,</w:t>
      </w:r>
      <w:r>
        <w:rPr>
          <w:rFonts w:ascii="Arial" w:cs="Arial" w:eastAsia="Arial" w:hAnsi="Arial"/>
          <w:sz w:val="15"/>
          <w:szCs w:val="15"/>
          <w:color w:val="auto"/>
        </w:rPr>
        <w:t xml:space="preserve"> war, terrorist acts or civil unrest, power losses, equipment failures, computer viruses, denial-of-service or other cybersecurity attacks, employee or insider malfeasance, human error and other events beyond our control. Although we have taken steps to prevent system failures and we have installed back-up systems and procedures to prevent or reduce disruption, such steps may not be sufficient to prevent an interruption of services and our disaster recovery planning may not account for all eventualities.</w:t>
      </w:r>
    </w:p>
    <w:p>
      <w:pPr>
        <w:spacing w:after="0" w:line="186" w:lineRule="exact"/>
        <w:rPr>
          <w:sz w:val="20"/>
          <w:szCs w:val="20"/>
          <w:color w:val="auto"/>
        </w:rPr>
      </w:pPr>
    </w:p>
    <w:p>
      <w:pPr>
        <w:jc w:val="both"/>
        <w:ind w:firstLine="238"/>
        <w:spacing w:after="0" w:line="317" w:lineRule="auto"/>
        <w:rPr>
          <w:sz w:val="20"/>
          <w:szCs w:val="20"/>
          <w:color w:val="auto"/>
        </w:rPr>
      </w:pPr>
      <w:r>
        <w:rPr>
          <w:rFonts w:ascii="Arial" w:cs="Arial" w:eastAsia="Arial" w:hAnsi="Arial"/>
          <w:sz w:val="15"/>
          <w:szCs w:val="15"/>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42" w:lineRule="exact"/>
        <w:rPr>
          <w:sz w:val="20"/>
          <w:szCs w:val="20"/>
          <w:color w:val="auto"/>
        </w:rPr>
      </w:pPr>
    </w:p>
    <w:p>
      <w:pPr>
        <w:jc w:val="both"/>
        <w:ind w:firstLine="238"/>
        <w:spacing w:after="0" w:line="262"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42" w:lineRule="exact"/>
        <w:rPr>
          <w:sz w:val="20"/>
          <w:szCs w:val="20"/>
          <w:color w:val="auto"/>
        </w:rPr>
      </w:pPr>
    </w:p>
    <w:p>
      <w:pPr>
        <w:jc w:val="both"/>
        <w:ind w:firstLine="238"/>
        <w:spacing w:after="0" w:line="300" w:lineRule="auto"/>
        <w:rPr>
          <w:sz w:val="20"/>
          <w:szCs w:val="20"/>
          <w:color w:val="auto"/>
        </w:rPr>
      </w:pPr>
      <w:r>
        <w:rPr>
          <w:rFonts w:ascii="Arial" w:cs="Arial" w:eastAsia="Arial" w:hAnsi="Arial"/>
          <w:sz w:val="15"/>
          <w:szCs w:val="15"/>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competition or regulatory concerns, prohibitions or a lack of permission from their customers or partners, we could lose access to required data and our products, and the development of new products, might become less effective. We could also become subject to increased legislative, regulatory or judicial restrictions or mandates on the collection, disclosure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Operational Risks</w:t>
      </w:r>
    </w:p>
    <w:p>
      <w:pPr>
        <w:spacing w:after="0" w:line="248"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207" w:lineRule="exact"/>
        <w:rPr>
          <w:sz w:val="20"/>
          <w:szCs w:val="20"/>
          <w:color w:val="auto"/>
        </w:rPr>
      </w:pPr>
    </w:p>
    <w:p>
      <w:pPr>
        <w:jc w:val="both"/>
        <w:ind w:firstLine="238"/>
        <w:spacing w:after="0" w:line="307" w:lineRule="auto"/>
        <w:rPr>
          <w:sz w:val="20"/>
          <w:szCs w:val="20"/>
          <w:color w:val="auto"/>
        </w:rPr>
      </w:pPr>
      <w:r>
        <w:rPr>
          <w:rFonts w:ascii="Arial" w:cs="Arial" w:eastAsia="Arial" w:hAnsi="Arial"/>
          <w:sz w:val="15"/>
          <w:szCs w:val="15"/>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in the past, and currently as a result of the COVID-19 pandemic, has produced substantial stress, volatility, illiquidity and disruption of global credit and other financial markets. The COVID-19 pandemic has adversely affected the global economy, leading to reduced consumer spending and lending activities and disruptions and volatility in the global capital markets. The pandemic has also caused shutdowns to businesses and cities worldwide and has disrupted supply chains, business operations, travel, and consumer confidence.</w:t>
      </w:r>
    </w:p>
    <w:p>
      <w:pPr>
        <w:spacing w:after="0" w:line="181" w:lineRule="exact"/>
        <w:rPr>
          <w:sz w:val="20"/>
          <w:szCs w:val="20"/>
          <w:color w:val="auto"/>
        </w:rPr>
      </w:pPr>
    </w:p>
    <w:p>
      <w:pPr>
        <w:jc w:val="both"/>
        <w:ind w:firstLine="238"/>
        <w:spacing w:after="0" w:line="249" w:lineRule="auto"/>
        <w:rPr>
          <w:sz w:val="20"/>
          <w:szCs w:val="20"/>
          <w:color w:val="auto"/>
        </w:rPr>
      </w:pPr>
      <w:r>
        <w:rPr>
          <w:rFonts w:ascii="Arial" w:cs="Arial" w:eastAsia="Arial" w:hAnsi="Arial"/>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238"/>
        <w:spacing w:after="0" w:line="266" w:lineRule="auto"/>
        <w:rPr>
          <w:sz w:val="20"/>
          <w:szCs w:val="20"/>
          <w:color w:val="auto"/>
        </w:rPr>
      </w:pPr>
      <w:r>
        <w:rPr>
          <w:rFonts w:ascii="Arial" w:cs="Arial" w:eastAsia="Arial" w:hAnsi="Arial"/>
          <w:sz w:val="17"/>
          <w:szCs w:val="17"/>
          <w:color w:val="auto"/>
        </w:rPr>
        <w:t>We are subject to risks and uncertainties associated with the United Kingdom’s withdrawal from the E.U., commonly referred to as “Brexit,” including implications for the free flow of labor and goods in the United Kingdom (“U.K.”) and the E.U. and other economic, financial, legal, tax and trade implications. Brexit could cause disruptions to and create uncertainty surrounding our business in the U.K., including affecting our relationships with our existing and future customers, suppliers and employees, which could have an adverse effect on our business, financial results and operations. Brexit has caused, and may continue to create, volatility in global stock markets and regional and global economic uncertainty, which may cause our customers to closely monitor their costs and reduce their spending budget on our products and services.</w:t>
      </w:r>
    </w:p>
    <w:p>
      <w:pPr>
        <w:spacing w:after="0" w:line="126" w:lineRule="exact"/>
        <w:rPr>
          <w:sz w:val="20"/>
          <w:szCs w:val="20"/>
          <w:color w:val="auto"/>
        </w:rPr>
      </w:pPr>
    </w:p>
    <w:p>
      <w:pPr>
        <w:jc w:val="both"/>
        <w:ind w:firstLine="198"/>
        <w:spacing w:after="0" w:line="249" w:lineRule="auto"/>
        <w:rPr>
          <w:sz w:val="20"/>
          <w:szCs w:val="20"/>
          <w:color w:val="auto"/>
        </w:rPr>
      </w:pPr>
      <w:r>
        <w:rPr>
          <w:rFonts w:ascii="Arial" w:cs="Arial" w:eastAsia="Arial" w:hAnsi="Arial"/>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In operations outside the U.S., we are subject to additional risks that may harm our business, financial condition or results of operations.</w:t>
      </w:r>
    </w:p>
    <w:p>
      <w:pPr>
        <w:spacing w:after="0" w:line="253" w:lineRule="exact"/>
        <w:rPr>
          <w:sz w:val="20"/>
          <w:szCs w:val="20"/>
          <w:color w:val="auto"/>
        </w:rPr>
      </w:pPr>
    </w:p>
    <w:p>
      <w:pPr>
        <w:jc w:val="both"/>
        <w:ind w:firstLine="158"/>
        <w:spacing w:after="0" w:line="317" w:lineRule="auto"/>
        <w:rPr>
          <w:sz w:val="20"/>
          <w:szCs w:val="20"/>
          <w:color w:val="auto"/>
        </w:rPr>
      </w:pPr>
      <w:r>
        <w:rPr>
          <w:rFonts w:ascii="Arial" w:cs="Arial" w:eastAsia="Arial" w:hAnsi="Arial"/>
          <w:sz w:val="15"/>
          <w:szCs w:val="15"/>
          <w:color w:val="auto"/>
        </w:rPr>
        <w:t>A growing portion of our revenues is derived from international sales. During fiscal 2020, 32%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71" w:lineRule="exact"/>
        <w:rPr>
          <w:sz w:val="20"/>
          <w:szCs w:val="20"/>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privacy and consumer protection laws and regulations;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enforcing contracts and collecting accounts receivable;</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tax rules or changes in tariffs and other trade barriers;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presence and acceptance of varying levels of business corruption in international markets;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terrorism, war, natural disasters and pandemics, including the COVID-19 pandemic; and</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30" w:lineRule="exact"/>
        <w:rPr>
          <w:sz w:val="20"/>
          <w:szCs w:val="20"/>
          <w:color w:val="auto"/>
        </w:rPr>
      </w:pPr>
    </w:p>
    <w:p>
      <w:pPr>
        <w:jc w:val="both"/>
        <w:ind w:firstLine="238"/>
        <w:spacing w:after="0" w:line="328" w:lineRule="auto"/>
        <w:rPr>
          <w:sz w:val="20"/>
          <w:szCs w:val="20"/>
          <w:color w:val="auto"/>
        </w:rPr>
      </w:pPr>
      <w:r>
        <w:rPr>
          <w:rFonts w:ascii="Arial" w:cs="Arial" w:eastAsia="Arial" w:hAnsi="Arial"/>
          <w:sz w:val="15"/>
          <w:szCs w:val="15"/>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64"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48" w:lineRule="exact"/>
        <w:rPr>
          <w:sz w:val="20"/>
          <w:szCs w:val="20"/>
          <w:color w:val="auto"/>
        </w:rPr>
      </w:pPr>
    </w:p>
    <w:p>
      <w:pPr>
        <w:jc w:val="both"/>
        <w:ind w:left="160"/>
        <w:spacing w:after="0" w:line="317"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71" w:lineRule="exact"/>
        <w:rPr>
          <w:sz w:val="20"/>
          <w:szCs w:val="20"/>
          <w:color w:val="auto"/>
        </w:rPr>
      </w:pPr>
    </w:p>
    <w:p>
      <w:pPr>
        <w:jc w:val="both"/>
        <w:ind w:firstLine="238"/>
        <w:spacing w:after="0" w:line="270"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203" w:lineRule="exact"/>
        <w:rPr>
          <w:sz w:val="20"/>
          <w:szCs w:val="20"/>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w:t>
      </w:r>
    </w:p>
    <w:p>
      <w:pPr>
        <w:spacing w:after="0" w:line="15" w:lineRule="exact"/>
        <w:rPr>
          <w:rFonts w:ascii="Arial" w:cs="Arial" w:eastAsia="Arial" w:hAnsi="Arial"/>
          <w:sz w:val="18"/>
          <w:szCs w:val="18"/>
          <w:color w:val="auto"/>
        </w:rPr>
      </w:pPr>
    </w:p>
    <w:p>
      <w:pPr>
        <w:ind w:left="560" w:hanging="317"/>
        <w:spacing w:after="0" w:line="244"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spacing w:after="0" w:line="1" w:lineRule="exact"/>
        <w:rPr>
          <w:rFonts w:ascii="Arial" w:cs="Arial" w:eastAsia="Arial" w:hAnsi="Arial"/>
          <w:sz w:val="18"/>
          <w:szCs w:val="18"/>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4" w:lineRule="exact"/>
        <w:rPr>
          <w:rFonts w:ascii="Arial" w:cs="Arial" w:eastAsia="Arial" w:hAnsi="Arial"/>
          <w:sz w:val="18"/>
          <w:szCs w:val="18"/>
          <w:color w:val="auto"/>
        </w:rPr>
      </w:pPr>
    </w:p>
    <w:p>
      <w:pPr>
        <w:jc w:val="both"/>
        <w:ind w:left="560" w:hanging="317"/>
        <w:spacing w:after="0" w:line="244"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the U.S. Health Insurance Portability and Accountability Act of 1996, as amended by the Health Information Technology for Economic and Clinical Health Act; the Cybersecurity Act of 2015; the U.S. Department of Commerce’s National Institute of Standards and Technology’s Cybersecurity Framework; the Clarifying Lawful Overseas Use of Data Act; and identity theft, file freezing, security breach notification and similar state privacy laws);</w:t>
      </w:r>
    </w:p>
    <w:p>
      <w:pPr>
        <w:spacing w:after="0" w:line="5" w:lineRule="exact"/>
        <w:rPr>
          <w:rFonts w:ascii="Arial" w:cs="Arial" w:eastAsia="Arial" w:hAnsi="Arial"/>
          <w:sz w:val="18"/>
          <w:szCs w:val="18"/>
          <w:color w:val="auto"/>
        </w:rPr>
      </w:pPr>
    </w:p>
    <w:p>
      <w:pPr>
        <w:ind w:left="560" w:hanging="317"/>
        <w:spacing w:after="0" w:line="211" w:lineRule="exact"/>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spacing w:after="0" w:line="1" w:lineRule="exact"/>
        <w:rPr>
          <w:rFonts w:ascii="Arial" w:cs="Arial" w:eastAsia="Arial" w:hAnsi="Arial"/>
          <w:sz w:val="18"/>
          <w:szCs w:val="18"/>
          <w:color w:val="auto"/>
        </w:rPr>
      </w:pPr>
    </w:p>
    <w:p>
      <w:pPr>
        <w:jc w:val="both"/>
        <w:ind w:left="560" w:hanging="317"/>
        <w:spacing w:after="0" w:line="244"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3" w:lineRule="exact"/>
        <w:rPr>
          <w:rFonts w:ascii="Arial" w:cs="Arial" w:eastAsia="Arial" w:hAnsi="Arial"/>
          <w:sz w:val="18"/>
          <w:szCs w:val="18"/>
          <w:color w:val="auto"/>
        </w:rPr>
      </w:pPr>
    </w:p>
    <w:p>
      <w:pPr>
        <w:ind w:left="560" w:hanging="317"/>
        <w:spacing w:after="0" w:line="244"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Telephone Consumer Protection Act and regulations promulgated thereunder);</w:t>
      </w:r>
    </w:p>
    <w:p>
      <w:pPr>
        <w:spacing w:after="0" w:line="1" w:lineRule="exact"/>
        <w:rPr>
          <w:rFonts w:ascii="Arial" w:cs="Arial" w:eastAsia="Arial" w:hAnsi="Arial"/>
          <w:sz w:val="18"/>
          <w:szCs w:val="18"/>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4" w:lineRule="exact"/>
        <w:rPr>
          <w:rFonts w:ascii="Arial" w:cs="Arial" w:eastAsia="Arial" w:hAnsi="Arial"/>
          <w:sz w:val="18"/>
          <w:szCs w:val="18"/>
          <w:color w:val="auto"/>
        </w:rPr>
      </w:pPr>
    </w:p>
    <w:p>
      <w:pPr>
        <w:jc w:val="both"/>
        <w:ind w:left="560" w:hanging="317"/>
        <w:spacing w:after="0" w:line="244"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2" w:lineRule="exact"/>
        <w:rPr>
          <w:rFonts w:ascii="Arial" w:cs="Arial" w:eastAsia="Arial" w:hAnsi="Arial"/>
          <w:sz w:val="18"/>
          <w:szCs w:val="18"/>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4" w:lineRule="exact"/>
        <w:rPr>
          <w:rFonts w:ascii="Arial" w:cs="Arial" w:eastAsia="Arial" w:hAnsi="Arial"/>
          <w:sz w:val="18"/>
          <w:szCs w:val="18"/>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4" w:lineRule="exact"/>
        <w:rPr>
          <w:rFonts w:ascii="Arial" w:cs="Arial" w:eastAsia="Arial" w:hAnsi="Arial"/>
          <w:sz w:val="18"/>
          <w:szCs w:val="18"/>
          <w:color w:val="auto"/>
        </w:rPr>
      </w:pPr>
    </w:p>
    <w:p>
      <w:pPr>
        <w:ind w:left="560" w:hanging="317"/>
        <w:spacing w:after="0" w:line="244"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w:t>
      </w:r>
    </w:p>
    <w:p>
      <w:pPr>
        <w:spacing w:after="0" w:line="1" w:lineRule="exact"/>
        <w:rPr>
          <w:rFonts w:ascii="Arial" w:cs="Arial" w:eastAsia="Arial" w:hAnsi="Arial"/>
          <w:sz w:val="18"/>
          <w:szCs w:val="18"/>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4" w:lineRule="exact"/>
        <w:rPr>
          <w:rFonts w:ascii="Arial" w:cs="Arial" w:eastAsia="Arial" w:hAnsi="Arial"/>
          <w:sz w:val="18"/>
          <w:szCs w:val="18"/>
          <w:color w:val="auto"/>
        </w:rPr>
      </w:pPr>
    </w:p>
    <w:p>
      <w:pPr>
        <w:ind w:left="560" w:hanging="31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4" w:lineRule="exact"/>
        <w:rPr>
          <w:rFonts w:ascii="Arial" w:cs="Arial" w:eastAsia="Arial" w:hAnsi="Arial"/>
          <w:sz w:val="18"/>
          <w:szCs w:val="18"/>
          <w:color w:val="auto"/>
        </w:rPr>
      </w:pPr>
    </w:p>
    <w:p>
      <w:pPr>
        <w:ind w:left="560" w:hanging="317"/>
        <w:spacing w:after="0" w:line="293" w:lineRule="auto"/>
        <w:tabs>
          <w:tab w:leader="none" w:pos="555"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 and</w:t>
      </w:r>
    </w:p>
    <w:p>
      <w:pPr>
        <w:spacing w:after="0" w:line="1" w:lineRule="exact"/>
        <w:rPr>
          <w:rFonts w:ascii="Arial" w:cs="Arial" w:eastAsia="Arial" w:hAnsi="Arial"/>
          <w:sz w:val="15"/>
          <w:szCs w:val="15"/>
          <w:color w:val="auto"/>
        </w:rPr>
      </w:pPr>
    </w:p>
    <w:p>
      <w:pPr>
        <w:ind w:left="560" w:hanging="317"/>
        <w:spacing w:after="0" w:line="249" w:lineRule="auto"/>
        <w:tabs>
          <w:tab w:leader="none" w:pos="5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 (e.g., Office of Foreign Asset Control sanctions, and Export Administration Regulations).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238"/>
        <w:spacing w:after="0" w:line="297" w:lineRule="auto"/>
        <w:rPr>
          <w:sz w:val="20"/>
          <w:szCs w:val="20"/>
          <w:color w:val="auto"/>
        </w:rPr>
      </w:pPr>
      <w:r>
        <w:rPr>
          <w:rFonts w:ascii="Arial" w:cs="Arial" w:eastAsia="Arial" w:hAnsi="Arial"/>
          <w:sz w:val="15"/>
          <w:szCs w:val="15"/>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GDPR became effective on May 25, 2018 and imposes, among other things, strict obligations and restrictions on the ability to collect, analyze and transfer European Union (“E.U.”) personal data, a requirement for prompt notice of data breaches in certain circumstances, and possible substantial fines for any violations (including possible fines for certain violations of up to the greater of 20 million Euros or 4% of total worldwide annual revenue). A decision in July 2020 by the Court of Justice of the European</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Union (</w:t>
      </w:r>
      <w:r>
        <w:rPr>
          <w:rFonts w:ascii="Arial" w:cs="Arial" w:eastAsia="Arial" w:hAnsi="Arial"/>
          <w:sz w:val="21"/>
          <w:szCs w:val="21"/>
          <w:i w:val="1"/>
          <w:iCs w:val="1"/>
          <w:color w:val="auto"/>
        </w:rPr>
        <w:t>i.e.</w:t>
      </w:r>
      <w:r>
        <w:rPr>
          <w:rFonts w:ascii="Arial" w:cs="Arial" w:eastAsia="Arial" w:hAnsi="Arial"/>
          <w:sz w:val="18"/>
          <w:szCs w:val="18"/>
          <w:color w:val="auto"/>
        </w:rPr>
        <w:t>, Schrems II), called into question certain data transfer mechanisms between the E.U. and the U.S. In June 2021, the European Commission issued new standard contractual clauses (“SCCs”) governing cross-border data transfers and data exchanges among controllers and processors, which reflect more recent data protection laws, such as the GDPR, and account for the analysis in the Schrems II decision. We will be required to transition to the new SCCs, which may involve interpretive issues and may have an adverse impact on cross-border transfers of personal data, may subject us to additional scrutiny from E.U. regulators or may increase our costs of compliance.</w:t>
      </w:r>
    </w:p>
    <w:p>
      <w:pPr>
        <w:spacing w:after="0" w:line="221" w:lineRule="exact"/>
        <w:rPr>
          <w:sz w:val="20"/>
          <w:szCs w:val="20"/>
          <w:color w:val="auto"/>
        </w:rPr>
      </w:pPr>
    </w:p>
    <w:p>
      <w:pPr>
        <w:jc w:val="both"/>
        <w:ind w:firstLine="238"/>
        <w:spacing w:after="0" w:line="249" w:lineRule="auto"/>
        <w:rPr>
          <w:sz w:val="20"/>
          <w:szCs w:val="20"/>
          <w:color w:val="auto"/>
        </w:rPr>
      </w:pPr>
      <w:r>
        <w:rPr>
          <w:rFonts w:ascii="Arial" w:cs="Arial" w:eastAsia="Arial" w:hAnsi="Arial"/>
          <w:sz w:val="18"/>
          <w:szCs w:val="18"/>
          <w:color w:val="auto"/>
        </w:rPr>
        <w:t>Brazil, India, South Africa, Japan, China, Israel, Canada, and several other countries have introduced and, in some cases, enacted, similar privacy and data security laws. The California Consumer Privacy Act of 2018 (“CCPA”) gives California residents certain privacy rights in the collection and disclosure of their personal information and requires businesses to make certain disclosures and take certain other acts in furtherance of those rights. A new privacy law, the California Privacy Rights Act, passed via a ballot referendum in November 2020, and will revise and expand the scope of the CCPA. Other U.S. states have considered and/or enacted similar privacy laws.</w:t>
      </w:r>
    </w:p>
    <w:p>
      <w:pPr>
        <w:spacing w:after="0" w:line="141" w:lineRule="exact"/>
        <w:rPr>
          <w:sz w:val="20"/>
          <w:szCs w:val="20"/>
          <w:color w:val="auto"/>
        </w:rPr>
      </w:pPr>
    </w:p>
    <w:p>
      <w:pPr>
        <w:jc w:val="both"/>
        <w:ind w:firstLine="238"/>
        <w:spacing w:after="0" w:line="266" w:lineRule="auto"/>
        <w:rPr>
          <w:sz w:val="20"/>
          <w:szCs w:val="20"/>
          <w:color w:val="auto"/>
        </w:rPr>
      </w:pPr>
      <w:r>
        <w:rPr>
          <w:rFonts w:ascii="Arial" w:cs="Arial" w:eastAsia="Arial" w:hAnsi="Arial"/>
          <w:sz w:val="17"/>
          <w:szCs w:val="17"/>
          <w:color w:val="auto"/>
        </w:rPr>
        <w:t>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205"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42"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214" w:lineRule="exact"/>
        <w:rPr>
          <w:sz w:val="20"/>
          <w:szCs w:val="20"/>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4" w:lineRule="exact"/>
        <w:rPr>
          <w:rFonts w:ascii="Arial" w:cs="Arial" w:eastAsia="Arial" w:hAnsi="Arial"/>
          <w:sz w:val="18"/>
          <w:szCs w:val="18"/>
          <w:color w:val="auto"/>
        </w:rPr>
      </w:pPr>
    </w:p>
    <w:p>
      <w:pPr>
        <w:ind w:left="640" w:hanging="317"/>
        <w:spacing w:after="0" w:line="249"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219"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48"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238"/>
        <w:spacing w:after="0" w:line="301" w:lineRule="auto"/>
        <w:rPr>
          <w:sz w:val="20"/>
          <w:szCs w:val="20"/>
          <w:color w:val="auto"/>
        </w:rPr>
      </w:pPr>
      <w:r>
        <w:rPr>
          <w:rFonts w:ascii="Arial" w:cs="Arial" w:eastAsia="Arial" w:hAnsi="Arial"/>
          <w:sz w:val="15"/>
          <w:szCs w:val="15"/>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our products typically ranges from 60 days to 18 months, which may be further extended as a result of COVID-19.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61"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207" w:lineRule="exact"/>
        <w:rPr>
          <w:sz w:val="20"/>
          <w:szCs w:val="20"/>
          <w:color w:val="auto"/>
        </w:rPr>
      </w:pPr>
    </w:p>
    <w:p>
      <w:pPr>
        <w:jc w:val="both"/>
        <w:ind w:firstLine="238"/>
        <w:spacing w:after="0" w:line="317" w:lineRule="auto"/>
        <w:rPr>
          <w:sz w:val="20"/>
          <w:szCs w:val="20"/>
          <w:color w:val="auto"/>
        </w:rPr>
      </w:pPr>
      <w:r>
        <w:rPr>
          <w:rFonts w:ascii="Arial" w:cs="Arial" w:eastAsia="Arial" w:hAnsi="Arial"/>
          <w:sz w:val="15"/>
          <w:szCs w:val="15"/>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42" w:lineRule="exact"/>
        <w:rPr>
          <w:sz w:val="20"/>
          <w:szCs w:val="20"/>
          <w:color w:val="auto"/>
        </w:rPr>
      </w:pPr>
    </w:p>
    <w:p>
      <w:pPr>
        <w:jc w:val="both"/>
        <w:ind w:firstLine="238"/>
        <w:spacing w:after="0" w:line="270" w:lineRule="auto"/>
        <w:rPr>
          <w:sz w:val="20"/>
          <w:szCs w:val="20"/>
          <w:color w:val="auto"/>
        </w:rPr>
      </w:pPr>
      <w:r>
        <w:rPr>
          <w:rFonts w:ascii="Arial" w:cs="Arial" w:eastAsia="Arial" w:hAnsi="Arial"/>
          <w:sz w:val="17"/>
          <w:szCs w:val="17"/>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w:t>
      </w:r>
    </w:p>
    <w:p>
      <w:pPr>
        <w:spacing w:after="0" w:line="203" w:lineRule="exact"/>
        <w:rPr>
          <w:sz w:val="20"/>
          <w:szCs w:val="20"/>
          <w:color w:val="auto"/>
        </w:rPr>
      </w:pPr>
    </w:p>
    <w:p>
      <w:pPr>
        <w:jc w:val="both"/>
        <w:ind w:firstLine="238"/>
        <w:spacing w:after="0" w:line="263" w:lineRule="auto"/>
        <w:rPr>
          <w:sz w:val="20"/>
          <w:szCs w:val="20"/>
          <w:color w:val="auto"/>
        </w:rPr>
      </w:pPr>
      <w:r>
        <w:rPr>
          <w:rFonts w:ascii="Arial" w:cs="Arial" w:eastAsia="Arial" w:hAnsi="Arial"/>
          <w:sz w:val="18"/>
          <w:szCs w:val="18"/>
          <w:color w:val="auto"/>
        </w:rPr>
        <w:t>After we complete an acquisition, the following factors could result in material charges and adversely affect our operating results and may adversely affect our cash flows:</w:t>
      </w:r>
    </w:p>
    <w:p>
      <w:pPr>
        <w:spacing w:after="0" w:line="207" w:lineRule="exact"/>
        <w:rPr>
          <w:sz w:val="20"/>
          <w:szCs w:val="20"/>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4" w:lineRule="exact"/>
        <w:rPr>
          <w:rFonts w:ascii="Arial" w:cs="Arial" w:eastAsia="Arial" w:hAnsi="Arial"/>
          <w:sz w:val="18"/>
          <w:szCs w:val="18"/>
          <w:color w:val="auto"/>
        </w:rPr>
      </w:pPr>
    </w:p>
    <w:p>
      <w:pPr>
        <w:jc w:val="both"/>
        <w:ind w:left="640" w:hanging="317"/>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2"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spacing w:after="0" w:line="1" w:lineRule="exact"/>
        <w:rPr>
          <w:rFonts w:ascii="Arial" w:cs="Arial" w:eastAsia="Arial" w:hAnsi="Arial"/>
          <w:sz w:val="18"/>
          <w:szCs w:val="18"/>
          <w:color w:val="auto"/>
        </w:rPr>
      </w:pPr>
    </w:p>
    <w:p>
      <w:pPr>
        <w:jc w:val="both"/>
        <w:ind w:left="640" w:hanging="317"/>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2"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30" w:lineRule="exact"/>
        <w:rPr>
          <w:sz w:val="20"/>
          <w:szCs w:val="20"/>
          <w:color w:val="auto"/>
        </w:rPr>
      </w:pPr>
    </w:p>
    <w:p>
      <w:pPr>
        <w:jc w:val="both"/>
        <w:ind w:firstLine="317"/>
        <w:spacing w:after="0" w:line="249"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(Part I, Item 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42" w:lineRule="exact"/>
        <w:rPr>
          <w:sz w:val="20"/>
          <w:szCs w:val="20"/>
          <w:color w:val="auto"/>
        </w:rPr>
      </w:pPr>
    </w:p>
    <w:p>
      <w:pPr>
        <w:jc w:val="both"/>
        <w:ind w:firstLine="238"/>
        <w:spacing w:after="0" w:line="317" w:lineRule="auto"/>
        <w:rPr>
          <w:sz w:val="20"/>
          <w:szCs w:val="20"/>
          <w:color w:val="auto"/>
        </w:rPr>
      </w:pPr>
      <w:r>
        <w:rPr>
          <w:rFonts w:ascii="Arial" w:cs="Arial" w:eastAsia="Arial" w:hAnsi="Arial"/>
          <w:sz w:val="15"/>
          <w:szCs w:val="15"/>
          <w:color w:val="auto"/>
        </w:rPr>
        <w:t>The market price of our common stock has been volatile and may continue to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4"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demand and competitive and other conditions in the consumer credit, banking and insurance industries;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domestic and international economic conditions</w:t>
      </w:r>
      <w:r>
        <w:rPr>
          <w:rFonts w:ascii="Arial" w:cs="Arial" w:eastAsia="Arial" w:hAnsi="Arial"/>
          <w:sz w:val="17"/>
          <w:szCs w:val="17"/>
          <w:color w:val="212529"/>
        </w:rPr>
        <w:t>, such as those which have occurred as a result of the COVID-19 pandemic;</w:t>
      </w:r>
    </w:p>
    <w:p>
      <w:pPr>
        <w:spacing w:after="0" w:line="15" w:lineRule="exact"/>
        <w:rPr>
          <w:rFonts w:ascii="Arial" w:cs="Arial" w:eastAsia="Arial" w:hAnsi="Arial"/>
          <w:sz w:val="17"/>
          <w:szCs w:val="17"/>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litigation or regulatory matters;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04" w:lineRule="exact"/>
        <w:rPr>
          <w:sz w:val="20"/>
          <w:szCs w:val="20"/>
          <w:color w:val="auto"/>
        </w:rPr>
      </w:pPr>
    </w:p>
    <w:p>
      <w:pPr>
        <w:jc w:val="both"/>
        <w:ind w:firstLine="238"/>
        <w:spacing w:after="0" w:line="317" w:lineRule="auto"/>
        <w:rPr>
          <w:sz w:val="20"/>
          <w:szCs w:val="20"/>
          <w:color w:val="auto"/>
        </w:rPr>
      </w:pPr>
      <w:r>
        <w:rPr>
          <w:rFonts w:ascii="Arial" w:cs="Arial" w:eastAsia="Arial" w:hAnsi="Arial"/>
          <w:sz w:val="15"/>
          <w:szCs w:val="15"/>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171"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207" w:lineRule="exact"/>
        <w:rPr>
          <w:sz w:val="20"/>
          <w:szCs w:val="20"/>
          <w:color w:val="auto"/>
        </w:rPr>
      </w:pPr>
    </w:p>
    <w:p>
      <w:pPr>
        <w:jc w:val="both"/>
        <w:ind w:firstLine="238"/>
        <w:spacing w:after="0" w:line="303" w:lineRule="auto"/>
        <w:rPr>
          <w:sz w:val="20"/>
          <w:szCs w:val="20"/>
          <w:color w:val="auto"/>
        </w:rPr>
      </w:pPr>
      <w:r>
        <w:rPr>
          <w:rFonts w:ascii="Arial" w:cs="Arial" w:eastAsia="Arial" w:hAnsi="Arial"/>
          <w:sz w:val="15"/>
          <w:szCs w:val="15"/>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86"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207" w:lineRule="exact"/>
        <w:rPr>
          <w:sz w:val="20"/>
          <w:szCs w:val="20"/>
          <w:color w:val="auto"/>
        </w:rPr>
      </w:pPr>
    </w:p>
    <w:p>
      <w:pPr>
        <w:jc w:val="both"/>
        <w:ind w:firstLine="238"/>
        <w:spacing w:after="0" w:line="266"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Maximum Dollar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87"/>
              </w:rPr>
              <w:t>Value of Shares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Shares Purchased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91"/>
              </w:rPr>
              <w:t>Price Paid</w:t>
            </w:r>
          </w:p>
        </w:tc>
        <w:tc>
          <w:tcPr>
            <w:tcW w:w="15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1"/>
              </w:rPr>
              <w:t xml:space="preserve">Purchased </w:t>
            </w:r>
            <w:r>
              <w:rPr>
                <w:rFonts w:ascii="Arial" w:cs="Arial" w:eastAsia="Arial" w:hAnsi="Arial"/>
                <w:sz w:val="16"/>
                <w:szCs w:val="16"/>
                <w:b w:val="1"/>
                <w:bCs w:val="1"/>
                <w:color w:val="auto"/>
                <w:w w:val="91"/>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per Share</w:t>
            </w:r>
          </w:p>
        </w:tc>
        <w:tc>
          <w:tcPr>
            <w:tcW w:w="15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5"/>
              </w:rPr>
              <w:t xml:space="preserve">or Programs </w:t>
            </w:r>
            <w:r>
              <w:rPr>
                <w:rFonts w:ascii="Arial" w:cs="Arial" w:eastAsia="Arial" w:hAnsi="Arial"/>
                <w:sz w:val="16"/>
                <w:szCs w:val="16"/>
                <w:b w:val="1"/>
                <w:bCs w:val="1"/>
                <w:color w:val="auto"/>
                <w:w w:val="95"/>
                <w:vertAlign w:val="superscript"/>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3"/>
              <w:spacing w:after="0" w:line="145" w:lineRule="exact"/>
              <w:rPr>
                <w:sz w:val="20"/>
                <w:szCs w:val="20"/>
                <w:color w:val="auto"/>
              </w:rPr>
            </w:pPr>
            <w:r>
              <w:rPr>
                <w:rFonts w:ascii="Arial" w:cs="Arial" w:eastAsia="Arial" w:hAnsi="Arial"/>
                <w:sz w:val="13"/>
                <w:szCs w:val="13"/>
                <w:b w:val="1"/>
                <w:bCs w:val="1"/>
                <w:color w:val="auto"/>
                <w:w w:val="93"/>
              </w:rPr>
              <w:t xml:space="preserve">Programs </w:t>
            </w:r>
            <w:r>
              <w:rPr>
                <w:rFonts w:ascii="Arial" w:cs="Arial" w:eastAsia="Arial" w:hAnsi="Arial"/>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1, 2021 through April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429,721,827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May 1, 2021 through May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70,322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493.57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395,172,728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2021 through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225,338,529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502.65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225,338,529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13836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85" w:lineRule="exact"/>
        <w:rPr>
          <w:sz w:val="20"/>
          <w:szCs w:val="20"/>
          <w:color w:val="auto"/>
        </w:rPr>
      </w:pPr>
    </w:p>
    <w:p>
      <w:pPr>
        <w:ind w:left="320" w:hanging="314"/>
        <w:spacing w:after="0" w:line="245"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4,167 shares delivered in satisfaction of the tax withholding obligations resulting from the vesting of restricted stock units held by employees during the quarter ended June 30, 2021.</w:t>
      </w:r>
    </w:p>
    <w:p>
      <w:pPr>
        <w:jc w:val="both"/>
        <w:ind w:left="320" w:hanging="314"/>
        <w:spacing w:after="0" w:line="230" w:lineRule="auto"/>
        <w:tabs>
          <w:tab w:leader="none" w:pos="3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July 2020,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On March 12, 2021, our Board of Directors approved a new stock repurchase program following the completion of the July 2020 program. This new program is open-ended and authorizes repurchases of shares of our common stock up to an aggregate cost of $500.0 million in the open market or in negotiated transactions. As part of the broader share repurchase program, we entered into an ASR Agreement with Wells Fargo on June 17, 2021 to repurchase $200.0 million of our common stock. Pursuant to the ASR Agreement, we paid $200.0 million to Wells Fargo and received an initial delivery of 319,400 shares of common stock, which approximated 80 percent of the total number of expected shares to be repurchased under the ASR Agreement. The final number of shares to be repurchased and the average price paid per share will be determined upon the expected settlement of the agreement during the fourth quarter of fiscal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jc w:val="center"/>
        <w:ind w:right="9300"/>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Other Information</w:t>
      </w:r>
    </w:p>
    <w:p>
      <w:pPr>
        <w:spacing w:after="0" w:line="150" w:lineRule="exact"/>
        <w:rPr>
          <w:sz w:val="20"/>
          <w:szCs w:val="20"/>
          <w:color w:val="auto"/>
        </w:rPr>
      </w:pPr>
    </w:p>
    <w:p>
      <w:pPr>
        <w:jc w:val="center"/>
        <w:ind w:right="92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108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 w:type="dxa"/>
            <w:vAlign w:val="bottom"/>
            <w:vMerge w:val="restart"/>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spacing w:after="0"/>
              <w:rPr>
                <w:sz w:val="17"/>
                <w:szCs w:val="17"/>
                <w:color w:val="auto"/>
              </w:rPr>
            </w:pPr>
          </w:p>
        </w:tc>
        <w:tc>
          <w:tcPr>
            <w:tcW w:w="9700" w:type="dxa"/>
            <w:vAlign w:val="bottom"/>
            <w:gridSpan w:val="12"/>
          </w:tcPr>
          <w:p>
            <w:pPr>
              <w:spacing w:after="0" w:line="205"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Composite Restated Certificate of Incorporation of Fair Isaac Corporation. (Incorporated by reference to Exhibit 3.2 to the Company’s</w:t>
              </w:r>
            </w:hyperlink>
          </w:p>
        </w:tc>
        <w:tc>
          <w:tcPr>
            <w:tcW w:w="0" w:type="dxa"/>
            <w:vAlign w:val="bottom"/>
          </w:tcPr>
          <w:p>
            <w:pPr>
              <w:spacing w:after="0"/>
              <w:rPr>
                <w:sz w:val="1"/>
                <w:szCs w:val="1"/>
                <w:color w:val="auto"/>
              </w:rPr>
            </w:pPr>
          </w:p>
        </w:tc>
      </w:tr>
      <w:tr>
        <w:trPr>
          <w:trHeight w:val="98"/>
        </w:trPr>
        <w:tc>
          <w:tcPr>
            <w:tcW w:w="4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840" w:type="dxa"/>
            <w:vAlign w:val="bottom"/>
            <w:tcBorders>
              <w:top w:val="single" w:sz="8" w:color="0000FF"/>
            </w:tcBorders>
            <w:gridSpan w:val="7"/>
            <w:vMerge w:val="restart"/>
          </w:tcPr>
          <w:p>
            <w:pPr>
              <w:spacing w:after="0" w:line="152" w:lineRule="exact"/>
              <w:rPr>
                <w:rFonts w:ascii="Arial" w:cs="Arial" w:eastAsia="Arial" w:hAnsi="Arial"/>
                <w:sz w:val="17"/>
                <w:szCs w:val="17"/>
                <w:color w:val="0000FF"/>
                <w:w w:val="93"/>
              </w:rPr>
            </w:pPr>
            <w:hyperlink r:id="rId86">
              <w:r>
                <w:rPr>
                  <w:rFonts w:ascii="Arial" w:cs="Arial" w:eastAsia="Arial" w:hAnsi="Arial"/>
                  <w:sz w:val="17"/>
                  <w:szCs w:val="17"/>
                  <w:color w:val="0000FF"/>
                  <w:w w:val="93"/>
                </w:rPr>
                <w:t>Form 10-Q for the quarter ended December 31, 2009).</w:t>
              </w:r>
            </w:hyperlink>
          </w:p>
        </w:tc>
        <w:tc>
          <w:tcPr>
            <w:tcW w:w="5620" w:type="dxa"/>
            <w:vAlign w:val="bottom"/>
            <w:tcBorders>
              <w:top w:val="single" w:sz="8" w:color="0000FF"/>
            </w:tcBorders>
            <w:gridSpan w:val="4"/>
            <w:vMerge w:val="restart"/>
          </w:tcPr>
          <w:p>
            <w:pPr>
              <w:spacing w:after="0"/>
              <w:rPr>
                <w:sz w:val="8"/>
                <w:szCs w:val="8"/>
                <w:color w:val="auto"/>
              </w:rPr>
            </w:pPr>
          </w:p>
        </w:tc>
        <w:tc>
          <w:tcPr>
            <w:tcW w:w="2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40" w:type="dxa"/>
            <w:vAlign w:val="bottom"/>
            <w:tcBorders>
              <w:bottom w:val="single" w:sz="8" w:color="0000FF"/>
            </w:tcBorders>
            <w:gridSpan w:val="7"/>
            <w:vMerge w:val="continue"/>
          </w:tcPr>
          <w:p>
            <w:pPr>
              <w:spacing w:after="0"/>
              <w:rPr>
                <w:sz w:val="4"/>
                <w:szCs w:val="4"/>
                <w:color w:val="auto"/>
              </w:rPr>
            </w:pPr>
          </w:p>
        </w:tc>
        <w:tc>
          <w:tcPr>
            <w:tcW w:w="5620" w:type="dxa"/>
            <w:vAlign w:val="bottom"/>
            <w:gridSpan w:val="4"/>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60" w:type="dxa"/>
            <w:vAlign w:val="bottom"/>
            <w:gridSpan w:val="2"/>
            <w:vMerge w:val="restart"/>
          </w:tcPr>
          <w:p>
            <w:pPr>
              <w:jc w:val="center"/>
              <w:ind w:left="372"/>
              <w:spacing w:after="0"/>
              <w:rPr>
                <w:sz w:val="20"/>
                <w:szCs w:val="20"/>
                <w:color w:val="auto"/>
              </w:rPr>
            </w:pPr>
            <w:r>
              <w:rPr>
                <w:rFonts w:ascii="Arial" w:cs="Arial" w:eastAsia="Arial" w:hAnsi="Arial"/>
                <w:sz w:val="18"/>
                <w:szCs w:val="18"/>
                <w:color w:val="auto"/>
                <w:w w:val="87"/>
              </w:rPr>
              <w:t>3.2</w:t>
            </w:r>
          </w:p>
        </w:tc>
        <w:tc>
          <w:tcPr>
            <w:tcW w:w="580" w:type="dxa"/>
            <w:vAlign w:val="bottom"/>
          </w:tcPr>
          <w:p>
            <w:pPr>
              <w:spacing w:after="0"/>
              <w:rPr>
                <w:sz w:val="22"/>
                <w:szCs w:val="22"/>
                <w:color w:val="auto"/>
              </w:rPr>
            </w:pPr>
          </w:p>
        </w:tc>
        <w:tc>
          <w:tcPr>
            <w:tcW w:w="9700" w:type="dxa"/>
            <w:vAlign w:val="bottom"/>
            <w:gridSpan w:val="12"/>
          </w:tcPr>
          <w:p>
            <w:pPr>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By-laws of Fair Isaac Corporation. (Incorporated by reference to Exhibit 3.1 to the Company’s Form 10-Q for the quarter ended</w:t>
              </w:r>
            </w:hyperlink>
          </w:p>
        </w:tc>
        <w:tc>
          <w:tcPr>
            <w:tcW w:w="0" w:type="dxa"/>
            <w:vAlign w:val="bottom"/>
          </w:tcPr>
          <w:p>
            <w:pPr>
              <w:spacing w:after="0"/>
              <w:rPr>
                <w:sz w:val="1"/>
                <w:szCs w:val="1"/>
                <w:color w:val="auto"/>
              </w:rPr>
            </w:pPr>
          </w:p>
        </w:tc>
      </w:tr>
      <w:tr>
        <w:trPr>
          <w:trHeight w:val="98"/>
        </w:trPr>
        <w:tc>
          <w:tcPr>
            <w:tcW w:w="9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9000" w:type="dxa"/>
            <w:vAlign w:val="bottom"/>
            <w:tcBorders>
              <w:top w:val="single" w:sz="8" w:color="0000FF"/>
            </w:tcBorders>
            <w:gridSpan w:val="10"/>
            <w:vMerge w:val="restart"/>
          </w:tcPr>
          <w:p>
            <w:pPr>
              <w:spacing w:after="0" w:line="152" w:lineRule="exact"/>
              <w:rPr>
                <w:rFonts w:ascii="Arial" w:cs="Arial" w:eastAsia="Arial" w:hAnsi="Arial"/>
                <w:sz w:val="17"/>
                <w:szCs w:val="17"/>
                <w:color w:val="0000FF"/>
              </w:rPr>
            </w:pPr>
            <w:hyperlink r:id="rId87">
              <w:r>
                <w:rPr>
                  <w:rFonts w:ascii="Arial" w:cs="Arial" w:eastAsia="Arial" w:hAnsi="Arial"/>
                  <w:sz w:val="17"/>
                  <w:szCs w:val="17"/>
                  <w:color w:val="0000FF"/>
                </w:rPr>
                <w:t>December 31, 2009).</w:t>
              </w:r>
            </w:hyperlink>
          </w:p>
        </w:tc>
        <w:tc>
          <w:tcPr>
            <w:tcW w:w="70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0" w:type="dxa"/>
            <w:vAlign w:val="bottom"/>
            <w:gridSpan w:val="10"/>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60" w:type="dxa"/>
            <w:vAlign w:val="bottom"/>
            <w:gridSpan w:val="2"/>
          </w:tcPr>
          <w:p>
            <w:pPr>
              <w:jc w:val="center"/>
              <w:ind w:left="392"/>
              <w:spacing w:after="0"/>
              <w:rPr>
                <w:sz w:val="20"/>
                <w:szCs w:val="20"/>
                <w:color w:val="auto"/>
              </w:rPr>
            </w:pPr>
            <w:r>
              <w:rPr>
                <w:rFonts w:ascii="Arial" w:cs="Arial" w:eastAsia="Arial" w:hAnsi="Arial"/>
                <w:sz w:val="18"/>
                <w:szCs w:val="18"/>
                <w:color w:val="auto"/>
                <w:w w:val="93"/>
              </w:rPr>
              <w:t>31.1 *</w:t>
            </w:r>
          </w:p>
        </w:tc>
        <w:tc>
          <w:tcPr>
            <w:tcW w:w="580" w:type="dxa"/>
            <w:vAlign w:val="bottom"/>
          </w:tcPr>
          <w:p>
            <w:pPr>
              <w:spacing w:after="0"/>
              <w:rPr>
                <w:sz w:val="22"/>
                <w:szCs w:val="22"/>
                <w:color w:val="auto"/>
              </w:rPr>
            </w:pPr>
          </w:p>
        </w:tc>
        <w:tc>
          <w:tcPr>
            <w:tcW w:w="34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Rule 13a-14(a)/15d-14(a) Certifications of CEO.</w:t>
              </w:r>
            </w:hyperlink>
          </w:p>
        </w:tc>
        <w:tc>
          <w:tcPr>
            <w:tcW w:w="62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60" w:type="dxa"/>
            <w:vAlign w:val="bottom"/>
            <w:gridSpan w:val="2"/>
          </w:tcPr>
          <w:p>
            <w:pPr>
              <w:jc w:val="center"/>
              <w:ind w:left="392"/>
              <w:spacing w:after="0"/>
              <w:rPr>
                <w:sz w:val="20"/>
                <w:szCs w:val="20"/>
                <w:color w:val="auto"/>
              </w:rPr>
            </w:pPr>
            <w:r>
              <w:rPr>
                <w:rFonts w:ascii="Arial" w:cs="Arial" w:eastAsia="Arial" w:hAnsi="Arial"/>
                <w:sz w:val="18"/>
                <w:szCs w:val="18"/>
                <w:color w:val="auto"/>
                <w:w w:val="93"/>
              </w:rPr>
              <w:t>31.2 *</w:t>
            </w:r>
          </w:p>
        </w:tc>
        <w:tc>
          <w:tcPr>
            <w:tcW w:w="580" w:type="dxa"/>
            <w:vAlign w:val="bottom"/>
          </w:tcPr>
          <w:p>
            <w:pPr>
              <w:spacing w:after="0"/>
              <w:rPr>
                <w:sz w:val="22"/>
                <w:szCs w:val="22"/>
                <w:color w:val="auto"/>
              </w:rPr>
            </w:pPr>
          </w:p>
        </w:tc>
        <w:tc>
          <w:tcPr>
            <w:tcW w:w="9700" w:type="dxa"/>
            <w:vAlign w:val="bottom"/>
            <w:gridSpan w:val="1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Rule 13a-14(a)/15d-14(a) Certifications of CFO.</w:t>
              </w:r>
            </w:hyperlink>
          </w:p>
        </w:tc>
        <w:tc>
          <w:tcPr>
            <w:tcW w:w="0" w:type="dxa"/>
            <w:vAlign w:val="bottom"/>
          </w:tcPr>
          <w:p>
            <w:pPr>
              <w:spacing w:after="0"/>
              <w:rPr>
                <w:sz w:val="1"/>
                <w:szCs w:val="1"/>
                <w:color w:val="auto"/>
              </w:rPr>
            </w:pPr>
          </w:p>
        </w:tc>
      </w:tr>
      <w:tr>
        <w:trPr>
          <w:trHeight w:val="257"/>
        </w:trPr>
        <w:tc>
          <w:tcPr>
            <w:tcW w:w="960" w:type="dxa"/>
            <w:vAlign w:val="bottom"/>
            <w:gridSpan w:val="2"/>
          </w:tcPr>
          <w:p>
            <w:pPr>
              <w:jc w:val="center"/>
              <w:ind w:left="392"/>
              <w:spacing w:after="0"/>
              <w:rPr>
                <w:sz w:val="20"/>
                <w:szCs w:val="20"/>
                <w:color w:val="auto"/>
              </w:rPr>
            </w:pPr>
            <w:r>
              <w:rPr>
                <w:rFonts w:ascii="Arial" w:cs="Arial" w:eastAsia="Arial" w:hAnsi="Arial"/>
                <w:sz w:val="18"/>
                <w:szCs w:val="18"/>
                <w:color w:val="auto"/>
                <w:w w:val="93"/>
              </w:rPr>
              <w:t>32.1 *</w:t>
            </w:r>
          </w:p>
        </w:tc>
        <w:tc>
          <w:tcPr>
            <w:tcW w:w="580" w:type="dxa"/>
            <w:vAlign w:val="bottom"/>
          </w:tcPr>
          <w:p>
            <w:pPr>
              <w:spacing w:after="0"/>
              <w:rPr>
                <w:sz w:val="22"/>
                <w:szCs w:val="22"/>
                <w:color w:val="auto"/>
              </w:rPr>
            </w:pPr>
          </w:p>
        </w:tc>
        <w:tc>
          <w:tcPr>
            <w:tcW w:w="25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Section 1350 Certification of CEO.</w:t>
              </w:r>
            </w:hyperlink>
          </w:p>
        </w:tc>
        <w:tc>
          <w:tcPr>
            <w:tcW w:w="920" w:type="dxa"/>
            <w:vAlign w:val="bottom"/>
            <w:tcBorders>
              <w:top w:val="single" w:sz="8" w:color="0000FF"/>
            </w:tcBorders>
          </w:tcPr>
          <w:p>
            <w:pPr>
              <w:spacing w:after="0"/>
              <w:rPr>
                <w:sz w:val="22"/>
                <w:szCs w:val="22"/>
                <w:color w:val="auto"/>
              </w:rPr>
            </w:pPr>
          </w:p>
        </w:tc>
        <w:tc>
          <w:tcPr>
            <w:tcW w:w="62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60" w:type="dxa"/>
            <w:vAlign w:val="bottom"/>
            <w:gridSpan w:val="2"/>
          </w:tcPr>
          <w:p>
            <w:pPr>
              <w:jc w:val="center"/>
              <w:ind w:left="392"/>
              <w:spacing w:after="0"/>
              <w:rPr>
                <w:sz w:val="20"/>
                <w:szCs w:val="20"/>
                <w:color w:val="auto"/>
              </w:rPr>
            </w:pPr>
            <w:r>
              <w:rPr>
                <w:rFonts w:ascii="Arial" w:cs="Arial" w:eastAsia="Arial" w:hAnsi="Arial"/>
                <w:sz w:val="18"/>
                <w:szCs w:val="18"/>
                <w:color w:val="auto"/>
                <w:w w:val="93"/>
              </w:rPr>
              <w:t>32.2 *</w:t>
            </w:r>
          </w:p>
        </w:tc>
        <w:tc>
          <w:tcPr>
            <w:tcW w:w="580" w:type="dxa"/>
            <w:vAlign w:val="bottom"/>
          </w:tcPr>
          <w:p>
            <w:pPr>
              <w:spacing w:after="0"/>
              <w:rPr>
                <w:sz w:val="22"/>
                <w:szCs w:val="22"/>
                <w:color w:val="auto"/>
              </w:rPr>
            </w:pPr>
          </w:p>
        </w:tc>
        <w:tc>
          <w:tcPr>
            <w:tcW w:w="248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Section 1350 Certification of CFO.</w:t>
              </w:r>
            </w:hyperlink>
          </w:p>
        </w:tc>
        <w:tc>
          <w:tcPr>
            <w:tcW w:w="72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15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101.INS *</w:t>
            </w:r>
          </w:p>
        </w:tc>
        <w:tc>
          <w:tcPr>
            <w:tcW w:w="970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7"/>
        </w:trPr>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101.SCH *</w:t>
            </w:r>
          </w:p>
        </w:tc>
        <w:tc>
          <w:tcPr>
            <w:tcW w:w="97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7"/>
        </w:trPr>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101.CAL *</w:t>
            </w:r>
          </w:p>
        </w:tc>
        <w:tc>
          <w:tcPr>
            <w:tcW w:w="97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7"/>
        </w:trPr>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101.DEF *</w:t>
            </w:r>
          </w:p>
        </w:tc>
        <w:tc>
          <w:tcPr>
            <w:tcW w:w="97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7"/>
        </w:trPr>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101.LAB *</w:t>
            </w:r>
          </w:p>
        </w:tc>
        <w:tc>
          <w:tcPr>
            <w:tcW w:w="97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7"/>
        </w:trPr>
        <w:tc>
          <w:tcPr>
            <w:tcW w:w="15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101.PRE *</w:t>
            </w:r>
          </w:p>
        </w:tc>
        <w:tc>
          <w:tcPr>
            <w:tcW w:w="97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7"/>
        </w:trPr>
        <w:tc>
          <w:tcPr>
            <w:tcW w:w="960" w:type="dxa"/>
            <w:vAlign w:val="bottom"/>
            <w:gridSpan w:val="2"/>
          </w:tcPr>
          <w:p>
            <w:pPr>
              <w:jc w:val="center"/>
              <w:ind w:left="392"/>
              <w:spacing w:after="0"/>
              <w:rPr>
                <w:sz w:val="20"/>
                <w:szCs w:val="20"/>
                <w:color w:val="auto"/>
              </w:rPr>
            </w:pPr>
            <w:r>
              <w:rPr>
                <w:rFonts w:ascii="Arial" w:cs="Arial" w:eastAsia="Arial" w:hAnsi="Arial"/>
                <w:sz w:val="18"/>
                <w:szCs w:val="18"/>
                <w:color w:val="auto"/>
                <w:w w:val="95"/>
              </w:rPr>
              <w:t>104 *</w:t>
            </w:r>
          </w:p>
        </w:tc>
        <w:tc>
          <w:tcPr>
            <w:tcW w:w="580" w:type="dxa"/>
            <w:vAlign w:val="bottom"/>
          </w:tcPr>
          <w:p>
            <w:pPr>
              <w:spacing w:after="0"/>
              <w:rPr>
                <w:sz w:val="24"/>
                <w:szCs w:val="24"/>
                <w:color w:val="auto"/>
              </w:rPr>
            </w:pPr>
          </w:p>
        </w:tc>
        <w:tc>
          <w:tcPr>
            <w:tcW w:w="970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12"/>
        </w:trPr>
        <w:tc>
          <w:tcPr>
            <w:tcW w:w="1540" w:type="dxa"/>
            <w:vAlign w:val="bottom"/>
            <w:tcBorders>
              <w:bottom w:val="single" w:sz="8" w:color="auto"/>
            </w:tcBorders>
            <w:gridSpan w:val="3"/>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540" w:type="dxa"/>
            <w:vAlign w:val="bottom"/>
            <w:gridSpan w:val="3"/>
          </w:tcPr>
          <w:p>
            <w:pPr>
              <w:ind w:left="20"/>
              <w:spacing w:after="0"/>
              <w:rPr>
                <w:sz w:val="20"/>
                <w:szCs w:val="20"/>
                <w:color w:val="auto"/>
              </w:rPr>
            </w:pPr>
            <w:r>
              <w:rPr>
                <w:rFonts w:ascii="Arial" w:cs="Arial" w:eastAsia="Arial" w:hAnsi="Arial"/>
                <w:sz w:val="18"/>
                <w:szCs w:val="18"/>
                <w:color w:val="auto"/>
              </w:rPr>
              <w:t>*  Filed herewith.</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gridSpan w:val="8"/>
          </w:tcPr>
          <w:p>
            <w:pPr>
              <w:ind w:left="4000"/>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436"/>
        <w:spacing w:after="0" w:line="26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FAIR ISAAC CORPORATION</w:t>
      </w:r>
    </w:p>
    <w:p>
      <w:pPr>
        <w:spacing w:after="0" w:line="28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2021</w:t>
      </w:r>
    </w:p>
    <w:p>
      <w:pPr>
        <w:spacing w:after="0" w:line="282" w:lineRule="exact"/>
        <w:rPr>
          <w:sz w:val="20"/>
          <w:szCs w:val="20"/>
          <w:color w:val="auto"/>
        </w:rPr>
      </w:pPr>
    </w:p>
    <w:tbl>
      <w:tblPr>
        <w:tblLayout w:type="fixed"/>
        <w:tblInd w:w="530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I. MCLAUGHLIN</w:t>
            </w:r>
          </w:p>
        </w:tc>
      </w:tr>
      <w:tr>
        <w:trPr>
          <w:trHeight w:val="217"/>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Michael I. McLaughlin</w:t>
            </w:r>
          </w:p>
        </w:tc>
      </w:tr>
      <w:tr>
        <w:trPr>
          <w:trHeight w:val="224"/>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 Chief Financial Officer</w:t>
            </w:r>
          </w:p>
        </w:tc>
      </w:tr>
      <w:tr>
        <w:trPr>
          <w:trHeight w:val="224"/>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0"/>
              </w:rPr>
              <w:t>(for Registrant as duly authorized officer and</w:t>
            </w:r>
          </w:p>
        </w:tc>
      </w:tr>
      <w:tr>
        <w:trPr>
          <w:trHeight w:val="224"/>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3"/>
              </w:rPr>
              <w:t>as Principal Financial Officer)</w:t>
            </w:r>
          </w:p>
        </w:tc>
      </w:tr>
    </w:tbl>
    <w:p>
      <w:pPr>
        <w:spacing w:after="0" w:line="26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2021</w:t>
      </w:r>
    </w:p>
    <w:p>
      <w:pPr>
        <w:spacing w:after="0" w:line="282" w:lineRule="exact"/>
        <w:rPr>
          <w:sz w:val="20"/>
          <w:szCs w:val="20"/>
          <w:color w:val="auto"/>
        </w:rPr>
      </w:pPr>
    </w:p>
    <w:tbl>
      <w:tblPr>
        <w:tblLayout w:type="fixed"/>
        <w:tblInd w:w="530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S. LEONARD</w:t>
            </w:r>
          </w:p>
        </w:tc>
      </w:tr>
      <w:tr>
        <w:trPr>
          <w:trHeight w:val="217"/>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0"/>
              </w:rPr>
              <w:t>Michael S. Leonard</w:t>
            </w:r>
          </w:p>
        </w:tc>
      </w:tr>
      <w:tr>
        <w:trPr>
          <w:trHeight w:val="173"/>
        </w:trPr>
        <w:tc>
          <w:tcPr>
            <w:tcW w:w="520" w:type="dxa"/>
            <w:vAlign w:val="bottom"/>
          </w:tcPr>
          <w:p>
            <w:pPr>
              <w:spacing w:after="0"/>
              <w:rPr>
                <w:sz w:val="15"/>
                <w:szCs w:val="15"/>
                <w:color w:val="auto"/>
              </w:rPr>
            </w:pPr>
          </w:p>
        </w:tc>
        <w:tc>
          <w:tcPr>
            <w:tcW w:w="5380" w:type="dxa"/>
            <w:vAlign w:val="bottom"/>
          </w:tcPr>
          <w:p>
            <w:pPr>
              <w:jc w:val="center"/>
              <w:spacing w:after="0" w:line="173" w:lineRule="exact"/>
              <w:rPr>
                <w:sz w:val="20"/>
                <w:szCs w:val="20"/>
                <w:color w:val="auto"/>
              </w:rPr>
            </w:pPr>
            <w:r>
              <w:rPr>
                <w:rFonts w:ascii="Arial" w:cs="Arial" w:eastAsia="Arial" w:hAnsi="Arial"/>
                <w:sz w:val="18"/>
                <w:szCs w:val="18"/>
                <w:i w:val="1"/>
                <w:iCs w:val="1"/>
                <w:color w:val="auto"/>
                <w:w w:val="89"/>
              </w:rPr>
              <w:t>Vice President and Chief Accounting Officer</w:t>
            </w:r>
          </w:p>
        </w:tc>
      </w:tr>
      <w:tr>
        <w:trPr>
          <w:trHeight w:val="223"/>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7"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23"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41" w:lineRule="exact"/>
        <w:rPr>
          <w:rFonts w:ascii="Arial" w:cs="Arial" w:eastAsia="Arial" w:hAnsi="Arial"/>
          <w:sz w:val="18"/>
          <w:szCs w:val="18"/>
          <w:color w:val="auto"/>
        </w:rPr>
      </w:pPr>
    </w:p>
    <w:p>
      <w:pPr>
        <w:ind w:left="320" w:right="200" w:hanging="314"/>
        <w:spacing w:after="0" w:line="364"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320" w:right="640" w:hanging="314"/>
        <w:spacing w:after="0" w:line="292"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140" w:hanging="314"/>
        <w:spacing w:after="0" w:line="25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640" w:right="160" w:hanging="317"/>
        <w:spacing w:after="0" w:line="254" w:lineRule="auto"/>
        <w:tabs>
          <w:tab w:leader="none" w:pos="63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640" w:right="160" w:hanging="317"/>
        <w:spacing w:after="0" w:line="254" w:lineRule="auto"/>
        <w:tabs>
          <w:tab w:leader="none" w:pos="6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right="200" w:hanging="317"/>
        <w:spacing w:after="0" w:line="292" w:lineRule="auto"/>
        <w:tabs>
          <w:tab w:leader="none" w:pos="631"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640" w:right="20" w:hanging="317"/>
        <w:spacing w:after="0" w:line="254" w:lineRule="auto"/>
        <w:tabs>
          <w:tab w:leader="none" w:pos="6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320" w:right="580" w:hanging="314"/>
        <w:spacing w:after="0" w:line="364"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640" w:right="140" w:hanging="317"/>
        <w:spacing w:after="0" w:line="263" w:lineRule="auto"/>
        <w:tabs>
          <w:tab w:leader="none" w:pos="63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6" w:lineRule="exact"/>
        <w:rPr>
          <w:rFonts w:ascii="Arial" w:cs="Arial" w:eastAsia="Arial" w:hAnsi="Arial"/>
          <w:sz w:val="18"/>
          <w:szCs w:val="18"/>
          <w:color w:val="auto"/>
        </w:rPr>
      </w:pPr>
    </w:p>
    <w:p>
      <w:pPr>
        <w:ind w:left="640" w:right="200" w:hanging="317"/>
        <w:spacing w:after="0" w:line="263" w:lineRule="auto"/>
        <w:tabs>
          <w:tab w:leader="none" w:pos="6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666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42"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41" w:lineRule="exact"/>
        <w:rPr>
          <w:rFonts w:ascii="Arial" w:cs="Arial" w:eastAsia="Arial" w:hAnsi="Arial"/>
          <w:sz w:val="18"/>
          <w:szCs w:val="18"/>
          <w:color w:val="auto"/>
        </w:rPr>
      </w:pPr>
    </w:p>
    <w:p>
      <w:pPr>
        <w:ind w:left="320" w:right="200" w:hanging="314"/>
        <w:spacing w:after="0" w:line="364"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320" w:right="640" w:hanging="314"/>
        <w:spacing w:after="0" w:line="292"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140" w:hanging="314"/>
        <w:spacing w:after="0" w:line="254"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640" w:right="160" w:hanging="317"/>
        <w:spacing w:after="0" w:line="254" w:lineRule="auto"/>
        <w:tabs>
          <w:tab w:leader="none" w:pos="6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640" w:right="160" w:hanging="317"/>
        <w:spacing w:after="0" w:line="254" w:lineRule="auto"/>
        <w:tabs>
          <w:tab w:leader="none" w:pos="6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right="200" w:hanging="317"/>
        <w:spacing w:after="0" w:line="292" w:lineRule="auto"/>
        <w:tabs>
          <w:tab w:leader="none" w:pos="631"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640" w:right="20" w:hanging="317"/>
        <w:spacing w:after="0" w:line="254" w:lineRule="auto"/>
        <w:tabs>
          <w:tab w:leader="none" w:pos="6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320" w:right="580" w:hanging="314"/>
        <w:spacing w:after="0" w:line="364"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640" w:right="140" w:hanging="317"/>
        <w:spacing w:after="0" w:line="263" w:lineRule="auto"/>
        <w:tabs>
          <w:tab w:leader="none" w:pos="6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6" w:lineRule="exact"/>
        <w:rPr>
          <w:rFonts w:ascii="Arial" w:cs="Arial" w:eastAsia="Arial" w:hAnsi="Arial"/>
          <w:sz w:val="18"/>
          <w:szCs w:val="18"/>
          <w:color w:val="auto"/>
        </w:rPr>
      </w:pPr>
    </w:p>
    <w:p>
      <w:pPr>
        <w:ind w:left="640" w:right="200" w:hanging="317"/>
        <w:spacing w:after="0" w:line="263" w:lineRule="auto"/>
        <w:tabs>
          <w:tab w:leader="none" w:pos="6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666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I. McLaughlin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4"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Date:   August 3, 2021</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LANSING</w:t>
            </w:r>
          </w:p>
        </w:tc>
      </w:tr>
      <w:tr>
        <w:trPr>
          <w:trHeight w:val="217"/>
        </w:trPr>
        <w:tc>
          <w:tcPr>
            <w:tcW w:w="50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William J. Lansing</w:t>
            </w:r>
          </w:p>
        </w:tc>
      </w:tr>
      <w:tr>
        <w:trPr>
          <w:trHeight w:val="224"/>
        </w:trPr>
        <w:tc>
          <w:tcPr>
            <w:tcW w:w="502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4"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Date:   August 3, 2021</w:t>
            </w: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I. MCLAUGHLIN</w:t>
            </w:r>
          </w:p>
        </w:tc>
      </w:tr>
      <w:tr>
        <w:trPr>
          <w:trHeight w:val="217"/>
        </w:trPr>
        <w:tc>
          <w:tcPr>
            <w:tcW w:w="49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Michael I. McLaughlin</w:t>
            </w:r>
          </w:p>
        </w:tc>
      </w:tr>
      <w:tr>
        <w:trPr>
          <w:trHeight w:val="224"/>
        </w:trPr>
        <w:tc>
          <w:tcPr>
            <w:tcW w:w="49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Roman"/>
      <w:start w:val="3"/>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6" Type="http://schemas.openxmlformats.org/officeDocument/2006/relationships/hyperlink" Target="http://www.sec.gov/Archives/edgar/data/814547/000095012310009970/c56194exv3w2.htm" TargetMode="External"/><Relationship Id="rId87" Type="http://schemas.openxmlformats.org/officeDocument/2006/relationships/hyperlink" Target="http://www.sec.gov/Archives/edgar/data/814547/000095012310009970/c56194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2021-08-03T16:10:30Z</dcterms:created>
  <dcterms:modified xsi:type="dcterms:W3CDTF">2021-08-03T16:10:30Z</dcterms:modified>
</cp:coreProperties>
</file>