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erif" w:hAnsi="Times New Roman;serif"/>
          <w:b/>
          <w:color w:val="000000"/>
          <w:sz w:val="20"/>
        </w:rPr>
        <w:t>Commission File Number 1-11689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Fair Isaac Corporation</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08" w:type="dxa"/>
        <w:jc w:val="left"/>
        <w:tblInd w:w="0" w:type="dxa"/>
        <w:tblLayout w:type="fixed"/>
        <w:tblCellMar>
          <w:top w:w="28" w:type="dxa"/>
          <w:left w:w="28" w:type="dxa"/>
          <w:bottom w:w="28" w:type="dxa"/>
          <w:right w:w="28" w:type="dxa"/>
        </w:tblCellMar>
      </w:tblPr>
      <w:tblGrid>
        <w:gridCol w:w="537"/>
        <w:gridCol w:w="473"/>
        <w:gridCol w:w="473"/>
        <w:gridCol w:w="473"/>
        <w:gridCol w:w="473"/>
        <w:gridCol w:w="495"/>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94-1499887</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 West Mendenhall, Suite 105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59715</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Bozeman,</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Montana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 w:after="283"/>
        <w:jc w:val="center"/>
        <w:rPr/>
      </w:pPr>
      <w:r>
        <w:rPr>
          <w:rFonts w:ascii="Times New Roman;serif" w:hAnsi="Times New Roman;serif"/>
          <w:b/>
          <w:color w:val="000000"/>
          <w:sz w:val="20"/>
        </w:rPr>
        <w:t xml:space="preserve">Registrant’s telephone number, including area code: 406-982-7276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FICO</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120"/>
        <w:ind w:left="0" w:right="0" w:firstLine="495"/>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120"/>
        <w:ind w:left="0" w:right="0" w:firstLine="495"/>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80" w:after="120"/>
        <w:ind w:left="0" w:right="0" w:firstLine="495"/>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number of shares of common stock outstanding on July 17, 2026 was 21,597,635 (excluding 67,259,148 shares held by us as treasury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93"/>
        <w:gridCol w:w="258"/>
        <w:gridCol w:w="260"/>
        <w:gridCol w:w="2453"/>
        <w:gridCol w:w="2453"/>
        <w:gridCol w:w="2458"/>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0">
              <w:r>
                <w:rPr>
                  <w:rStyle w:val="InternetLink"/>
                  <w:rFonts w:ascii="Times New Roman;serif" w:hAnsi="Times New Roman;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6">
              <w:r>
                <w:rPr>
                  <w:rStyle w:val="InternetLink"/>
                  <w:rFonts w:ascii="Times New Roman;serif" w:hAnsi="Times New Roman;serif"/>
                  <w:b w:val="false"/>
                  <w:color w:val="0000FF"/>
                  <w:sz w:val="20"/>
                  <w:u w:val="single"/>
                </w:rPr>
                <w:t>Unaudited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3">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79">
              <w:r>
                <w:rPr>
                  <w:rStyle w:val="InternetLink"/>
                  <w:rFonts w:ascii="Times New Roman;serif" w:hAnsi="Times New Roman;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09">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09">
              <w:r>
                <w:rPr>
                  <w:rStyle w:val="InternetLink"/>
                  <w:rFonts w:ascii="Times New Roman;serif" w:hAnsi="Times New Roman;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12">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12">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15">
              <w:r>
                <w:rPr>
                  <w:rStyle w:val="InternetLink"/>
                  <w:rFonts w:ascii="Times New Roman;serif" w:hAnsi="Times New Roman;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18">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18">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21">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21">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24">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24">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27">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27">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30">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30">
              <w:r>
                <w:rPr>
                  <w:rStyle w:val="InternetLink"/>
                  <w:rFonts w:ascii="Times New Roman;serif" w:hAnsi="Times New Roman;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33">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33">
              <w:r>
                <w:rPr>
                  <w:rStyle w:val="InternetLink"/>
                  <w:rFonts w:ascii="Times New Roman;serif" w:hAnsi="Times New Roman;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39">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39">
              <w:r>
                <w:rPr>
                  <w:rStyle w:val="InternetLink"/>
                  <w:rFonts w:ascii="Times New Roman;serif" w:hAnsi="Times New Roman;serif"/>
                  <w:b w:val="false"/>
                  <w:color w:val="0000FF"/>
                  <w:sz w:val="20"/>
                  <w:u w:val="single"/>
                </w:rPr>
                <w:t>36</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e5febdcae4dbcb74f7ab1cddf867a_142">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e5febdcae4dbcb74f7ab1cddf867a_142">
              <w:r>
                <w:rPr>
                  <w:rStyle w:val="InternetLink"/>
                  <w:rFonts w:ascii="Times New Roman;serif" w:hAnsi="Times New Roman;serif"/>
                  <w:b w:val="false"/>
                  <w:color w:val="0000FF"/>
                  <w:sz w:val="20"/>
                  <w:u w:val="single"/>
                </w:rPr>
                <w:t>37</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2"/>
        <w:gridCol w:w="2228"/>
        <w:gridCol w:w="2182"/>
        <w:gridCol w:w="211"/>
        <w:gridCol w:w="976"/>
        <w:gridCol w:w="109"/>
        <w:gridCol w:w="109"/>
        <w:gridCol w:w="109"/>
        <w:gridCol w:w="109"/>
        <w:gridCol w:w="227"/>
        <w:gridCol w:w="1054"/>
        <w:gridCol w:w="169"/>
      </w:tblGrid>
      <w:tr>
        <w:trPr/>
        <w:tc>
          <w:tcPr>
            <w:tcW w:w="272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par value data)</w:t>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705,165</w:t>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1,868,133 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on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3,613,917 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 shares authorized; none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200,000 shares authorized, 88,857 shares issued and 21,597 and 23,764 shares outstanding at June 30, 2026 and September 30,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(67,260 and 65,093 shares at June 30, 2026 and September 30,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(7,537,908)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4,552,816 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(1,745,784)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1,868,133 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374" w:type="dxa"/>
        <w:jc w:val="center"/>
        <w:tblInd w:w="0" w:type="dxa"/>
        <w:tblLayout w:type="fixed"/>
        <w:tblCellMar>
          <w:top w:w="28" w:type="dxa"/>
          <w:left w:w="28" w:type="dxa"/>
          <w:bottom w:w="28" w:type="dxa"/>
          <w:right w:w="28" w:type="dxa"/>
        </w:tblCellMar>
      </w:tblPr>
      <w:tblGrid>
        <w:gridCol w:w="1364"/>
        <w:gridCol w:w="1193"/>
        <w:gridCol w:w="12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181" w:type="dxa"/>
        <w:jc w:val="center"/>
        <w:tblInd w:w="0" w:type="dxa"/>
        <w:tblLayout w:type="fixed"/>
        <w:tblCellMar>
          <w:top w:w="28" w:type="dxa"/>
          <w:left w:w="28" w:type="dxa"/>
          <w:bottom w:w="28" w:type="dxa"/>
          <w:right w:w="28" w:type="dxa"/>
        </w:tblCellMar>
      </w:tblPr>
      <w:tblGrid>
        <w:gridCol w:w="544"/>
        <w:gridCol w:w="268"/>
        <w:gridCol w:w="269"/>
        <w:gridCol w:w="323"/>
        <w:gridCol w:w="323"/>
        <w:gridCol w:w="196"/>
        <w:gridCol w:w="109"/>
        <w:gridCol w:w="109"/>
        <w:gridCol w:w="109"/>
        <w:gridCol w:w="227"/>
        <w:gridCol w:w="487"/>
        <w:gridCol w:w="127"/>
        <w:gridCol w:w="109"/>
        <w:gridCol w:w="109"/>
        <w:gridCol w:w="109"/>
        <w:gridCol w:w="205"/>
        <w:gridCol w:w="911"/>
        <w:gridCol w:w="115"/>
        <w:gridCol w:w="109"/>
        <w:gridCol w:w="109"/>
        <w:gridCol w:w="109"/>
        <w:gridCol w:w="196"/>
        <w:gridCol w:w="976"/>
        <w:gridCol w:w="109"/>
        <w:gridCol w:w="109"/>
        <w:gridCol w:w="109"/>
        <w:gridCol w:w="109"/>
        <w:gridCol w:w="196"/>
        <w:gridCol w:w="871"/>
        <w:gridCol w:w="109"/>
        <w:gridCol w:w="109"/>
        <w:gridCol w:w="109"/>
        <w:gridCol w:w="109"/>
        <w:gridCol w:w="284"/>
        <w:gridCol w:w="1088"/>
        <w:gridCol w:w="159"/>
        <w:gridCol w:w="109"/>
        <w:gridCol w:w="109"/>
        <w:gridCol w:w="109"/>
        <w:gridCol w:w="196"/>
        <w:gridCol w:w="88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1,316,744 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(8,298,729)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(2,101,650)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(2,278,944)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1,062,618 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(10,276,707)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(96,081)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(4,097,135)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1,251,784 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(6,490,817)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(101,276)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(1,124,052)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1,292,112 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(6,999,328)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(1,397,446)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1,331,120 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(7,537,908)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4,552,816 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(92,050)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(1,745,784)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(2,752,870)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1,062,618 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(10,276,707)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(96,081)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(4,097,135)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1,366,572 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(6,138,736)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(91,629)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(962,679)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(878,064)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1,292,112 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(6,999,328)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4,397,802 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(88,273)</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(1,397,446)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1"/>
        <w:gridCol w:w="2354"/>
        <w:gridCol w:w="2369"/>
        <w:gridCol w:w="212"/>
        <w:gridCol w:w="832"/>
        <w:gridCol w:w="109"/>
        <w:gridCol w:w="109"/>
        <w:gridCol w:w="109"/>
        <w:gridCol w:w="109"/>
        <w:gridCol w:w="212"/>
        <w:gridCol w:w="832"/>
        <w:gridCol w:w="157"/>
      </w:tblGrid>
      <w:tr>
        <w:trPr/>
        <w:tc>
          <w:tcPr>
            <w:tcW w:w="2801"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marketable securities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sales and abandonment of property and equipment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555,138 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marketable securities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other investments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450"/>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 and term loans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line of credit and term loans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notes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senior notes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debt issuance costs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treasury stock under employee stock plans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inclusive of excise tax and prepayment under accelerated share repurchase agreement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(866,520)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(486,792)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of $8,538 and $3,442 during the nine-month periods ended June 30, 2026 and 2025, respectively</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included in accounts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Unsettled repurchases of common stock, inclusive of excise tax accrued, but not yet paid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Fair Isaac Corporation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Fair Isaac Corporation (NYSE: FICO) (together with its consolidated subsidiaries, the “Company,” which may also be referred to in this report as “we,” “us,” “our,” or “FICO”) is a global analytics software leader. We were founded in 1956 on the premise that data, used intelligently, can improve business decisions. Today, FICO’s software and the widely used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 the standard measure of consumer credit risk in the United States (“U.S.”) — empowering them to increase financial literacy and manage their financial health.</w:t>
      </w:r>
    </w:p>
    <w:p>
      <w:pPr>
        <w:pStyle w:val="TextBody"/>
        <w:bidi w:val="0"/>
        <w:spacing w:lineRule="auto" w:line="288" w:before="36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Principles of Consolidation and Basis of Presentation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2025. The interim financial information contained in this report is not necessarily indicative of the results to be expected for any other interim period or for the entire fiscal year.</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FICO and its subsidiaries. All intercompany accounts and transactions have been eliminated.</w:t>
      </w:r>
    </w:p>
    <w:p>
      <w:pPr>
        <w:pStyle w:val="TextBody"/>
        <w:bidi w:val="0"/>
        <w:spacing w:lineRule="auto" w:line="288" w:before="36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make estimates and assumptions that affect the amounts reported in the condensed consolidated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property and equipment and other long-lived assets. In addition, we use assumptions to estimate the fair value of reporting units and share-based compensation. Actual results may differ from our estimates.</w:t>
      </w:r>
    </w:p>
    <w:p>
      <w:pPr>
        <w:pStyle w:val="TextBody"/>
        <w:bidi w:val="0"/>
        <w:spacing w:lineRule="auto" w:line="288" w:before="36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88" w:before="12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December 2023, the Financial Accounting Standards Board (“FASB”) issued Accounting Standards Update (“ASU”) No. 2023-09, “</w:t>
      </w:r>
      <w:r>
        <w:rPr>
          <w:rFonts w:ascii="Times New Roman;serif" w:hAnsi="Times New Roman;serif"/>
          <w:b w:val="false"/>
          <w:i/>
          <w:color w:val="000000"/>
          <w:sz w:val="20"/>
        </w:rPr>
        <w:t>Income Taxes (Topic 740): Improvements to Income Tax Disclosures</w:t>
      </w:r>
      <w:r>
        <w:rPr>
          <w:color w:val="000000"/>
        </w:rPr>
        <w:t>” </w:t>
      </w:r>
      <w:r>
        <w:rPr>
          <w:rFonts w:ascii="Times New Roman;serif" w:hAnsi="Times New Roman;serif"/>
          <w:b w:val="false"/>
          <w:color w:val="000000"/>
          <w:sz w:val="20"/>
        </w:rPr>
        <w:t>(“ASU 2023-09”). ASU 2023-09 requires disaggregated information about a reporting entity’s effective tax rate reconciliation as well as disaggregated information on income tax paid. The standard is effective for fiscal years beginning after December 15, 2024, which means that it will be effective for our annual periods beginning with the fiscal year ending September 30, 2026. We are currently evaluating the impact that the updated standard will have on our disclosures within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 November 2024, the FASB issued ASU No. 2024-03, </w:t>
      </w:r>
      <w:r>
        <w:rPr>
          <w:color w:val="000000"/>
        </w:rPr>
        <w:t>“</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ASU 2024-03 requires disaggregated disclosure of certain income statement expenses an entity presents on the face of the income statement into specified categories in disclosures within the footnotes to the financial statements, including employee compensation, depreciation, intangible asset amortization, and certain other expenses, when applicable. The standard is effective for fiscal years beginning after December 15, 2026, and interim periods within fiscal years beginning after December 15, 2027, which means that it will be effective for our annual periods beginning with the fiscal year ending September 30, 2028, and our interim periods beginning October 1, 2028. Early adoption is permitted. We are currently evaluating the impact that the updated standard will have on our disclosures within our consolidated financial statements.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 September 2025, the FASB issued ASU No. 2025-06, </w:t>
      </w:r>
      <w:r>
        <w:rPr>
          <w:color w:val="000000"/>
        </w:rPr>
        <w:t>“</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ASU 2025-06 removes references to prescriptive and sequential software development project stages, and instead requires capitalizing software costs when both of the following occur: (1) management has authorized and committed to funding the software project, and (2) it is probable that the project will be completed and the software will be used to perform the function intended, with consideration as to when significant uncertainty associated with the development activities of the software has been resolved. Additionally, ASU 2025-06 clarifies the disclosure requirements for capitalized internal-use software costs. The standard is effective for fiscal years and interim periods within those fiscal years beginning after December 15, 2027, which means that it will be effective for our fiscal years beginning October 1, 2028. Early adoption is permitted. We are currently evaluating the impact that the updated standard will have on our consolidated financial statements and related disclosures.</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expect that any other recently issued accounting pronouncements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2.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 uses unadjusted quoted prices that are available in active markets for identical assets or liabilities. Our Level 1 assets were comprised of bank time deposits and certain marketable securities and our Level 1 liabilities included senior notes as of June 30, 2026 and September 30,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June 30, 2026 and September 30,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value any assets or liabilities using inputs identified under a Level 3 hierarchy as of June 30, 2026 and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financial assets that we measured at fair value on a recurring basis at June 30, 2026 and September 30, 2025:</w:t>
      </w:r>
    </w:p>
    <w:tbl>
      <w:tblPr>
        <w:tblW w:w="6837" w:type="dxa"/>
        <w:jc w:val="left"/>
        <w:tblInd w:w="0" w:type="dxa"/>
        <w:tblLayout w:type="fixed"/>
        <w:tblCellMar>
          <w:top w:w="28" w:type="dxa"/>
          <w:left w:w="28" w:type="dxa"/>
          <w:bottom w:w="28" w:type="dxa"/>
          <w:right w:w="28" w:type="dxa"/>
        </w:tblCellMar>
      </w:tblPr>
      <w:tblGrid>
        <w:gridCol w:w="746"/>
        <w:gridCol w:w="657"/>
        <w:gridCol w:w="666"/>
        <w:gridCol w:w="331"/>
        <w:gridCol w:w="1133"/>
        <w:gridCol w:w="172"/>
        <w:gridCol w:w="109"/>
        <w:gridCol w:w="109"/>
        <w:gridCol w:w="109"/>
        <w:gridCol w:w="543"/>
        <w:gridCol w:w="1863"/>
        <w:gridCol w:w="399"/>
      </w:tblGrid>
      <w:tr>
        <w:trPr/>
        <w:tc>
          <w:tcPr>
            <w:tcW w:w="7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1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as of </w:t>
              <w:br/>
              <w:t>June 30, 2026</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w:t>
            </w:r>
            <w:r>
              <w:rPr>
                <w:rFonts w:ascii="Times New Roman;serif" w:hAnsi="Times New Roman;serif"/>
                <w:b w:val="false"/>
                <w:color w:val="000000"/>
                <w:sz w:val="13"/>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69,322 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1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September 30, 2025</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w:t>
            </w:r>
            <w:r>
              <w:rPr>
                <w:rFonts w:ascii="Times New Roman;serif" w:hAnsi="Times New Roman;serif"/>
                <w:b w:val="false"/>
                <w:color w:val="000000"/>
                <w:sz w:val="13"/>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54,631 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Included in cash and cash equivalents on our condensed consolidated balance sheets at June 30, 2026 and September 30, 2025. Not included in these tables are cash deposits of $235.2 million and $134.1 million at June 30, 2026 and September 30, 2025, respectively.</w:t>
      </w:r>
    </w:p>
    <w:p>
      <w:pPr>
        <w:pStyle w:val="TextBody"/>
        <w:bidi w:val="0"/>
        <w:spacing w:lineRule="auto" w:line="288" w:before="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Represents securities held under a non-qualified deferred compensation plan for certain officers and senior management employees, which are distributed upon separation from service or at a specific date while still employed. Included in marketable securities on our condensed consolidated balance sheets at June 30, 2026 and September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6 for the fair value of our senior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of the fair value hierarchy during the quarters and nine-month periods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3. Derivative Financial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to manage risks caused by fluctuations in foreign exchange rates. The primary objective of our derivative instruments is to protect the value of foreign-currency-denominated receivables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Foreign-currency-denominated receivables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outstanding foreign currency forward contracts, by currency, at June 30, 2026 and September 30, 2025:</w:t>
      </w:r>
    </w:p>
    <w:tbl>
      <w:tblPr>
        <w:tblW w:w="582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08"/>
        <w:gridCol w:w="308"/>
        <w:gridCol w:w="136"/>
        <w:gridCol w:w="109"/>
        <w:gridCol w:w="109"/>
        <w:gridCol w:w="109"/>
        <w:gridCol w:w="211"/>
        <w:gridCol w:w="616"/>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foreign currency forward contracts were entered into on June 30, 2026 and September 30, 2025; therefore, their fair value was $0 on each of these dates.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Gains (losses) on derivative financial instruments were recorded in our condensed consolidated statements of income and comprehensive income as a component of other income, net, and consisted of the following: </w:t>
      </w:r>
    </w:p>
    <w:tbl>
      <w:tblPr>
        <w:tblW w:w="8706" w:type="dxa"/>
        <w:jc w:val="left"/>
        <w:tblInd w:w="0" w:type="dxa"/>
        <w:tblLayout w:type="fixed"/>
        <w:tblCellMar>
          <w:top w:w="28" w:type="dxa"/>
          <w:left w:w="28" w:type="dxa"/>
          <w:bottom w:w="28" w:type="dxa"/>
          <w:right w:w="28" w:type="dxa"/>
        </w:tblCellMar>
      </w:tblPr>
      <w:tblGrid>
        <w:gridCol w:w="1559"/>
        <w:gridCol w:w="1368"/>
        <w:gridCol w:w="1378"/>
        <w:gridCol w:w="232"/>
        <w:gridCol w:w="282"/>
        <w:gridCol w:w="120"/>
        <w:gridCol w:w="120"/>
        <w:gridCol w:w="120"/>
        <w:gridCol w:w="120"/>
        <w:gridCol w:w="232"/>
        <w:gridCol w:w="513"/>
        <w:gridCol w:w="120"/>
        <w:gridCol w:w="109"/>
        <w:gridCol w:w="109"/>
        <w:gridCol w:w="109"/>
        <w:gridCol w:w="244"/>
        <w:gridCol w:w="627"/>
        <w:gridCol w:w="126"/>
        <w:gridCol w:w="126"/>
        <w:gridCol w:w="126"/>
        <w:gridCol w:w="126"/>
        <w:gridCol w:w="244"/>
        <w:gridCol w:w="418"/>
        <w:gridCol w:w="178"/>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180" w:after="180"/>
              <w:jc w:val="both"/>
              <w:rPr>
                <w:rFonts w:ascii="Times New Roman;serif" w:hAnsi="Times New Roman;serif"/>
                <w:b w:val="false"/>
                <w:color w:val="000000"/>
                <w:sz w:val="20"/>
              </w:rPr>
            </w:pPr>
            <w:r>
              <w:rPr>
                <w:rFonts w:ascii="Times New Roman;serif" w:hAnsi="Times New Roman;serif"/>
                <w:b w:val="false"/>
                <w:color w:val="000000"/>
                <w:sz w:val="20"/>
              </w:rPr>
              <w:t>Gains (losses) on foreign currency forward contracts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4. Goodwill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goodwill during the nine months ended June 30, 2026, both in total and as allocated to our segments. As of June 30, 2026, there was no accumulated goodwill impairment loss.</w:t>
      </w:r>
    </w:p>
    <w:tbl>
      <w:tblPr>
        <w:tblW w:w="8382" w:type="dxa"/>
        <w:jc w:val="left"/>
        <w:tblInd w:w="0" w:type="dxa"/>
        <w:tblLayout w:type="fixed"/>
        <w:tblCellMar>
          <w:top w:w="28" w:type="dxa"/>
          <w:left w:w="28" w:type="dxa"/>
          <w:bottom w:w="28" w:type="dxa"/>
          <w:right w:w="28" w:type="dxa"/>
        </w:tblCellMar>
      </w:tblPr>
      <w:tblGrid>
        <w:gridCol w:w="1538"/>
        <w:gridCol w:w="1352"/>
        <w:gridCol w:w="1355"/>
        <w:gridCol w:w="211"/>
        <w:gridCol w:w="826"/>
        <w:gridCol w:w="109"/>
        <w:gridCol w:w="109"/>
        <w:gridCol w:w="109"/>
        <w:gridCol w:w="109"/>
        <w:gridCol w:w="211"/>
        <w:gridCol w:w="826"/>
        <w:gridCol w:w="109"/>
        <w:gridCol w:w="109"/>
        <w:gridCol w:w="109"/>
        <w:gridCol w:w="109"/>
        <w:gridCol w:w="211"/>
        <w:gridCol w:w="82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5. Composition of Certain Financial Statement Captions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property and equipment, net at June 30, 2026 and September 30, 2025:</w:t>
      </w:r>
    </w:p>
    <w:tbl>
      <w:tblPr>
        <w:tblW w:w="7083" w:type="dxa"/>
        <w:jc w:val="left"/>
        <w:tblInd w:w="0" w:type="dxa"/>
        <w:tblLayout w:type="fixed"/>
        <w:tblCellMar>
          <w:top w:w="28" w:type="dxa"/>
          <w:left w:w="28" w:type="dxa"/>
          <w:bottom w:w="28" w:type="dxa"/>
          <w:right w:w="28" w:type="dxa"/>
        </w:tblCellMar>
      </w:tblPr>
      <w:tblGrid>
        <w:gridCol w:w="1642"/>
        <w:gridCol w:w="1440"/>
        <w:gridCol w:w="1448"/>
        <w:gridCol w:w="211"/>
        <w:gridCol w:w="721"/>
        <w:gridCol w:w="109"/>
        <w:gridCol w:w="109"/>
        <w:gridCol w:w="109"/>
        <w:gridCol w:w="109"/>
        <w:gridCol w:w="230"/>
        <w:gridCol w:w="787"/>
        <w:gridCol w:w="168"/>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Internal-use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other accrued liabilities at June 30, 2026 and September 30, 2025:</w:t>
      </w:r>
    </w:p>
    <w:tbl>
      <w:tblPr>
        <w:tblW w:w="4899" w:type="dxa"/>
        <w:jc w:val="left"/>
        <w:tblInd w:w="0" w:type="dxa"/>
        <w:tblLayout w:type="fixed"/>
        <w:tblCellMar>
          <w:top w:w="28" w:type="dxa"/>
          <w:left w:w="28" w:type="dxa"/>
          <w:bottom w:w="28" w:type="dxa"/>
          <w:right w:w="28" w:type="dxa"/>
        </w:tblCellMar>
      </w:tblPr>
      <w:tblGrid>
        <w:gridCol w:w="810"/>
        <w:gridCol w:w="710"/>
        <w:gridCol w:w="715"/>
        <w:gridCol w:w="211"/>
        <w:gridCol w:w="826"/>
        <w:gridCol w:w="109"/>
        <w:gridCol w:w="109"/>
        <w:gridCol w:w="109"/>
        <w:gridCol w:w="109"/>
        <w:gridCol w:w="211"/>
        <w:gridCol w:w="826"/>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accrued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our debt at carrying value at June 30, 2026 and September 30, 2025:</w:t>
      </w:r>
    </w:p>
    <w:tbl>
      <w:tblPr>
        <w:tblW w:w="7434" w:type="dxa"/>
        <w:jc w:val="left"/>
        <w:tblInd w:w="0" w:type="dxa"/>
        <w:tblLayout w:type="fixed"/>
        <w:tblCellMar>
          <w:top w:w="28" w:type="dxa"/>
          <w:left w:w="28" w:type="dxa"/>
          <w:bottom w:w="28" w:type="dxa"/>
          <w:right w:w="28" w:type="dxa"/>
        </w:tblCellMar>
      </w:tblPr>
      <w:tblGrid>
        <w:gridCol w:w="1619"/>
        <w:gridCol w:w="1421"/>
        <w:gridCol w:w="1430"/>
        <w:gridCol w:w="211"/>
        <w:gridCol w:w="976"/>
        <w:gridCol w:w="109"/>
        <w:gridCol w:w="109"/>
        <w:gridCol w:w="109"/>
        <w:gridCol w:w="109"/>
        <w:gridCol w:w="211"/>
        <w:gridCol w:w="976"/>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maturities on debt: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2018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maturities on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line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Term loan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2019 Senior Notes and the 2021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2025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2026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3,055,691 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Revolving Line of Credit and Term Loan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credit agreement with a syndicate of banks that provides for a $1.0 billion unsecured revolving line of credit that matures on May 13, 2030. On June 5, 2026, we amended our credit agreement to provide for the issuance of a $1.5 billion unsecured term loan that was borrowed in full on June 5, 2026 and matures on May 15, 2028. The credit agreement also provides for an option for us to request additional incremental term loans and/or incremental increases to the revolving line of credit from time to time, in each case subject to the terms and conditions of the credit agreement. Borrowings under the credit agreement can be used for working capital and general corporate purposes and may also be used for the refinancing of existing debt, acquisitions, and the repurchase of our common stock. Principal on the term loan is to be repaid in consecutive quarterly installments on the last business day of March, June, September, and December equal to (i) $75.0 million from September 30, 2026 through and including June 30, 2027 and (ii) $112.5 million thereafter. Interest rates on amounts borrowed under the revolving line of credit and term loan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for the loans under the credit agreement is determined based on our consolidated leverage ratio. The applicable margin for loans under the revolving line of credit for base rate borrowings ranges from 0% to 1% per annum and for SOFR borrowings ranges from 1% to 2% per annum. The applicable margin for the term loan for base rate borrowings ranges from 0.5% to 1.25% per annum and for SOFR borrowings ranges from 1.5% to 2.25% per annum. In addition, we must pay certain credit agreement fees. The credit agreement contains certain restrictive covenants including a maximum consolidated leverage ratio of 4.5 to 1.0 through December 30, 2026, 4.0 to 1.0 during December 31, 2026 through December 30, 2027, and 3.5 to 1.0 during December 31, 2027 and thereafter, subject to a step up to 4.0 to 1.0 following certain permitted acquisitions and subject to certain conditions, and contains other covenants typical of an unsecured credit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had $710.0 million in borrowings outstanding under the revolving line of credit at a weighted-average interest rate of 5.643% and $1.5 billion in outstanding balance of the term loan at an interest rate of 5.863%, and we were in compliance with all financial covenants under the credit agreement.</w:t>
      </w:r>
    </w:p>
    <w:p>
      <w:pPr>
        <w:pStyle w:val="TextBody"/>
        <w:bidi w:val="0"/>
        <w:spacing w:lineRule="auto" w:line="288" w:before="24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8, 2018, we issued $400.0 million of senior notes in a private offering to qualified institutional investors (the “2018 Senior Notes”). The 2018 Senior Notes required interest payments semi-annually at a rate of 5.25% per annum and were to mature on May 15, 2026. On March 26, 2026, prior to the maturity date, we repaid in full the 2018 Senior Notes, utilizing proceeds from the issuance of the 2026 Senior Notes (as defined below).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6, 2019, we issued $350.0 million of senior notes in a private offering to qualified institutional investors (the “2019 Senior Notes”). The 2019 Senior Notes require interest payments semi-annually at a rate of 4.00% per annum and will mature on June 15, 2028.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17, 2021, we issued $550.0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13, 2025, we issued $1.5 billion of senior notes in a private offering to qualified institutional investors (the “2025 Senior Notes”). The 2025 Senior Notes require interest payments semi-annually at a rate of 6.00% per annum and will mature on May 15, 2033.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20, 2026, we issued $1.0 billion of senior notes in a private offering to qualified institutional investors (the “2026 Senior Notes,” and collectively with the 2018 Senior Notes, the 2019 Senior Notes, the 2021 Senior Notes, and the 2025 Senior Notes, the “Senior Notes”). The 2026 Senior Notes require interest payments semi-annually at a rate of 6.25% per annum and will mature on September 15, 2034.</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indentures for the Senior Notes contain certain covenants typical of unsecured obligations and we were in compliance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face values and fair values for the Senior Notes at June 30, 2026 and September 30, 2025:</w:t>
      </w:r>
    </w:p>
    <w:tbl>
      <w:tblPr>
        <w:tblW w:w="10205" w:type="dxa"/>
        <w:jc w:val="left"/>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2025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2026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7. Accelerated Share Repurchase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authorized us to make repurchases of shares of our common stock from time to time in the open market, in negotiated transactions, and through accelerated share repurchase programs. As part of the broader stock repurchase program, we entered into an accelerated share repurchase agreement (“ASR Agreement”) with Wells Fargo Securities, Inc. (“Wells Fargo Securities”) on June 5, 2026 to repurchase $1.5 billion of our common stock. The ASR Agreement was accounted for as two separate transactions: (1) a repurchase of shares of common stock and (2) an equity-linked contract on our own common stock. Pursuant to the ASR Agreement, we paid $1.5 billion to Wells Fargo Securities and received an initial delivery of 1,055,103 shares of common stock, which had a value of approximately $1.2 billion and therefore approximated 80 percent of the total number of expected shares to be repurchased under the ASR Agreement. The remaining $300.0 million is considered a prepayment under the ASR Agreement, due to shares not yet being delivered with respect to such amount. The equity-linked contract for this remaining $300.0 million, representing shares to be delivered by Wells Fargo Securities to us under the ASR Agreement at settlement, was recorded as a reduction to additional paid-in-capital as of June 30, 2026. The final number of shares to be repurchased and the average price paid per share will be determined upon the settlement of the ASR Agreement, which is expected to occur during the fourth quarter of fiscal 2026. The final number of shares to be repurchased will be based on the volume-weighted average price of our common stock over the term of the ASR Agreement, less a discount and subject to adjustments pursuant to the terms and conditions of the ASR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8. Revenue from Contracts with Customers</w:t>
      </w:r>
    </w:p>
    <w:p>
      <w:pPr>
        <w:pStyle w:val="TextBody"/>
        <w:bidi w:val="0"/>
        <w:spacing w:lineRule="auto" w:line="288" w:before="120" w:after="283"/>
        <w:ind w:left="0" w:right="0" w:firstLine="255"/>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disaggregated revenue by primary geographical market:</w:t>
      </w:r>
    </w:p>
    <w:p>
      <w:pPr>
        <w:pStyle w:val="TextBody"/>
        <w:bidi w:val="0"/>
        <w:spacing w:before="0" w:after="0"/>
        <w:ind w:left="0" w:right="0" w:firstLine="450"/>
        <w:jc w:val="both"/>
        <w:rPr/>
      </w:pPr>
      <w:r>
        <w:rPr/>
      </w:r>
    </w:p>
    <w:tbl>
      <w:tblPr>
        <w:tblW w:w="8124" w:type="dxa"/>
        <w:jc w:val="left"/>
        <w:tblInd w:w="0" w:type="dxa"/>
        <w:tblLayout w:type="fixed"/>
        <w:tblCellMar>
          <w:top w:w="28" w:type="dxa"/>
          <w:left w:w="28" w:type="dxa"/>
          <w:bottom w:w="28" w:type="dxa"/>
          <w:right w:w="28" w:type="dxa"/>
        </w:tblCellMar>
      </w:tblPr>
      <w:tblGrid>
        <w:gridCol w:w="965"/>
        <w:gridCol w:w="850"/>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2026</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 Americas revenue included U.S. revenue of $552.4 million for the quarter ended June 30, 2026.</w:t>
      </w:r>
    </w:p>
    <w:p>
      <w:pPr>
        <w:pStyle w:val="TextBody"/>
        <w:bidi w:val="0"/>
        <w:spacing w:before="0" w:after="0"/>
        <w:jc w:val="both"/>
        <w:rPr/>
      </w:pPr>
      <w:r>
        <w:rPr/>
      </w:r>
    </w:p>
    <w:tbl>
      <w:tblPr>
        <w:tblW w:w="8124" w:type="dxa"/>
        <w:jc w:val="left"/>
        <w:tblInd w:w="0" w:type="dxa"/>
        <w:tblLayout w:type="fixed"/>
        <w:tblCellMar>
          <w:top w:w="28" w:type="dxa"/>
          <w:left w:w="28" w:type="dxa"/>
          <w:bottom w:w="28" w:type="dxa"/>
          <w:right w:w="28" w:type="dxa"/>
        </w:tblCellMar>
      </w:tblPr>
      <w:tblGrid>
        <w:gridCol w:w="965"/>
        <w:gridCol w:w="850"/>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2025</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 Americas revenue included U.S. revenue of $422.7 million for the quarter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before="0" w:after="60"/>
        <w:jc w:val="both"/>
        <w:rPr/>
      </w:pPr>
      <w:r>
        <w:rPr/>
      </w:r>
    </w:p>
    <w:tbl>
      <w:tblPr>
        <w:tblW w:w="8424" w:type="dxa"/>
        <w:jc w:val="left"/>
        <w:tblInd w:w="0" w:type="dxa"/>
        <w:tblLayout w:type="fixed"/>
        <w:tblCellMar>
          <w:top w:w="28" w:type="dxa"/>
          <w:left w:w="28" w:type="dxa"/>
          <w:bottom w:w="28" w:type="dxa"/>
          <w:right w:w="28" w:type="dxa"/>
        </w:tblCellMar>
      </w:tblPr>
      <w:tblGrid>
        <w:gridCol w:w="965"/>
        <w:gridCol w:w="850"/>
        <w:gridCol w:w="855"/>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2026</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60"/>
        <w:jc w:val="both"/>
        <w:rPr>
          <w:rFonts w:ascii="Times New Roman;serif" w:hAnsi="Times New Roman;serif"/>
          <w:b w:val="false"/>
          <w:color w:val="000000"/>
          <w:sz w:val="20"/>
        </w:rPr>
      </w:pPr>
      <w:r>
        <w:rPr>
          <w:rFonts w:ascii="Times New Roman;serif" w:hAnsi="Times New Roman;serif"/>
          <w:b w:val="false"/>
          <w:color w:val="000000"/>
          <w:sz w:val="20"/>
        </w:rPr>
        <w:t>(*) Americas revenue included U.S. revenue of $1.5 billion for the nine months ended June 30, 2026.</w:t>
      </w:r>
    </w:p>
    <w:p>
      <w:pPr>
        <w:pStyle w:val="TextBody"/>
        <w:bidi w:val="0"/>
        <w:spacing w:before="0" w:after="0"/>
        <w:jc w:val="both"/>
        <w:rPr/>
      </w:pPr>
      <w:r>
        <w:rPr/>
      </w:r>
    </w:p>
    <w:tbl>
      <w:tblPr>
        <w:tblW w:w="8274" w:type="dxa"/>
        <w:jc w:val="left"/>
        <w:tblInd w:w="0" w:type="dxa"/>
        <w:tblLayout w:type="fixed"/>
        <w:tblCellMar>
          <w:top w:w="28" w:type="dxa"/>
          <w:left w:w="28" w:type="dxa"/>
          <w:bottom w:w="28" w:type="dxa"/>
          <w:right w:w="28" w:type="dxa"/>
        </w:tblCellMar>
      </w:tblPr>
      <w:tblGrid>
        <w:gridCol w:w="965"/>
        <w:gridCol w:w="850"/>
        <w:gridCol w:w="8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2025</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60"/>
        <w:jc w:val="both"/>
        <w:rPr>
          <w:rFonts w:ascii="Times New Roman;serif" w:hAnsi="Times New Roman;serif"/>
          <w:b w:val="false"/>
          <w:color w:val="000000"/>
          <w:sz w:val="20"/>
        </w:rPr>
      </w:pPr>
      <w:r>
        <w:rPr>
          <w:rFonts w:ascii="Times New Roman;serif" w:hAnsi="Times New Roman;serif"/>
          <w:b w:val="false"/>
          <w:color w:val="000000"/>
          <w:sz w:val="20"/>
        </w:rPr>
        <w:t>(*) Americas revenue included U.S. revenue of $1.1 billion for the nine months ended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deployment method:</w:t>
      </w:r>
    </w:p>
    <w:tbl>
      <w:tblPr>
        <w:tblW w:w="10992" w:type="dxa"/>
        <w:jc w:val="left"/>
        <w:tblInd w:w="0" w:type="dxa"/>
        <w:tblLayout w:type="fixed"/>
        <w:tblCellMar>
          <w:top w:w="28" w:type="dxa"/>
          <w:left w:w="28" w:type="dxa"/>
          <w:bottom w:w="28" w:type="dxa"/>
          <w:right w:w="28" w:type="dxa"/>
        </w:tblCellMar>
      </w:tblPr>
      <w:tblGrid>
        <w:gridCol w:w="408"/>
        <w:gridCol w:w="358"/>
        <w:gridCol w:w="36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product features:</w:t>
      </w:r>
    </w:p>
    <w:tbl>
      <w:tblPr>
        <w:tblW w:w="11082" w:type="dxa"/>
        <w:jc w:val="left"/>
        <w:tblInd w:w="0" w:type="dxa"/>
        <w:tblLayout w:type="fixed"/>
        <w:tblCellMar>
          <w:top w:w="28" w:type="dxa"/>
          <w:left w:w="28" w:type="dxa"/>
          <w:bottom w:w="28" w:type="dxa"/>
          <w:right w:w="28" w:type="dxa"/>
        </w:tblCellMar>
      </w:tblPr>
      <w:tblGrid>
        <w:gridCol w:w="555"/>
        <w:gridCol w:w="402"/>
        <w:gridCol w:w="25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55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Non-platform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timing of revenue recognition:</w:t>
      </w:r>
    </w:p>
    <w:tbl>
      <w:tblPr>
        <w:tblW w:w="10887" w:type="dxa"/>
        <w:jc w:val="left"/>
        <w:tblInd w:w="0" w:type="dxa"/>
        <w:tblLayout w:type="fixed"/>
        <w:tblCellMar>
          <w:top w:w="28" w:type="dxa"/>
          <w:left w:w="28" w:type="dxa"/>
          <w:bottom w:w="28" w:type="dxa"/>
          <w:right w:w="28" w:type="dxa"/>
        </w:tblCellMar>
      </w:tblPr>
      <w:tblGrid>
        <w:gridCol w:w="370"/>
        <w:gridCol w:w="325"/>
        <w:gridCol w:w="326"/>
        <w:gridCol w:w="211"/>
        <w:gridCol w:w="826"/>
        <w:gridCol w:w="109"/>
        <w:gridCol w:w="109"/>
        <w:gridCol w:w="109"/>
        <w:gridCol w:w="109"/>
        <w:gridCol w:w="211"/>
        <w:gridCol w:w="826"/>
        <w:gridCol w:w="109"/>
        <w:gridCol w:w="109"/>
        <w:gridCol w:w="109"/>
        <w:gridCol w:w="109"/>
        <w:gridCol w:w="267"/>
        <w:gridCol w:w="199"/>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67"/>
        <w:gridCol w:w="199"/>
        <w:gridCol w:w="271"/>
        <w:gridCol w:w="109"/>
        <w:gridCol w:w="109"/>
        <w:gridCol w:w="109"/>
        <w:gridCol w:w="232"/>
        <w:gridCol w:w="234"/>
        <w:gridCol w:w="316"/>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Software recognized at a point in time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Software recognized over contract term</w:t>
            </w:r>
            <w:r>
              <w:rPr>
                <w:color w:val="000000"/>
              </w:rPr>
              <w:t xml:space="preserve">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(1)Includes license portion of our on-premises subscription software and perpetual licenses, both of which are recognized when the software is made available to the customer, or at the start of the subscription.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maintenance portion and usage-based fees of our on-premises subscription software, maintenance revenue on perpetual licenses, as well as SaaS revenue.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our Scores segment by distribution method:</w:t>
      </w:r>
    </w:p>
    <w:p>
      <w:pPr>
        <w:pStyle w:val="TextBody"/>
        <w:bidi w:val="0"/>
        <w:spacing w:before="0" w:after="0"/>
        <w:ind w:left="0" w:right="0" w:firstLine="450"/>
        <w:jc w:val="both"/>
        <w:rPr/>
      </w:pPr>
      <w:r>
        <w:rPr/>
      </w:r>
    </w:p>
    <w:tbl>
      <w:tblPr>
        <w:tblW w:w="11922" w:type="dxa"/>
        <w:jc w:val="left"/>
        <w:tblInd w:w="0" w:type="dxa"/>
        <w:tblLayout w:type="fixed"/>
        <w:tblCellMar>
          <w:top w:w="28" w:type="dxa"/>
          <w:left w:w="28" w:type="dxa"/>
          <w:bottom w:w="28" w:type="dxa"/>
          <w:right w:w="28" w:type="dxa"/>
        </w:tblCellMar>
      </w:tblPr>
      <w:tblGrid>
        <w:gridCol w:w="748"/>
        <w:gridCol w:w="578"/>
        <w:gridCol w:w="58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97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7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Business-to-business 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Business-to-consumer 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derive a substantial portion of revenues from our contracts with the three major consumer reporting agencies, Experian, TransUnion and Equifax. Revenues collectively generated by agreements with these customers accounted for 63% and 54% of our total revenues in the quarters ended June 30, 2026 and 2025, respectively, with all three consumer reporting agencies each contributing more than 10% of our total revenues in each of the quarters ended June 30, 2026 and 2025. Revenues collectively generated by agreements with these customers accounted for 60% and 51% of our total revenues in the nine months ended June 30, 2026 and 2025, respectively, with all three consumer reporting agencies each contributing more than 10% of our total revenues in each of the nine months ended June 30, 2026 and 2025. At June 30, 2026 and September 30, 2025, three and two customers, respectively, accounted for 10% or more of total consolidated receivables.</w:t>
      </w:r>
    </w:p>
    <w:p>
      <w:pPr>
        <w:pStyle w:val="TextBody"/>
        <w:bidi w:val="0"/>
        <w:spacing w:lineRule="auto" w:line="288" w:before="3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00"/>
        <w:ind w:left="0" w:right="0" w:firstLine="450"/>
        <w:jc w:val="both"/>
        <w:rPr/>
      </w:pPr>
      <w:r>
        <w:rPr>
          <w:rFonts w:ascii="Times New Roman;serif" w:hAnsi="Times New Roman;serif"/>
          <w:b w:val="false"/>
          <w:color w:val="000000"/>
          <w:sz w:val="20"/>
        </w:rPr>
        <w:t>Receivables at June 30, 2026 and September 30, 2025 consisted of the following:</w:t>
      </w:r>
      <w:r>
        <w:rPr>
          <w:color w:val="000000"/>
        </w:rPr>
        <w:t> </w:t>
      </w:r>
    </w:p>
    <w:tbl>
      <w:tblPr>
        <w:tblW w:w="6256" w:type="dxa"/>
        <w:jc w:val="left"/>
        <w:tblInd w:w="0" w:type="dxa"/>
        <w:tblLayout w:type="fixed"/>
        <w:tblCellMar>
          <w:top w:w="28" w:type="dxa"/>
          <w:left w:w="28" w:type="dxa"/>
          <w:bottom w:w="28" w:type="dxa"/>
          <w:right w:w="28" w:type="dxa"/>
        </w:tblCellMar>
      </w:tblPr>
      <w:tblGrid>
        <w:gridCol w:w="1151"/>
        <w:gridCol w:w="1014"/>
        <w:gridCol w:w="1029"/>
        <w:gridCol w:w="211"/>
        <w:gridCol w:w="826"/>
        <w:gridCol w:w="109"/>
        <w:gridCol w:w="109"/>
        <w:gridCol w:w="109"/>
        <w:gridCol w:w="109"/>
        <w:gridCol w:w="281"/>
        <w:gridCol w:w="1103"/>
        <w:gridCol w:w="205"/>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327,721 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574,321 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566,357 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Less: long-term receivables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Short-term receivables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529,148 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Short-term receivables and long-term receivables were recorded in accounts receivable, net and other assets, respectively, within the accompanying condensed consolidated balance sheets.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revenue primarily relates to our maintenance and SaaS contracts billed annually in advance and generally recognized ratably over the term of the service period. Significant changes in the deferred revenues balances are as follows:</w:t>
      </w:r>
    </w:p>
    <w:tbl>
      <w:tblPr>
        <w:tblW w:w="10205" w:type="dxa"/>
        <w:jc w:val="left"/>
        <w:tblInd w:w="0" w:type="dxa"/>
        <w:tblLayout w:type="fixed"/>
        <w:tblCellMar>
          <w:top w:w="28" w:type="dxa"/>
          <w:left w:w="28" w:type="dxa"/>
          <w:bottom w:w="28" w:type="dxa"/>
          <w:right w:w="28" w:type="dxa"/>
        </w:tblCellMar>
      </w:tblPr>
      <w:tblGrid>
        <w:gridCol w:w="2986"/>
        <w:gridCol w:w="2619"/>
        <w:gridCol w:w="2629"/>
        <w:gridCol w:w="109"/>
        <w:gridCol w:w="109"/>
        <w:gridCol w:w="109"/>
        <w:gridCol w:w="290"/>
        <w:gridCol w:w="1139"/>
        <w:gridCol w:w="215"/>
      </w:tblGrid>
      <w:tr>
        <w:trPr/>
        <w:tc>
          <w:tcPr>
            <w:tcW w:w="2986"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w:t>
              <w:br/>
              <w:t>June 30, 2026</w:t>
            </w:r>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revenues, beginning balance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189,238 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the deferred revenues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billings,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185,643 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revenues, ending balance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207,286 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Deferred revenues at June 30, 2026 included current portion of $205.4 million and long-term portion of $1.9 million that were recorded in deferred revenue and other liabilities, respectively, within the condensed consolidated balance sheets. Deferred revenues at September 30, 2025 included current portion of $187.4 million and long-term portion of $1.8 million that were recorded in deferred revenue and other liabilities, respectively, within the condensed consolidated balance sheets.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pStyle w:val="TextBody"/>
        <w:bidi w:val="0"/>
        <w:spacing w:lineRule="auto" w:line="288" w:before="24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Usage-based revenue that will be recognized in future periods from on-premises software subscriptions;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Consumption-based variable fees from SaaS software that will be recognized in the distinct service period during which it is earned;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 from variable considerations that will be recognized in accordance with the “right-to-invoice” practical expedient, such as fees from our professional services billed based on a time and materials basis.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was $680.4 million as of June 30, 2026, approximately 50% of which we expect to recognize over the next 14 months and the remainder thereafter. Revenue allocated to remaining performance obligations was $655.7 million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2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was 24.6% and 23.3% during the quarters ended June 30, 2026 and 2025, respectively, and 23.5% and 17.2% during the nine months ended June 30, 2026 and 2025,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of 2025 was signed into law on July 4, 2025. Included among the provisions is the ability to immediately expense domestic research and experimental (“R&amp;E”) expenditures, as well as an election to accelerate any unamortized domestic R&amp;E expenditures over a one- or two-year period. Both provisions are effective for FICO in fiscal 2026. The impacts of the OBBBA were reflected in FICO’s results for the nine months ended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total unrecognized tax benefit for uncertain tax positions was estimated to be $23.2 million and $19.5 million at June 30, 2026 and September 30, 2025, respectively. We recognize interest expense related to unrecognized tax benefits and penalties as part of the provision for income taxes in our condensed consolidated statements of income and comprehensive income. We accrued interest of $2.9 million and $1.9 million related to unrecognized tax benefits as of June 30, 2026 and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10. Earnings per Share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presents reconciliations for the numerators and denominators of basic and diluted earnings per share (“EPS”) for the quarters and nine-month periods ended June 30, 2026 and 2025:</w:t>
      </w:r>
      <w:r>
        <w:rPr>
          <w:color w:val="000000"/>
        </w:rPr>
        <w:t> </w:t>
      </w:r>
    </w:p>
    <w:tbl>
      <w:tblPr>
        <w:tblW w:w="9854" w:type="dxa"/>
        <w:jc w:val="left"/>
        <w:tblInd w:w="0" w:type="dxa"/>
        <w:tblLayout w:type="fixed"/>
        <w:tblCellMar>
          <w:top w:w="28" w:type="dxa"/>
          <w:left w:w="28" w:type="dxa"/>
          <w:bottom w:w="28" w:type="dxa"/>
          <w:right w:w="28" w:type="dxa"/>
        </w:tblCellMar>
      </w:tblPr>
      <w:tblGrid>
        <w:gridCol w:w="1535"/>
        <w:gridCol w:w="1352"/>
        <w:gridCol w:w="13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diluted and basic earnings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Effect of dilutive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Anti-dilutive share-based awards excluded from the calculations of diluted EPS were immaterial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Scores.</w:t>
      </w:r>
      <w:r>
        <w:rPr>
          <w:color w:val="000000"/>
        </w:rPr>
        <w:t xml:space="preserve"> </w:t>
      </w:r>
      <w:r>
        <w:rPr>
          <w:rFonts w:ascii="Times New Roman;serif" w:hAnsi="Times New Roman;serif"/>
          <w:b w:val="false"/>
          <w:color w:val="000000"/>
          <w:sz w:val="20"/>
        </w:rPr>
        <w:t>This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Software</w:t>
      </w:r>
      <w:r>
        <w:rPr>
          <w:rFonts w:ascii="Times New Roman;serif" w:hAnsi="Times New Roman;serif"/>
          <w:b w:val="false"/>
          <w:color w:val="000000"/>
          <w:sz w:val="20"/>
        </w:rPr>
        <w:t>. This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who is our Chief Executive Officer, evaluates segment financial performance based on segment revenues, segment operating expenses in total and segment operating income. Segment operating expenses consist of direct and indirect costs principally related to personnel, facilities, IT infrastructure, depreciation and amortization, consulting and travel.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and amortization amounts are allocated to the segments from their internal cost centers as described above.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segment information for the quarters and nine-month periods ended June 30, 2026 and 2025:</w:t>
      </w:r>
    </w:p>
    <w:tbl>
      <w:tblPr>
        <w:tblW w:w="8127"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2026</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8127"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tbl>
      <w:tblPr>
        <w:tblW w:w="8277" w:type="dxa"/>
        <w:jc w:val="left"/>
        <w:tblInd w:w="0" w:type="dxa"/>
        <w:tblLayout w:type="fixed"/>
        <w:tblCellMar>
          <w:top w:w="28" w:type="dxa"/>
          <w:left w:w="28" w:type="dxa"/>
          <w:bottom w:w="28" w:type="dxa"/>
          <w:right w:w="28" w:type="dxa"/>
        </w:tblCellMar>
      </w:tblPr>
      <w:tblGrid>
        <w:gridCol w:w="1441"/>
        <w:gridCol w:w="1272"/>
        <w:gridCol w:w="1277"/>
        <w:gridCol w:w="211"/>
        <w:gridCol w:w="976"/>
        <w:gridCol w:w="109"/>
        <w:gridCol w:w="109"/>
        <w:gridCol w:w="109"/>
        <w:gridCol w:w="109"/>
        <w:gridCol w:w="211"/>
        <w:gridCol w:w="82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2026</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127" w:type="dxa"/>
        <w:jc w:val="center"/>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depreciation and amortization on property and equipment for the quarters and nine-month periods ended June 30, 2026 and 2025:</w:t>
      </w:r>
    </w:p>
    <w:tbl>
      <w:tblPr>
        <w:tblW w:w="9135" w:type="dxa"/>
        <w:jc w:val="left"/>
        <w:tblInd w:w="0" w:type="dxa"/>
        <w:tblLayout w:type="fixed"/>
        <w:tblCellMar>
          <w:top w:w="28" w:type="dxa"/>
          <w:left w:w="28" w:type="dxa"/>
          <w:bottom w:w="28" w:type="dxa"/>
          <w:right w:w="28" w:type="dxa"/>
        </w:tblCellMar>
      </w:tblPr>
      <w:tblGrid>
        <w:gridCol w:w="1580"/>
        <w:gridCol w:w="1391"/>
        <w:gridCol w:w="139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Scores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segment depreciation and amortization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Unallocated 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12. Contingencies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Statements contained in this report that are not statements of historical fact are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of our Annual Report on Form 10-K for the fiscal year ended September 30, 2025 and in subsequent filings with the SEC. The performance of our business and our securities may be adversely affected by these factors and by other factors common to other businesses and investments, or to the general economy. Readers are cautioned not to place undue reliance on forward-looking statements, which speak only as of the date they are made. We disclaim any intent or obligation to update or revise any forward-looking statements, whether as a result of new information, future events or otherwise. Readers should carefully review the disclosures and the risk factors described in this and other documents we file from time to time with the SEC, including our Annual Reports on Form 10-K,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were founded in 1956 on the premise that data, used intelligently, can improve business decisions. Today, FICO’s software and the widely used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 the standard measure of consumer credit risk in the United States (“U.S.”) — empowering them to increase financial literacy and manage their financial health.</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business consists of two operating segments: Scores and Software.</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Highlights from the quarter and nine months ended June 30, 2026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revenues were $674.2 million during the quarter ended June 30, 2026, a 26% increase from the quarter ended June 30, 2025, and $1.9 billion during the nine months ended June 30, 2026, a 27% increase from the nine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Revenues for our Scores segment were $458.9 million during the quarter ended June 30, 2026, a 41% increase from the quarter ended June 30, 2025, and $1.2 billion during the nine months ended June 30, 2026, a 45% increase from the nine months ended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Annual Recurring Revenue for our Software segment as of June 30, 2026 was $815.8 million, a 10% increase from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Dollar-Based Net Retention Rate for our Software segment was 109% as of June 30, 2026.</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Operating income was $362.6 million during the quarter ended June 30, 2026, a 38% increase from the quarter ended June 30, 2025, and $999.1 million during the nine months ended June 30, 2026, a 45% increase from the nine months ended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Net income was $237.2 million during the quarter ended June 30, 2026, a 30% increase from the quarter ended June 30, 2025, and $660.0 million during the nine months ended June 30, 2026, a 33% increase from the nine months ended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Diluted EPS was $10.45 during the quarter ended June 30, 2026, a 41% increase from the quarter ended June 30, 2025, and $28.12 during the nine months ended June 30, 2026, a 40% increase from the nine months ended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Cash flows from operating activities were $777.9 million during the nine months ended June 30, 2026, compared with $555.1 million during the nine months ended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 June 2026, we amended our credit agreement to provide for a $1.5 billion term loan, the proceeds of which were used to fund an accelerated share repurchase agreement (“ASR Agreement”).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Total debt balance was $5.6 billion as of June 30, 2026, compared with $3.1 billion as of September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Total share repurchases during the quarter ended June 30, 2026 were $2.3 billion, compared with $511.3 million during the quarter ended June 30, 2025, and during the nine months ended June 30, 2026 were $3.1 billion, compared with $878.1 million during the nine months ended June 30, 2025. The quarter and nine months ended June 30, 2026 included $1.5 billion paid under the ASR Agreement.</w:t>
      </w:r>
    </w:p>
    <w:p>
      <w:pPr>
        <w:pStyle w:val="TextBody"/>
        <w:bidi w:val="0"/>
        <w:spacing w:lineRule="auto" w:line="288" w:before="300" w:after="160"/>
        <w:jc w:val="both"/>
        <w:rPr>
          <w:rFonts w:ascii="Times New Roman;serif" w:hAnsi="Times New Roman;serif"/>
          <w:b/>
          <w:color w:val="000000"/>
          <w:sz w:val="20"/>
        </w:rPr>
      </w:pPr>
      <w:r>
        <w:rPr>
          <w:rFonts w:ascii="Times New Roman;serif" w:hAnsi="Times New Roman;serif"/>
          <w:b/>
          <w:color w:val="000000"/>
          <w:sz w:val="20"/>
        </w:rPr>
        <w:t>Key performance metrics for Software segment</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Annual Contract Value Bookings (“ACV Bookings”)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regards ACV Bookings as an important indicator of future revenues, but it is not comparable to, nor is it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 For the periods presented, ACV Bookings related to estimates of future usage-based fees was approximately 20% of the total ACV Bookings amount on an annualized basis. Differences between the initial estimates of future usage-based fees and actual results historically have not been material and we do not currently expect that they will be materially different in the future.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disclose estimated revenue expected to be recognized in the future related to remaining performance obligations in Note 8 to the accompanying condensed consolidated financial statements. However, we believe ACV Bookings is a useful supplemental measure of our business as it includes estimated revenues and future billings excluded from Note 8, such as usage-based fees and guaranteed minimums derived from our on-premises software licenses,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ACV Bookings during the periods indicated:</w:t>
      </w:r>
    </w:p>
    <w:tbl>
      <w:tblPr>
        <w:tblW w:w="7609" w:type="dxa"/>
        <w:jc w:val="left"/>
        <w:tblInd w:w="0" w:type="dxa"/>
        <w:tblLayout w:type="fixed"/>
        <w:tblCellMar>
          <w:top w:w="28" w:type="dxa"/>
          <w:left w:w="28" w:type="dxa"/>
          <w:bottom w:w="28" w:type="dxa"/>
          <w:right w:w="28" w:type="dxa"/>
        </w:tblCellMar>
      </w:tblPr>
      <w:tblGrid>
        <w:gridCol w:w="1114"/>
        <w:gridCol w:w="979"/>
        <w:gridCol w:w="982"/>
        <w:gridCol w:w="211"/>
        <w:gridCol w:w="511"/>
        <w:gridCol w:w="109"/>
        <w:gridCol w:w="109"/>
        <w:gridCol w:w="109"/>
        <w:gridCol w:w="109"/>
        <w:gridCol w:w="211"/>
        <w:gridCol w:w="511"/>
        <w:gridCol w:w="109"/>
        <w:gridCol w:w="109"/>
        <w:gridCol w:w="109"/>
        <w:gridCol w:w="109"/>
        <w:gridCol w:w="230"/>
        <w:gridCol w:w="557"/>
        <w:gridCol w:w="119"/>
        <w:gridCol w:w="119"/>
        <w:gridCol w:w="119"/>
        <w:gridCol w:w="119"/>
        <w:gridCol w:w="230"/>
        <w:gridCol w:w="557"/>
        <w:gridCol w:w="168"/>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Annual Recurring Revenue (“ARR”)</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Accounting Standards Codification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requires us to recognize a significant portion of revenue from our on-premises software subscriptions at the point in time when the software is first made available to the customer, or at the beginning of the subscription term, despite</w:t>
      </w:r>
      <w:r>
        <w:rPr>
          <w:color w:val="000000"/>
        </w:rPr>
        <w:t xml:space="preserve"> </w:t>
      </w:r>
      <w:r>
        <w:rPr>
          <w:rFonts w:ascii="Times New Roman;serif" w:hAnsi="Times New Roman;serif"/>
          <w:b w:val="false"/>
          <w:color w:val="000000"/>
          <w:sz w:val="20"/>
        </w:rPr>
        <w:t>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 arrangements that are not expected to recur (primarily perpetual licenses) are excluded.</w:t>
      </w:r>
      <w:r>
        <w:rPr>
          <w:color w:val="000000"/>
        </w:rPr>
        <w:t xml:space="preserve"> </w:t>
      </w:r>
      <w:r>
        <w:rPr>
          <w:rFonts w:ascii="Times New Roman;serif" w:hAnsi="Times New Roman;serif"/>
          <w:b w:val="false"/>
          <w:color w:val="000000"/>
          <w:sz w:val="20"/>
        </w:rPr>
        <w:t>We calculate ARR as the quarterly recurring revenue run-rate multiplied by four.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ARR for on-premises and SaaS software exiting each of the dates presented:</w:t>
      </w:r>
    </w:p>
    <w:tbl>
      <w:tblPr>
        <w:tblW w:w="10598" w:type="dxa"/>
        <w:jc w:val="left"/>
        <w:tblInd w:w="0" w:type="dxa"/>
        <w:tblLayout w:type="fixed"/>
        <w:tblCellMar>
          <w:top w:w="28" w:type="dxa"/>
          <w:left w:w="28" w:type="dxa"/>
          <w:bottom w:w="28" w:type="dxa"/>
          <w:right w:w="28" w:type="dxa"/>
        </w:tblCellMar>
      </w:tblPr>
      <w:tblGrid>
        <w:gridCol w:w="460"/>
        <w:gridCol w:w="404"/>
        <w:gridCol w:w="412"/>
        <w:gridCol w:w="310"/>
        <w:gridCol w:w="170"/>
        <w:gridCol w:w="401"/>
        <w:gridCol w:w="109"/>
        <w:gridCol w:w="109"/>
        <w:gridCol w:w="109"/>
        <w:gridCol w:w="294"/>
        <w:gridCol w:w="191"/>
        <w:gridCol w:w="380"/>
        <w:gridCol w:w="109"/>
        <w:gridCol w:w="109"/>
        <w:gridCol w:w="109"/>
        <w:gridCol w:w="300"/>
        <w:gridCol w:w="166"/>
        <w:gridCol w:w="405"/>
        <w:gridCol w:w="109"/>
        <w:gridCol w:w="109"/>
        <w:gridCol w:w="109"/>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300"/>
        <w:gridCol w:w="166"/>
        <w:gridCol w:w="405"/>
        <w:gridCol w:w="109"/>
        <w:gridCol w:w="109"/>
        <w:gridCol w:w="109"/>
        <w:gridCol w:w="267"/>
        <w:gridCol w:w="199"/>
        <w:gridCol w:w="459"/>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ARR</w:t>
            </w:r>
          </w:p>
        </w:tc>
        <w:tc>
          <w:tcPr>
            <w:tcW w:w="93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Percentage</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YoY Change</w:t>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Dollar-Based Net Retention Rate (“DBNRR”)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DBNRR for on-premises and SaaS software exiting each of the dates presented:</w:t>
      </w:r>
    </w:p>
    <w:tbl>
      <w:tblPr>
        <w:tblW w:w="10414" w:type="dxa"/>
        <w:jc w:val="left"/>
        <w:tblInd w:w="0" w:type="dxa"/>
        <w:tblLayout w:type="fixed"/>
        <w:tblCellMar>
          <w:top w:w="28" w:type="dxa"/>
          <w:left w:w="28" w:type="dxa"/>
          <w:bottom w:w="28" w:type="dxa"/>
          <w:right w:w="28" w:type="dxa"/>
        </w:tblCellMar>
      </w:tblPr>
      <w:tblGrid>
        <w:gridCol w:w="460"/>
        <w:gridCol w:w="404"/>
        <w:gridCol w:w="412"/>
        <w:gridCol w:w="272"/>
        <w:gridCol w:w="194"/>
        <w:gridCol w:w="483"/>
        <w:gridCol w:w="109"/>
        <w:gridCol w:w="109"/>
        <w:gridCol w:w="109"/>
        <w:gridCol w:w="254"/>
        <w:gridCol w:w="212"/>
        <w:gridCol w:w="458"/>
        <w:gridCol w:w="109"/>
        <w:gridCol w:w="109"/>
        <w:gridCol w:w="109"/>
        <w:gridCol w:w="233"/>
        <w:gridCol w:w="233"/>
        <w:gridCol w:w="326"/>
        <w:gridCol w:w="109"/>
        <w:gridCol w:w="109"/>
        <w:gridCol w:w="109"/>
        <w:gridCol w:w="233"/>
        <w:gridCol w:w="233"/>
        <w:gridCol w:w="271"/>
        <w:gridCol w:w="109"/>
        <w:gridCol w:w="109"/>
        <w:gridCol w:w="109"/>
        <w:gridCol w:w="272"/>
        <w:gridCol w:w="194"/>
        <w:gridCol w:w="483"/>
        <w:gridCol w:w="109"/>
        <w:gridCol w:w="109"/>
        <w:gridCol w:w="109"/>
        <w:gridCol w:w="254"/>
        <w:gridCol w:w="212"/>
        <w:gridCol w:w="458"/>
        <w:gridCol w:w="109"/>
        <w:gridCol w:w="109"/>
        <w:gridCol w:w="109"/>
        <w:gridCol w:w="233"/>
        <w:gridCol w:w="233"/>
        <w:gridCol w:w="326"/>
        <w:gridCol w:w="109"/>
        <w:gridCol w:w="109"/>
        <w:gridCol w:w="109"/>
        <w:gridCol w:w="233"/>
        <w:gridCol w:w="233"/>
        <w:gridCol w:w="316"/>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DBNRR</w:t>
            </w:r>
          </w:p>
        </w:tc>
        <w:tc>
          <w:tcPr>
            <w:tcW w:w="6910"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72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Segment revenues, operating income, and related financial information, including disaggregation of revenue, are set forth in Note 8 and Note 11 to the accompanying condensed consolidated financial statements.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on a segment basis related to our revenues for the quarters and nine-month periods ended June 30, 2026 and 2025:</w:t>
      </w:r>
    </w:p>
    <w:tbl>
      <w:tblPr>
        <w:tblW w:w="10205" w:type="dxa"/>
        <w:jc w:val="left"/>
        <w:tblInd w:w="0" w:type="dxa"/>
        <w:tblLayout w:type="fixed"/>
        <w:tblCellMar>
          <w:top w:w="28" w:type="dxa"/>
          <w:left w:w="28" w:type="dxa"/>
          <w:bottom w:w="28" w:type="dxa"/>
          <w:right w:w="28" w:type="dxa"/>
        </w:tblCellMar>
      </w:tblPr>
      <w:tblGrid>
        <w:gridCol w:w="298"/>
        <w:gridCol w:w="262"/>
        <w:gridCol w:w="266"/>
        <w:gridCol w:w="211"/>
        <w:gridCol w:w="976"/>
        <w:gridCol w:w="109"/>
        <w:gridCol w:w="109"/>
        <w:gridCol w:w="109"/>
        <w:gridCol w:w="109"/>
        <w:gridCol w:w="211"/>
        <w:gridCol w:w="976"/>
        <w:gridCol w:w="109"/>
        <w:gridCol w:w="109"/>
        <w:gridCol w:w="109"/>
        <w:gridCol w:w="109"/>
        <w:gridCol w:w="232"/>
        <w:gridCol w:w="234"/>
        <w:gridCol w:w="380"/>
        <w:gridCol w:w="152"/>
        <w:gridCol w:w="152"/>
        <w:gridCol w:w="152"/>
        <w:gridCol w:w="232"/>
        <w:gridCol w:w="234"/>
        <w:gridCol w:w="387"/>
        <w:gridCol w:w="109"/>
        <w:gridCol w:w="109"/>
        <w:gridCol w:w="109"/>
        <w:gridCol w:w="330"/>
        <w:gridCol w:w="1299"/>
        <w:gridCol w:w="173"/>
        <w:gridCol w:w="109"/>
        <w:gridCol w:w="109"/>
        <w:gridCol w:w="109"/>
        <w:gridCol w:w="309"/>
        <w:gridCol w:w="309"/>
        <w:gridCol w:w="90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417" w:before="240" w:after="283"/>
        <w:ind w:left="0" w:right="0" w:firstLine="144"/>
        <w:jc w:val="left"/>
        <w:rPr>
          <w:rFonts w:ascii="Times New Roman;serif" w:hAnsi="Times New Roman;serif"/>
          <w:b/>
          <w:color w:val="000000"/>
          <w:sz w:val="20"/>
        </w:rPr>
      </w:pPr>
      <w:r>
        <w:rPr>
          <w:rFonts w:ascii="Times New Roman;serif" w:hAnsi="Times New Roman;serif"/>
          <w:b/>
          <w:color w:val="000000"/>
          <w:sz w:val="20"/>
        </w:rPr>
        <w:t>Quarter Ended June 30, 2026 Compared to Quarter Ended June 30, 2025</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Scores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Scores segment revenues increased $134.6 million due to an increase of $131.6 million in our business-to-business scores revenue and an increase of $3.0 million in our business-to-consumer scores revenue. The increase in business-to-business scores revenue was primarily attributable to a higher mortgage origination scores unit price. The increase in business-to-consumer scores revenue was primarily attributable to an increase in royalties derived from scores sold indirectly to consumers through credit reporting agencies.</w:t>
      </w:r>
    </w:p>
    <w:p>
      <w:pPr>
        <w:pStyle w:val="TextBody"/>
        <w:bidi w:val="0"/>
        <w:spacing w:lineRule="auto" w:line="288" w:before="30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Software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our Software segment by revenue types:</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436"/>
        <w:gridCol w:w="1273"/>
        <w:gridCol w:w="226"/>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rPr>
        <w:t>Software</w:t>
      </w:r>
      <w:r>
        <w:rPr>
          <w:color w:val="000000"/>
        </w:rPr>
        <w:t xml:space="preserve"> </w:t>
      </w:r>
      <w:r>
        <w:rPr>
          <w:rFonts w:ascii="Times New Roman;serif" w:hAnsi="Times New Roman;serif"/>
          <w:b w:val="false"/>
          <w:color w:val="000000"/>
          <w:sz w:val="20"/>
        </w:rPr>
        <w:t>segment revenues increased $3.2 million due to a $9.1 million increase in our on-premises and SaaS software revenue, partially offset by a $5.9 million decrease in our professional services revenue. The increase in our on-premises and SaaS software revenue was primarily attributable to an increase in revenue recognized over time largely driven by SaaS growth for our Platform products, partially offset by a decrease in license revenue recognized at a point in time. The decrease in professional services revenue was primarily attributable to our strategy to emphasize higher-margin software over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283"/>
        <w:ind w:left="0" w:right="0" w:firstLine="144"/>
        <w:jc w:val="left"/>
        <w:rPr>
          <w:rFonts w:ascii="Times New Roman;serif" w:hAnsi="Times New Roman;serif"/>
          <w:b/>
          <w:color w:val="000000"/>
          <w:sz w:val="20"/>
        </w:rPr>
      </w:pPr>
      <w:r>
        <w:rPr>
          <w:rFonts w:ascii="Times New Roman;serif" w:hAnsi="Times New Roman;serif"/>
          <w:b/>
          <w:color w:val="000000"/>
          <w:sz w:val="20"/>
        </w:rPr>
        <w:t xml:space="preserve">Nine Months Ended June 30, 2026 Compared to Nine Months Ended June 30, 2025 </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Scores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Scores segment revenues increased $381.4 million due to an increase of $372.9 million in our business-to-business scores revenue and an increase of $8.5 million in our business-to-consumer scores revenue. The increase in business-to-business scores revenue was primarily attributable to both a higher unit price and an increase in volume of mortgage origination scores. The increase in business-to-consumer scores revenue was primarily attributable to an increase in royalties derived from scores sold indirectly to consumers through credit reporting agencies.</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Software</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95"/>
        <w:jc w:val="both"/>
        <w:rPr/>
      </w:pPr>
      <w:r>
        <w:rPr>
          <w:rFonts w:ascii="Times New Roman;serif" w:hAnsi="Times New Roman;serif"/>
          <w:b w:val="false"/>
          <w:color w:val="000000"/>
          <w:sz w:val="20"/>
        </w:rPr>
        <w:t>Software</w:t>
      </w:r>
      <w:r>
        <w:rPr>
          <w:color w:val="000000"/>
        </w:rPr>
        <w:t xml:space="preserve"> </w:t>
      </w:r>
      <w:r>
        <w:rPr>
          <w:rFonts w:ascii="Times New Roman;serif" w:hAnsi="Times New Roman;serif"/>
          <w:b w:val="false"/>
          <w:color w:val="000000"/>
          <w:sz w:val="20"/>
        </w:rPr>
        <w:t>segment revenues increased $21.3 million due to a $26.7 million increase in our on-premises and SaaS software revenue, partially offset by a $5.3 million decrease in professional services revenue. The increase in our on-premises and SaaS software revenue was primarily attributable to an increase in revenue recognized over time largely driven by SaaS growth for our Platform products, partially offset by a decrease in license revenue recognized at a point in time. The decrease in professional services revenue was primarily attributable to our strategy to emphasize higher-margin software over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Expenses and Other Expense, Net</w:t>
      </w:r>
    </w:p>
    <w:p>
      <w:pPr>
        <w:pStyle w:val="TextBody"/>
        <w:bidi w:val="0"/>
        <w:spacing w:lineRule="auto" w:line="288" w:before="12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related to our condensed consolidated statements of income and comprehensive income for the quarters and nine-month periods ended June 30, 2026 and 2025:</w:t>
      </w:r>
    </w:p>
    <w:tbl>
      <w:tblPr>
        <w:tblW w:w="10205" w:type="dxa"/>
        <w:jc w:val="left"/>
        <w:tblInd w:w="0" w:type="dxa"/>
        <w:tblLayout w:type="fixed"/>
        <w:tblCellMar>
          <w:top w:w="28" w:type="dxa"/>
          <w:left w:w="28" w:type="dxa"/>
          <w:bottom w:w="28" w:type="dxa"/>
          <w:right w:w="28" w:type="dxa"/>
        </w:tblCellMar>
      </w:tblPr>
      <w:tblGrid>
        <w:gridCol w:w="813"/>
        <w:gridCol w:w="488"/>
        <w:gridCol w:w="494"/>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287"/>
        <w:gridCol w:w="1086"/>
        <w:gridCol w:w="145"/>
        <w:gridCol w:w="109"/>
        <w:gridCol w:w="109"/>
        <w:gridCol w:w="109"/>
        <w:gridCol w:w="231"/>
        <w:gridCol w:w="231"/>
        <w:gridCol w:w="675"/>
      </w:tblGrid>
      <w:tr>
        <w:trPr/>
        <w:tc>
          <w:tcPr>
            <w:tcW w:w="81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w:t>
              <w:br/>
              <w:t>Period</w:t>
              <w:br/>
              <w:t>Percentage Change</w:t>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w:t>
              <w:b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br/>
              <w:t>except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employees at quarter end</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770"/>
        <w:gridCol w:w="421"/>
        <w:gridCol w:w="426"/>
        <w:gridCol w:w="211"/>
        <w:gridCol w:w="976"/>
        <w:gridCol w:w="109"/>
        <w:gridCol w:w="109"/>
        <w:gridCol w:w="109"/>
        <w:gridCol w:w="109"/>
        <w:gridCol w:w="211"/>
        <w:gridCol w:w="976"/>
        <w:gridCol w:w="109"/>
        <w:gridCol w:w="109"/>
        <w:gridCol w:w="109"/>
        <w:gridCol w:w="109"/>
        <w:gridCol w:w="233"/>
        <w:gridCol w:w="233"/>
        <w:gridCol w:w="380"/>
        <w:gridCol w:w="152"/>
        <w:gridCol w:w="152"/>
        <w:gridCol w:w="152"/>
        <w:gridCol w:w="233"/>
        <w:gridCol w:w="233"/>
        <w:gridCol w:w="387"/>
        <w:gridCol w:w="109"/>
        <w:gridCol w:w="109"/>
        <w:gridCol w:w="109"/>
        <w:gridCol w:w="266"/>
        <w:gridCol w:w="1046"/>
        <w:gridCol w:w="140"/>
        <w:gridCol w:w="109"/>
        <w:gridCol w:w="109"/>
        <w:gridCol w:w="109"/>
        <w:gridCol w:w="219"/>
        <w:gridCol w:w="219"/>
        <w:gridCol w:w="643"/>
      </w:tblGrid>
      <w:tr>
        <w:trPr/>
        <w:tc>
          <w:tcPr>
            <w:tcW w:w="77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w:t>
              <w:br/>
              <w:t>Period</w:t>
              <w:br/>
              <w:t>Percentage Change</w:t>
            </w:r>
          </w:p>
        </w:tc>
      </w:tr>
      <w:tr>
        <w:trPr/>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262,483 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consumer reporting agency data and processing services; third-party hosting fees related to our SaaS services; travel costs; and outside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revenues remained consistent quarter-over-prior year quarter. Cost of revenues as a percentage of revenues decreased to 13% during the quarter ended June 30, 2026 from 16% during the quarter ended June 30, 2025, primarily due to increased sales of our higher-margin Scores products.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year-to-date period-over-period increase in cost of revenues of $2.9 million was primarily attributable to a $6.9 million increase in infrastructure and facilities costs, partially offset by a $2.9 million decrease in personnel and labor costs and a $1.1 million decrease in direct materials and other costs. The increase in infrastructure and facilities costs was primarily attributable to an increase in third-party data center hosting costs. The decrease in personnel and labor costs was primarily attributable to decreased headcount. The decrease in direct materials and other costs was primarily attributable to decreased telecommunications costs that support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Customer Communications Services revenue. Cost of revenues as a percentage of revenues decreased to 14% during the nine months ended June 30, 2026 from 18% during the nine months ended June 30, 2025, primarily due to increased sales of our higher-margin Scores products.</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personnel and related overhead costs incurred in the development of new products and services, including research of mathematical and statistical models and development of new versions of Software products.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research and development expenses of $6.5 million was primarily attributable to a $5.4 million increase in infrastructure and facilities costs and a $2.2 million increase in personnel and labor costs, partially offset by a $1.1 million decrease in outside services and other costs. The increase in infrastructure and facilities costs was primarily attributable to increased third-party data center hosting costs. The increase in personnel and labor costs was primarily attributable to increased incentive costs, increased fringe benefit costs related to our deferred compensation plan, and increased share-based compensation costs. The decrease in outside services and other costs was primarily attributable to decreased third-party contractor costs. Research and development expenses as a percentage of revenues decreased to 8% during the quarter ended June 30, 2026 from 9% during the quarter ended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increase in research and development expenses of $20.1 million was primarily attributable to a $15.5 million increase in infrastructure and facilities costs and a $9.4 million increase in personnel and labor costs, partially offset by a $4.8 million decrease in outside services and other costs. The increase in infrastructure and facilities costs was primarily attributable to increased third-party data center hosting costs. The increase in personnel and labor costs was primarily attributable to increased incentive costs, increased headcount, and increased share-based compensation costs. The decrease in outside services and other costs was primarily attributable to decreased third-party contractor costs. Research and development expenses as a percentage of revenues remained consistent at 9% during each of the nine months ended June 30, 2026 and 2025.</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quarter-over-prior year quarter increase in selling, general and administrative expenses of $31.7 million was primarily attributable to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$25.6 million increase in personnel and labor costs and a $6.1 million increase in marketing and other costs. The increase in personnel and labor costs was primarily attributable to increased share-based compensation costs, increased headcount, increased fringe benefit costs related to our deferred compensation plan, increased incentive costs, and increased commission costs. The increase in marketing and other costs was primarily attributable to increased advertising and other promotional costs. Selling, general and administrative expenses as a percentage of revenues decreased to 25% during the quarter ended June 30, 2026 from 26% during the quarter ended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increase in selling, general and administrative expenses of $68.2 million was primarily attributable to a $50.4 million increase in personnel and labor costs, a $13.9 million increase in marketing and other costs, and a $3.9 million increase in outside services costs. The increase in personnel and labor costs was primarily attributable to increased headcount, increased share-based compensation costs, increased commission costs, increased incentive costs, and increased fringe benefit costs related to our deferred compensation plan. The increase in marketing and other costs was primarily attributable to increased advertising and other promotional costs. The increase in outside services costs was primarily attributable to increased third-party consulting costs. Selling, general and administrative expenses as a percentage of revenues decreased to 24% during the nine months ended June 30, 2026 from 26% during the nine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includes interest on the senior notes issued in March 2026, May 2025, December 2021, December 2019 and May 2018, as well as interest and credit agreement fees on the revolving line of credit and term loans. On our condensed consolidated statements of income and comprehensive income, interest expense is netted with interest income, which is derived primarily from the investment of funds in excess of our immediate operating requirements.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quarter-over-prior year quarter increase in interest expense, net of $27.0 million was primarily attributable to a higher average outstanding debt balance during the quarter ended June 30, 2026. The higher average debt balance was primarily attributable to the $1.5 billion of 2025 Senior Notes (as defined below), the $1.0 billion of 2026 Senior Notes (as defined below), the $1.5 billion term loan issued during June 2026, and a higher average outstanding balance on borrowings under our revolving line of credit.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increase in interest expense, net of $52.7 million was primarily attributable to a higher average outstanding debt balance during the nine months ended June 30, 2026. The higher average debt balance was primarily attributable to the $1.5 billion of 2025 Senior Notes (as defined below) and the $1.0 billion of 2026 Senior Notes (as defined below).</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consists primarily of unrealized investment gains/losses and realized gains/losses on marketable securities classified as trading securities, exchange rate gains/losses resulting from remeasurement of foreign-currency-denominated receivables and cash balances held by our various reporting entities into their respective functional currencies at period-end market rates, net of the impact of offsetting foreign currency forward contracts, and other non-operating items.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other income, net of $4.5 million was primarily attributable to an increase in net unrealized and realized gains on investments classified as trading securities in our deferred compensation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increase in other income, net of $3.7 million was primarily attributable to an increase in dividend income and realized gains on investments classified as trading securities in our deferred compensation plan.</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was 24.6% and 23.3% during the quarters ended June 30, 2026 and 2025, respectively, and 23.5% and 17.2% during the nine months ended June 30, 2026 and 2025,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quarters and nine months ended June 30, 2026 and 2025 were favorably impacted by the recording of excess tax benefits relating to stock awards. The impact is dependent upon grants of share-based compensation and the future stock price in relation to the fair value of awards on the grant date. The decrease in stock price for awards that vested in December 2025 resulted in a decreased net excess tax benefit for the nine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on a segment basis related to our operating income for the quarters ended June 30, 2026 and 2025:</w:t>
      </w:r>
    </w:p>
    <w:tbl>
      <w:tblPr>
        <w:tblW w:w="10052" w:type="dxa"/>
        <w:jc w:val="left"/>
        <w:tblInd w:w="0" w:type="dxa"/>
        <w:tblLayout w:type="fixed"/>
        <w:tblCellMar>
          <w:top w:w="28" w:type="dxa"/>
          <w:left w:w="28" w:type="dxa"/>
          <w:bottom w:w="28" w:type="dxa"/>
          <w:right w:w="28" w:type="dxa"/>
        </w:tblCellMar>
      </w:tblPr>
      <w:tblGrid>
        <w:gridCol w:w="1185"/>
        <w:gridCol w:w="1039"/>
        <w:gridCol w:w="1061"/>
        <w:gridCol w:w="211"/>
        <w:gridCol w:w="826"/>
        <w:gridCol w:w="109"/>
        <w:gridCol w:w="109"/>
        <w:gridCol w:w="109"/>
        <w:gridCol w:w="109"/>
        <w:gridCol w:w="211"/>
        <w:gridCol w:w="826"/>
        <w:gridCol w:w="109"/>
        <w:gridCol w:w="109"/>
        <w:gridCol w:w="109"/>
        <w:gridCol w:w="109"/>
        <w:gridCol w:w="355"/>
        <w:gridCol w:w="1394"/>
        <w:gridCol w:w="186"/>
        <w:gridCol w:w="109"/>
        <w:gridCol w:w="109"/>
        <w:gridCol w:w="109"/>
        <w:gridCol w:w="317"/>
        <w:gridCol w:w="317"/>
        <w:gridCol w:w="925"/>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operating income of $100.1 million was attributable to a $137.8 million increase in segment revenues, partially offset by an $18.5 million increase in segment operating expenses, a $10.4 million increase in share-based compensation expense, and an $8.8 million increase in corporate expenses.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segment level, the quarter-over-prior year quarter increase in segment operating income of $119.3 million was the result of a $132.2 million increase in our Scores segment operating income, partially offset by a $12.9 million decrease in our Software segment operating income.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Scores segment operating income of $132.2 million was due to a $134.6 million increase in segment revenue, partially offset by a $2.4 million increase in segment operating expenses. Scores segment operating income as a percentage of segment revenue increased to 91% from 88%, primarily due to higher business-to-business scores revenue driven by a higher mortgage origination scores unit price.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decrease in Software segment operating income of $12.9 million was due to a $16.1 million increase in segment operating expenses, partially offset by a $3.2 million increase in segment revenue. Software segment operating income as a percentage of segment revenue decreased to 26% from 32%, primarily attributable to a decrease in sales of higher-margin software recognized at a point in time and an increase in third-party data center hosting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on a segment basis related to our operating income for the nine-month periods ended June 30, 2026 and 2025:</w:t>
      </w:r>
    </w:p>
    <w:tbl>
      <w:tblPr>
        <w:tblW w:w="10202" w:type="dxa"/>
        <w:jc w:val="left"/>
        <w:tblInd w:w="0" w:type="dxa"/>
        <w:tblLayout w:type="fixed"/>
        <w:tblCellMar>
          <w:top w:w="28" w:type="dxa"/>
          <w:left w:w="28" w:type="dxa"/>
          <w:bottom w:w="28" w:type="dxa"/>
          <w:right w:w="28" w:type="dxa"/>
        </w:tblCellMar>
      </w:tblPr>
      <w:tblGrid>
        <w:gridCol w:w="1185"/>
        <w:gridCol w:w="1039"/>
        <w:gridCol w:w="1061"/>
        <w:gridCol w:w="211"/>
        <w:gridCol w:w="976"/>
        <w:gridCol w:w="109"/>
        <w:gridCol w:w="109"/>
        <w:gridCol w:w="109"/>
        <w:gridCol w:w="109"/>
        <w:gridCol w:w="211"/>
        <w:gridCol w:w="826"/>
        <w:gridCol w:w="109"/>
        <w:gridCol w:w="109"/>
        <w:gridCol w:w="109"/>
        <w:gridCol w:w="109"/>
        <w:gridCol w:w="355"/>
        <w:gridCol w:w="1394"/>
        <w:gridCol w:w="186"/>
        <w:gridCol w:w="109"/>
        <w:gridCol w:w="109"/>
        <w:gridCol w:w="109"/>
        <w:gridCol w:w="317"/>
        <w:gridCol w:w="317"/>
        <w:gridCol w:w="925"/>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917" w:type="dxa"/>
        <w:jc w:val="left"/>
        <w:tblInd w:w="0" w:type="dxa"/>
        <w:tblLayout w:type="fixed"/>
        <w:tblCellMar>
          <w:top w:w="28" w:type="dxa"/>
          <w:left w:w="28" w:type="dxa"/>
          <w:bottom w:w="28" w:type="dxa"/>
          <w:right w:w="28" w:type="dxa"/>
        </w:tblCellMar>
      </w:tblPr>
      <w:tblGrid>
        <w:gridCol w:w="364"/>
        <w:gridCol w:w="268"/>
        <w:gridCol w:w="269"/>
        <w:gridCol w:w="211"/>
        <w:gridCol w:w="97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increase of $311.4 million in operating income was attributable to a $402.7 million increase in segment revenues, partially offset by a $54.7 million increase in segment operating expenses, an $18.9 million increase in corporate expenses, and a $17.7 million increase in 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the segment level, the year-to-date period-over-period increase of $348.0 million in segment operating income was the result of a $363.8 million increase in our Scores segment operating income, partially offset by a $15.8 million decrease in our Software segment operating income.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$363.8 million increase in Scores segment operating income was attributable to a $381.4 million increase in segment revenue, partially offset by a $17.6 million increase in segment operating expenses. Scores segment operating income as a percentage of segment revenue increased to 90% from 88%, primarily due to higher business-to-business scores revenue driven by both a higher unit price and an increase in volume of mortgage origination scores.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$15.8 million decrease in Software segment operating income was due to a $37.1 million increase in segment operating expenses, partially offset by a $21.3 million increase in segment revenue. Software segment operating income as a percentage of segment revenue decreased to 28% from 31%, primarily attributable to an increase in third-party data center hosting costs and a decrease in sales of higher-margin software recognized at a point in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CAPITAL RESOURCES AND LIQUIDITY</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had $248.4 million in cash and cash equivalents, which included $139.8 million held by our foreign subsidiaries. We believe our cash and cash equivalents balances, including those held by our foreign subsidiaries, as well as available borrowings from our $1.0 billion revolving line of credit and anticipated cash flows from operating activities, will be sufficient to fund our working and other capital requirements for at least the next 12 months and thereafter for the foreseeable future, including the $300.0 million principal payments due on our term loan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pStyle w:val="TextBody"/>
        <w:bidi w:val="0"/>
        <w:spacing w:lineRule="auto" w:line="288" w:before="300" w:after="283"/>
        <w:jc w:val="left"/>
        <w:rPr/>
      </w:pPr>
      <w:r>
        <w:rPr>
          <w:rFonts w:ascii="Times New Roman;serif" w:hAnsi="Times New Roman;serif"/>
          <w:b/>
          <w:color w:val="000000"/>
          <w:sz w:val="20"/>
        </w:rPr>
        <w:t>Summary of Cash Flows</w:t>
      </w:r>
      <w:r>
        <w:rPr>
          <w:color w:val="000000"/>
        </w:rPr>
        <w:t> </w:t>
      </w:r>
    </w:p>
    <w:tbl>
      <w:tblPr>
        <w:tblW w:w="8270" w:type="dxa"/>
        <w:jc w:val="left"/>
        <w:tblInd w:w="0" w:type="dxa"/>
        <w:tblLayout w:type="fixed"/>
        <w:tblCellMar>
          <w:top w:w="28" w:type="dxa"/>
          <w:left w:w="28" w:type="dxa"/>
          <w:bottom w:w="28" w:type="dxa"/>
          <w:right w:w="28" w:type="dxa"/>
        </w:tblCellMar>
      </w:tblPr>
      <w:tblGrid>
        <w:gridCol w:w="1211"/>
        <w:gridCol w:w="1063"/>
        <w:gridCol w:w="1070"/>
        <w:gridCol w:w="211"/>
        <w:gridCol w:w="826"/>
        <w:gridCol w:w="109"/>
        <w:gridCol w:w="109"/>
        <w:gridCol w:w="109"/>
        <w:gridCol w:w="109"/>
        <w:gridCol w:w="211"/>
        <w:gridCol w:w="826"/>
        <w:gridCol w:w="109"/>
        <w:gridCol w:w="109"/>
        <w:gridCol w:w="109"/>
        <w:gridCol w:w="109"/>
        <w:gridCol w:w="350"/>
        <w:gridCol w:w="1372"/>
        <w:gridCol w:w="258"/>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222,742 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(135,553)</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primary method for funding operations and growth has been through cash flows generated from operating activities. Net cash provided by operating activities increased to $777.9 million during the nine months ended June 30, 2026 from $555.1 million during the nine months ended June 30, 2025. The $222.7 million increase was attributable to a $163.1 million increase in net income and a $60.9 million increase in non-cash items, partially offset by a $1.3 million decrease due to the timing of receipts and payments in our ordinary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to $39.3 million for the nine months ended June 30, 2026 from $30.4 million for the nine months ended June 30, 2025. The $8.9 million increase was attributable to a $4.7 million increase in capitalized internal-use software costs and a $12.8 million increase in purchases of other investments, partially offset by a $5.2 million increase in proceeds from sales, net of purchases, of marketable securities and a $3.4 million decrease in purchases of property and equipment.</w:t>
      </w:r>
    </w:p>
    <w:p>
      <w:pPr>
        <w:pStyle w:val="TextBody"/>
        <w:bidi w:val="0"/>
        <w:spacing w:lineRule="auto" w:line="288" w:before="24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to $622.3 million for the nine months ended June 30, 2026 from $486.8 million for the nine months ended June 30, 2025. The $135.6 million increase was primarily attributable to a $2.2 billion increase in repurchases of common stock (including the $1.5 billion paid under the ASR Agreement in the nine months ended June 30, 2026), a $500.0 million decrease in proceeds from issuance of senior notes, and the $400.0 million repayment of 2018 Senior Notes (as defined below), partially offset by a $2.9 billion increase in proceeds, net of payments, from the revolving line of credit and term loans, and a $91.9 million decrease in taxes paid related to net share settlement of equity awards.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Repurchases of Common Stock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2025, our Board of Directors approved a stock repurchase program (the “June 2025 program”), replacing our previously authorized July 2024 stock repurchase program, which was terminated prior to its expiration. The June 2025 program was open-ended and authorized repurchases of shares of our common stock from time to time up to an aggregate cost of $1.0 billion in the open market or in negotiated transactions. In February 2026, our Board of Directors approved a stock repurchase program (the “February 2026 program”), replacing the June 2025 program, which was terminated prior to its expiration. The February 2026 program was open-ended and authorized repurchases of shares of our common stock from time to time up to an aggregate cost of $1.5 billion in the open market or in negotiated transactions. In June 2026, our Board of Directors approved a stock repurchase program (the “June 2026 program”), replacing the February 2026 program, which was terminated prior to its expiration. The June 2026 program is open-ended and authorizes repurchases of shares of our common stock from time to time up to an aggregate cost of $2.0 billion in the open market, in negotiated transactions or through accelerated share repurchase programs. The June 2026 program remains in effect until the total authorized amount is expended or until further action by our Board of Directors.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had $800.0 million remaining under the June 2026 program, which includes the $300.0 million prepayment under the ASR Agreement as to which shares have not yet been repurchased and will be delivered to us upon settlement of the ASR Agreement. During the quarter and nine months ended June 30, 2026, we expended $2.3 billion and $3.1 billion, respectively, under the June 2025 program, the February 2026 program, and the June 2026 program, as applicable, including $1.5 billion under the ASR Agreement entered into as part of the June 2026 program. Under the ASR Agreement, we received an initial delivery of 1,055,103 shares of common stock, representing approximately 80 percent of the total shares expected to be repurchased under the ASR Agreement. The final number of shares repurchased and the average price paid per share will be determined upon the settlement of the ASR Agreement, which is expected to occur during the fourth quarter of fiscal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quarter and nine months ended June 30, 2025, we expended $511.3 million and $878.1 million, respectively, under the June 2025 program and other previously authorized stock repurchase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Revolving Line of Credit and Term Loan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credit agreement with a syndicate of banks that provides for a $1.0 billion unsecured revolving line of credit that matures on May 13, 2030. On June 5, 2026, we amended our credit agreement to provide for the issuance of a $1.5 billion unsecured term loan that was borrowed in full on June 5, 2026 and matures on May 15, 2028. The credit agreement also provides for an option for us to request additional incremental term loans and/or incremental increases to the revolving line of credit from time to time, in each case subject to the terms and conditions of the credit agreement. Borrowings under the credit agreement can be used for working capital and general corporate purposes and may also be used for the refinancing of existing debt, acquisitions, and the repurchase of our common stock. Principal on the term loan is to be repaid in consecutive quarterly installments on the last business day of March, June, September, and December equal to (i) $75.0 million from September 30, 2026 through and including June 30, 2027 and (ii) $112.5 million thereafter. Interest rates on amounts borrowed under the revolving line of credit and term loan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for the loans under the credit agreement is determined based on our consolidated leverage ratio. The applicable margin for loans under the revolving line of credit for base rate borrowings ranges from 0% to 1% per annum and for SOFR borrowings ranges from 1% to 2% per annum. The applicable margin for the term loan for base rate borrowings ranges from 0.5% to 1.25% per annum and for SOFR borrowings ranges from 1.5% to 2.25% per annum. In addition, we must pay certain credit agreement fees. The credit agreement contains certain restrictive covenants including a maximum consolidated leverage ratio of 4.5 to 1.0 through December 30, 2026, 4.0 to 1.0 during December 31, 2026 through December 30, 2027, and 3.5 to 1.0 during December 31, 2027 and thereafter, subject to a step up to 4.0 to 1.0 following certain permitted acquisitions and subject to certain conditions, and contains other covenants typical of an unsecured credit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had $710.0 million in borrowings outstanding under the revolving line of credit at a weighted-average interest rate of 5.643% and $1.5 billion in outstanding balance of the term loan at an interest rate of 5.863%, and we were in compliance with all financial covenants under the credit agreement.</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8, 2018, we issued $400.0 million of senior notes in a private offering to qualified institutional investors (the “2018 Senior Notes”). The 2018 Senior Notes required interest payments semi-annually at a rate of 5.25% per annum and were to mature on May 15, 2026. On March 26, 2026, prior to the maturity date, we repaid in full the 2018 Senior Notes, utilizing proceeds from the issuance of the 2026 Senior Notes (as defined below). On December 6, 2019, we issued $350.0 million of senior notes in a private offering to qualified institutional investors (the “2019 Senior Notes”). The 2019 Senior Notes require interest payments semi-annually at a rate of 4.00% per annum and will mature on June 15, 2028. On December 17, 2021, we issued $550.0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 On May 13, 2025, we issued $1.5 billion of senior notes in a private offering to qualified institutional investors (the “2025 Senior Notes”). The 2025 Senior Notes require interest payments semi-annually at a rate of 6.00% per annum and will mature on May 15, 2033. On March 20, 2026, we issued $1.0 billion of senior notes in a private offering to qualified institutional investors (the “2026 Senior Notes,” and collectively with the 2018 Senior Notes, the 2019 Senior Notes, the 2021 Senior Notes, and the 2025 Senior Notes, the “Senior Notes”). The 2026 Senior Notes require interest payments semi-annually at a rate of 6.25% per annum and will mature on September 15, 2034. The indentures for the Senior Notes contain certain covenants typical of unsecured obligations. As of June 30, 2026, the carrying value of the Senior Notes was $3.4 billion and we were in compliance with all financial covenants under these obligations.</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condensed consolidated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carefully consider the critical accounting estimates disclosed in Part II, Item 7 “Management’s Discussion and Analysis of Financial Condition and Results of Operations” of our Annual Report on Form 10-K for the fiscal year ended September 30, 2025 (“Annual Report on Form 10-K”). There have been no significant changes from the critical accounting estimates disclosed in our Annual Report on Form 10-K.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information about recent accounting pronouncements not yet adopted and the impact on our consolidated financial statements, refer to Part I, Item 1, “Unaudited Financial Statements,” Note 1, “Nature of Business” in our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Market Risk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and foreign exchange rates. We do not use derivative financial instruments for speculative or trading purposes.</w:t>
      </w:r>
    </w:p>
    <w:p>
      <w:pPr>
        <w:pStyle w:val="TextBody"/>
        <w:bidi w:val="0"/>
        <w:spacing w:lineRule="auto" w:line="288" w:before="3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Interest Rate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an investment portfolio consisting of bank deposits and money market funds. The funds provide daily liquidity and may be subject to interest rate risk and fall in value if market interest rates increase. We do not expect our operating expenses to be affected to any significant degree by a sudden change in market interest rates. The following table presents the principal amounts and related weighted-average yields for our investments with interest rate risk at June 30, 2026 and September 30, 2025: </w:t>
      </w:r>
    </w:p>
    <w:tbl>
      <w:tblPr>
        <w:tblW w:w="10205" w:type="dxa"/>
        <w:jc w:val="left"/>
        <w:tblInd w:w="0" w:type="dxa"/>
        <w:tblLayout w:type="fixed"/>
        <w:tblCellMar>
          <w:top w:w="28" w:type="dxa"/>
          <w:left w:w="28" w:type="dxa"/>
          <w:bottom w:w="28" w:type="dxa"/>
          <w:right w:w="28" w:type="dxa"/>
        </w:tblCellMar>
      </w:tblPr>
      <w:tblGrid>
        <w:gridCol w:w="763"/>
        <w:gridCol w:w="670"/>
        <w:gridCol w:w="674"/>
        <w:gridCol w:w="211"/>
        <w:gridCol w:w="826"/>
        <w:gridCol w:w="109"/>
        <w:gridCol w:w="109"/>
        <w:gridCol w:w="109"/>
        <w:gridCol w:w="109"/>
        <w:gridCol w:w="211"/>
        <w:gridCol w:w="826"/>
        <w:gridCol w:w="109"/>
        <w:gridCol w:w="109"/>
        <w:gridCol w:w="109"/>
        <w:gridCol w:w="109"/>
        <w:gridCol w:w="255"/>
        <w:gridCol w:w="256"/>
        <w:gridCol w:w="401"/>
        <w:gridCol w:w="109"/>
        <w:gridCol w:w="109"/>
        <w:gridCol w:w="109"/>
        <w:gridCol w:w="211"/>
        <w:gridCol w:w="826"/>
        <w:gridCol w:w="109"/>
        <w:gridCol w:w="109"/>
        <w:gridCol w:w="109"/>
        <w:gridCol w:w="109"/>
        <w:gridCol w:w="211"/>
        <w:gridCol w:w="826"/>
        <w:gridCol w:w="109"/>
        <w:gridCol w:w="109"/>
        <w:gridCol w:w="109"/>
        <w:gridCol w:w="109"/>
        <w:gridCol w:w="255"/>
        <w:gridCol w:w="256"/>
        <w:gridCol w:w="456"/>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Yield</w:t>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June 30, 2026 and September 30, 2025:</w:t>
      </w:r>
    </w:p>
    <w:tbl>
      <w:tblPr>
        <w:tblW w:w="10205" w:type="dxa"/>
        <w:jc w:val="center"/>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2025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2026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interest rate risk with respect to our unsecured revolving line of credit and term loan. Interest rates on amounts borrowed under the revolving line of credit and term loan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for the loans under the credit agreement is determined based on our consolidated leverage ratio. The applicable margin for loans under the revolving line of credit for base rate borrowings ranges from 0% to 1% per annum and for SOFR borrowings ranges from 1% to 2% per annum. The applicable margin for the term loan for base rate borrowings ranges from 0.5% to 1.25% per annum and for SOFR borrowings ranges from 1.5% to 2.25% per annum. A change in interest rates on this variable rate debt impacts the interest incurred and cash flows, but does not impact the fair value of the instrument. As of June 30, 2026, we had $710.0 million in borrowings outstanding under the revolving line of credit at a weighted-average interest rate of 5.643% and $1.5 billion in outstanding balance of the term loan at an interest rate of 5.863%.</w:t>
      </w:r>
    </w:p>
    <w:p>
      <w:pPr>
        <w:pStyle w:val="TextBody"/>
        <w:bidi w:val="0"/>
        <w:spacing w:lineRule="auto" w:line="288" w:before="3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Foreign Currency Forward Contracts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 program to manage our foreign exchange rate risk on existing foreign-currency-denominated receivables and cash balances by entering into forward contracts to sell or buy foreign currencies. At period end, foreign-currency-denominated receivables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outstanding foreign currency forward contracts, by currency, at June 30, 2026 and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foreign currency forward contracts were entered into on June 30, 2026 and September 30, 2025; therefore, their fair value was $0 on each of these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June 30, 2026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pStyle w:val="TextBody"/>
        <w:bidi w:val="0"/>
        <w:spacing w:lineRule="auto" w:line="288" w:before="30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FICO is a defendant in consolidated putative class action lawsuits brought in the Northern District of Illinois against FICO and the credit bureaus, Equifax, Experian and TransUnion, alleging antitrust claims in connection with the distribution of FICO Scores. On November 24, 2024, the court ruled on FICO’s and the credit bureaus’ motions to dismiss the plaintiffs’ amended complaints. The court dismissed with prejudice all claims in the lawsuit other than a Sherman Act Section 2 claim and accompanying state law claims against FICO, which were allowed to proceed through the discovery stage of the litigation. FICO intends to vigorously defend against the remaining claims in this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you should carefully consider the factors discussed in Part I, Item 1A “Risk Factors” in our Annual Report on Form 10-K for our fiscal year ended September 30, 2025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88" w:before="120" w:after="283"/>
        <w:jc w:val="left"/>
        <w:rPr/>
      </w:pPr>
      <w:r>
        <w:rPr>
          <w:rFonts w:ascii="Times New Roman;serif" w:hAnsi="Times New Roman;serif"/>
          <w:b/>
          <w:color w:val="000000"/>
          <w:sz w:val="20"/>
        </w:rPr>
        <w:t>Issuer Purchases of Equity Securities</w:t>
      </w:r>
      <w:r>
        <w:rPr>
          <w:color w:val="000000"/>
        </w:rPr>
        <w:t> </w:t>
      </w:r>
    </w:p>
    <w:tbl>
      <w:tblPr>
        <w:tblW w:w="9627" w:type="dxa"/>
        <w:jc w:val="left"/>
        <w:tblInd w:w="0" w:type="dxa"/>
        <w:tblLayout w:type="fixed"/>
        <w:tblCellMar>
          <w:top w:w="28" w:type="dxa"/>
          <w:left w:w="28" w:type="dxa"/>
          <w:bottom w:w="28" w:type="dxa"/>
          <w:right w:w="28" w:type="dxa"/>
        </w:tblCellMar>
      </w:tblPr>
      <w:tblGrid>
        <w:gridCol w:w="1124"/>
        <w:gridCol w:w="990"/>
        <w:gridCol w:w="1006"/>
        <w:gridCol w:w="488"/>
        <w:gridCol w:w="488"/>
        <w:gridCol w:w="346"/>
        <w:gridCol w:w="109"/>
        <w:gridCol w:w="109"/>
        <w:gridCol w:w="109"/>
        <w:gridCol w:w="211"/>
        <w:gridCol w:w="871"/>
        <w:gridCol w:w="109"/>
        <w:gridCol w:w="109"/>
        <w:gridCol w:w="109"/>
        <w:gridCol w:w="109"/>
        <w:gridCol w:w="488"/>
        <w:gridCol w:w="488"/>
        <w:gridCol w:w="486"/>
        <w:gridCol w:w="109"/>
        <w:gridCol w:w="109"/>
        <w:gridCol w:w="109"/>
        <w:gridCol w:w="211"/>
        <w:gridCol w:w="118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Period</w:t>
            </w:r>
          </w:p>
        </w:tc>
        <w:tc>
          <w:tcPr>
            <w:tcW w:w="13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0" w:after="0"/>
              <w:jc w:val="center"/>
              <w:rPr/>
            </w:pPr>
            <w:r>
              <w:rPr>
                <w:rFonts w:ascii="Times New Roman;serif" w:hAnsi="Times New Roman;serif"/>
                <w:b/>
                <w:color w:val="000000"/>
                <w:sz w:val="16"/>
              </w:rPr>
              <w:t>Purchased</w:t>
            </w:r>
            <w:r>
              <w:rPr>
                <w:color w:val="000000"/>
              </w:rPr>
              <w: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 Plans</w:t>
            </w:r>
          </w:p>
          <w:p>
            <w:pPr>
              <w:pStyle w:val="TableContents"/>
              <w:bidi w:val="0"/>
              <w:spacing w:lineRule="auto" w:line="240" w:before="0" w:after="0"/>
              <w:jc w:val="center"/>
              <w:rPr/>
            </w:pPr>
            <w:r>
              <w:rPr>
                <w:rFonts w:ascii="Times New Roman;serif" w:hAnsi="Times New Roman;serif"/>
                <w:b/>
                <w:color w:val="000000"/>
                <w:sz w:val="16"/>
              </w:rPr>
              <w:t>or Programs</w:t>
            </w:r>
            <w:r>
              <w:rPr>
                <w:color w:val="000000"/>
              </w:rPr>
              <w:t xml:space="preserv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Dollar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that 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Under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the Plans or</w:t>
            </w:r>
          </w:p>
          <w:p>
            <w:pPr>
              <w:pStyle w:val="TableContents"/>
              <w:bidi w:val="0"/>
              <w:spacing w:lineRule="auto" w:line="240" w:before="0" w:after="0"/>
              <w:jc w:val="center"/>
              <w:rPr/>
            </w:pPr>
            <w:r>
              <w:rPr>
                <w:rFonts w:ascii="Times New Roman;serif" w:hAnsi="Times New Roman;serif"/>
                <w:b/>
                <w:color w:val="000000"/>
                <w:sz w:val="16"/>
              </w:rPr>
              <w:t>Programs</w:t>
            </w:r>
            <w:r>
              <w:rPr>
                <w:color w:val="000000"/>
              </w:rPr>
              <w:t xml:space="preserve"> </w:t>
            </w:r>
            <w:r>
              <w:rPr>
                <w:rFonts w:ascii="Times New Roman;serif" w:hAnsi="Times New Roman;serif"/>
                <w:b/>
                <w:color w:val="000000"/>
                <w:sz w:val="10"/>
              </w:rPr>
              <w:t>(2)</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166,545 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163,541 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894,102,225 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488,341 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486,770 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304,525,654 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1,055,475 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1,055,103 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1,710,361 </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1,705,414 </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4,947 shares delivered in satisfaction of the tax withholding obligations resulting from the vesting of restricted stock units held by employees during the quarter ended June 30, 2026.</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(2)In February 2026, our Board of Directors approved a stock repurchase program (the “February 2026 program”), replacing our previously authorized June 2025 stock repurchase program, which was terminated prior to its expiration. The February 2026 program was open-ended and authorized repurchases of shares of our common stock from time to time up to an aggregate cost of $1.5 billion in the open market or in negotiated transactions. In June 2026, our Board of Directors approved a stock repurchase program (the “June 2026 program”), replacing the February 2026 program, which was terminated prior to its expiration. The June 2026 program is open-ended and authorizes repurchases of shares of our common stock from time to time up to an aggregate cost of $2.0 billion in the open market, in negotiated transactions or through accelerated share repurchase programs. The June 2026 program remains in effect until the total authorized amount is expended or until further action by our Board of Directors. As part of the June 2026 program, we entered into the ASR Agreement with Wells Fargo Securities, Inc. (“Wells Fargo Securities”) on June 5, 2026 to repurchase $1.5 billion of our common stock. Pursuant to the ASR Agreement, we paid $1.5 billion to Wells Fargo Securities and received an initial delivery of 1,055,103 shares of common stock, which approximated 80 percent of the total number of expected shares to be repurchased under the ASR Agreement. The final number of shares to be repurchased and the average price paid per share will be determined upon the settlement of the ASR Agreement, which is expected to occur during the fourth quarter of fiscal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Defaults Upon Senior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i/>
          <w:color w:val="000000"/>
          <w:sz w:val="20"/>
        </w:rPr>
        <w:t>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288"/>
        <w:gridCol w:w="254"/>
        <w:gridCol w:w="255"/>
        <w:gridCol w:w="109"/>
        <w:gridCol w:w="109"/>
        <w:gridCol w:w="109"/>
        <w:gridCol w:w="2679"/>
        <w:gridCol w:w="2637"/>
        <w:gridCol w:w="3765"/>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Restated Certificate of Incorporation of Fair Isaac Corporation, dated March 4, 2026. (Incorporated by reference to Exhibit 3.2 to the Company’s Form 8-K filed on March 5, 2026.)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By-laws of Fair Isaac Corporation. (Incorporated by reference to Exhibit 3.1 to the Company’s Form 10-Q for the quarter ended December 31, 2009.)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First Amendment to Third Amended and Restated Credit Agreement among the Company, the several banks and other financial institutions parties thereto, and Wells Fargo Bank, National Association, as administrative agent, dated as of June 5, 2026. (Incorporated by reference to Exhibit 10.1 to the Company’s Form 8-K filed June 8, 2026.)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1q32026.htm">
              <w:r>
                <w:rPr>
                  <w:rStyle w:val="InternetLink"/>
                  <w:rFonts w:ascii="Times New Roman;serif" w:hAnsi="Times New Roman;serif"/>
                  <w:b w:val="false"/>
                  <w:color w:val="0000FF"/>
                  <w:sz w:val="20"/>
                  <w:u w:val="single"/>
                </w:rPr>
                <w:t>Rule 13a-14(a)/15d-14(a) Certifications of CEO.</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2q32026.htm">
              <w:r>
                <w:rPr>
                  <w:rStyle w:val="InternetLink"/>
                  <w:rFonts w:ascii="Times New Roman;serif" w:hAnsi="Times New Roman;serif"/>
                  <w:b w:val="false"/>
                  <w:color w:val="0000FF"/>
                  <w:sz w:val="20"/>
                  <w:u w:val="single"/>
                </w:rPr>
                <w:t>Rule 13a-14(a)/15d-14(a) Certifications of CFO.</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1q32026.htm">
              <w:r>
                <w:rPr>
                  <w:rStyle w:val="InternetLink"/>
                  <w:rFonts w:ascii="Times New Roman;serif" w:hAnsi="Times New Roman;serif"/>
                  <w:b w:val="false"/>
                  <w:color w:val="0000FF"/>
                  <w:sz w:val="20"/>
                  <w:u w:val="single"/>
                </w:rPr>
                <w:t>Section 1350 Certification of CEO.</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2q32026.htm">
              <w:r>
                <w:rPr>
                  <w:rStyle w:val="InternetLink"/>
                  <w:rFonts w:ascii="Times New Roman;serif" w:hAnsi="Times New Roman;serif"/>
                  <w:b w:val="false"/>
                  <w:color w:val="0000FF"/>
                  <w:sz w:val="20"/>
                  <w:u w:val="single"/>
                </w:rPr>
                <w:t>Section 1350 Certification of CFO.</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5ce5febdcae4dbcb74f7ab1cddf86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622" w:type="dxa"/>
        <w:jc w:val="left"/>
        <w:tblInd w:w="0" w:type="dxa"/>
        <w:tblLayout w:type="fixed"/>
        <w:tblCellMar>
          <w:top w:w="28" w:type="dxa"/>
          <w:left w:w="28" w:type="dxa"/>
          <w:bottom w:w="28" w:type="dxa"/>
          <w:right w:w="28" w:type="dxa"/>
        </w:tblCellMar>
      </w:tblPr>
      <w:tblGrid>
        <w:gridCol w:w="249"/>
        <w:gridCol w:w="220"/>
        <w:gridCol w:w="221"/>
        <w:gridCol w:w="404"/>
        <w:gridCol w:w="404"/>
        <w:gridCol w:w="407"/>
        <w:gridCol w:w="406"/>
        <w:gridCol w:w="406"/>
        <w:gridCol w:w="406"/>
        <w:gridCol w:w="1314"/>
        <w:gridCol w:w="1314"/>
        <w:gridCol w:w="187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ISAAC CORPORATION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(for Registrant as duly authorized officer and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Vice President and Chief Accounting Officer</w:t>
              <w:br/>
              <w:t>(Principal Accounting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J. Lansing,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29, 2026 </w:t>
      </w:r>
    </w:p>
    <w:tbl>
      <w:tblPr>
        <w:tblW w:w="2621" w:type="dxa"/>
        <w:jc w:val="left"/>
        <w:tblInd w:w="0" w:type="dxa"/>
        <w:tblLayout w:type="fixed"/>
        <w:tblCellMar>
          <w:top w:w="28" w:type="dxa"/>
          <w:left w:w="28" w:type="dxa"/>
          <w:bottom w:w="28" w:type="dxa"/>
          <w:right w:w="28" w:type="dxa"/>
        </w:tblCellMar>
      </w:tblPr>
      <w:tblGrid>
        <w:gridCol w:w="813"/>
        <w:gridCol w:w="716"/>
        <w:gridCol w:w="720"/>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Steven P. Weber,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29, 2026 </w:t>
      </w:r>
    </w:p>
    <w:tbl>
      <w:tblPr>
        <w:tblW w:w="4841" w:type="dxa"/>
        <w:jc w:val="left"/>
        <w:tblInd w:w="0" w:type="dxa"/>
        <w:tblLayout w:type="fixed"/>
        <w:tblCellMar>
          <w:top w:w="28" w:type="dxa"/>
          <w:left w:w="28" w:type="dxa"/>
          <w:bottom w:w="28" w:type="dxa"/>
          <w:right w:w="28" w:type="dxa"/>
        </w:tblCellMar>
      </w:tblPr>
      <w:tblGrid>
        <w:gridCol w:w="1620"/>
        <w:gridCol w:w="1421"/>
        <w:gridCol w:w="1428"/>
        <w:gridCol w:w="109"/>
        <w:gridCol w:w="109"/>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405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666"/>
        <w:gridCol w:w="666"/>
        <w:gridCol w:w="9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627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16"/>
        <w:gridCol w:w="1316"/>
        <w:gridCol w:w="18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4547/000119312526093964/d106510dex32.htm" TargetMode="External"/><Relationship Id="rId3" Type="http://schemas.openxmlformats.org/officeDocument/2006/relationships/hyperlink" Target="https://www.sec.gov/Archives/edgar/data/814547/000095012310009970/c56194exv3w1.htm" TargetMode="External"/><Relationship Id="rId4" Type="http://schemas.openxmlformats.org/officeDocument/2006/relationships/hyperlink" Target="https://www.sec.gov/Archives/edgar/data/814547/000119312526260817/d140061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18929</Words>
  <Characters>103951</Characters>
  <CharactersWithSpaces>121337</CharactersWithSpaces>
  <Paragraphs>3356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